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54D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AFFCF8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2C98D0B"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934A368" w14:textId="77777777" w:rsidR="00AC4931" w:rsidRPr="00AC4931" w:rsidRDefault="00AC4931" w:rsidP="00AC4931">
      <w:pPr>
        <w:widowControl/>
        <w:jc w:val="center"/>
        <w:rPr>
          <w:rFonts w:ascii="Arial" w:eastAsia="宋体" w:hAnsi="Arial" w:cs="Arial" w:hint="eastAsia"/>
          <w:b/>
          <w:bCs/>
          <w:color w:val="000000"/>
          <w:kern w:val="0"/>
          <w:sz w:val="24"/>
          <w:szCs w:val="24"/>
        </w:rPr>
      </w:pPr>
      <w:r w:rsidRPr="00AC4931">
        <w:rPr>
          <w:rFonts w:ascii="Arial" w:eastAsia="宋体" w:hAnsi="Arial" w:cs="Arial"/>
          <w:b/>
          <w:bCs/>
          <w:color w:val="000000"/>
          <w:kern w:val="0"/>
          <w:sz w:val="24"/>
          <w:szCs w:val="24"/>
        </w:rPr>
        <w:t>UNITED STATES</w:t>
      </w:r>
    </w:p>
    <w:p w14:paraId="536DA066" w14:textId="77777777" w:rsidR="00AC4931" w:rsidRPr="00AC4931" w:rsidRDefault="00AC4931" w:rsidP="00AC4931">
      <w:pPr>
        <w:widowControl/>
        <w:jc w:val="center"/>
        <w:rPr>
          <w:rFonts w:ascii="Arial" w:eastAsia="宋体" w:hAnsi="Arial" w:cs="Arial"/>
          <w:b/>
          <w:bCs/>
          <w:color w:val="000000"/>
          <w:kern w:val="0"/>
          <w:sz w:val="24"/>
          <w:szCs w:val="24"/>
        </w:rPr>
      </w:pPr>
      <w:r w:rsidRPr="00AC4931">
        <w:rPr>
          <w:rFonts w:ascii="Arial" w:eastAsia="宋体" w:hAnsi="Arial" w:cs="Arial"/>
          <w:b/>
          <w:bCs/>
          <w:color w:val="000000"/>
          <w:kern w:val="0"/>
          <w:sz w:val="24"/>
          <w:szCs w:val="24"/>
        </w:rPr>
        <w:t>SECURITIES AND EXCHANGE COMMISSION</w:t>
      </w:r>
    </w:p>
    <w:p w14:paraId="2FAF5E2B"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Washington,</w:t>
      </w:r>
      <w:r w:rsidRPr="00AC4931">
        <w:rPr>
          <w:rFonts w:ascii="Arial" w:eastAsia="宋体" w:hAnsi="Arial" w:cs="Arial"/>
          <w:b/>
          <w:bCs/>
          <w:color w:val="000000"/>
          <w:spacing w:val="12"/>
          <w:kern w:val="0"/>
          <w:sz w:val="18"/>
          <w:szCs w:val="18"/>
        </w:rPr>
        <w:t> </w:t>
      </w:r>
      <w:r w:rsidRPr="00AC4931">
        <w:rPr>
          <w:rFonts w:ascii="Arial" w:eastAsia="宋体" w:hAnsi="Arial" w:cs="Arial"/>
          <w:b/>
          <w:bCs/>
          <w:color w:val="000000"/>
          <w:kern w:val="0"/>
          <w:sz w:val="18"/>
          <w:szCs w:val="18"/>
        </w:rPr>
        <w:t>D.C.</w:t>
      </w:r>
      <w:r w:rsidRPr="00AC4931">
        <w:rPr>
          <w:rFonts w:ascii="Arial" w:eastAsia="宋体" w:hAnsi="Arial" w:cs="Arial"/>
          <w:b/>
          <w:bCs/>
          <w:color w:val="000000"/>
          <w:spacing w:val="5"/>
          <w:kern w:val="0"/>
          <w:sz w:val="18"/>
          <w:szCs w:val="18"/>
        </w:rPr>
        <w:t> </w:t>
      </w:r>
      <w:r w:rsidRPr="00AC4931">
        <w:rPr>
          <w:rFonts w:ascii="Arial" w:eastAsia="宋体" w:hAnsi="Arial" w:cs="Arial"/>
          <w:b/>
          <w:bCs/>
          <w:color w:val="000000"/>
          <w:kern w:val="0"/>
          <w:sz w:val="18"/>
          <w:szCs w:val="18"/>
        </w:rPr>
        <w:t>20549</w:t>
      </w:r>
    </w:p>
    <w:p w14:paraId="75BC6DC9" w14:textId="77777777" w:rsidR="00AC4931" w:rsidRPr="00AC4931" w:rsidRDefault="00AC4931" w:rsidP="00AC4931">
      <w:pPr>
        <w:widowControl/>
        <w:spacing w:before="120"/>
        <w:jc w:val="center"/>
        <w:rPr>
          <w:rFonts w:ascii="Arial" w:eastAsia="宋体" w:hAnsi="Arial" w:cs="Arial"/>
          <w:b/>
          <w:bCs/>
          <w:color w:val="000000"/>
          <w:kern w:val="0"/>
          <w:sz w:val="24"/>
          <w:szCs w:val="24"/>
        </w:rPr>
      </w:pPr>
      <w:r w:rsidRPr="00AC4931">
        <w:rPr>
          <w:rFonts w:ascii="Arial" w:eastAsia="宋体" w:hAnsi="Arial" w:cs="Arial"/>
          <w:b/>
          <w:bCs/>
          <w:color w:val="000000"/>
          <w:kern w:val="0"/>
          <w:sz w:val="24"/>
          <w:szCs w:val="24"/>
        </w:rPr>
        <w:t>FORM 10-K</w:t>
      </w:r>
    </w:p>
    <w:tbl>
      <w:tblPr>
        <w:tblW w:w="20614" w:type="dxa"/>
        <w:tblCellMar>
          <w:left w:w="0" w:type="dxa"/>
          <w:right w:w="0" w:type="dxa"/>
        </w:tblCellMar>
        <w:tblLook w:val="04A0" w:firstRow="1" w:lastRow="0" w:firstColumn="1" w:lastColumn="0" w:noHBand="0" w:noVBand="1"/>
      </w:tblPr>
      <w:tblGrid>
        <w:gridCol w:w="676"/>
        <w:gridCol w:w="19938"/>
      </w:tblGrid>
      <w:tr w:rsidR="00AC4931" w:rsidRPr="00AC4931" w14:paraId="462928D7" w14:textId="77777777" w:rsidTr="00AC4931">
        <w:tc>
          <w:tcPr>
            <w:tcW w:w="676" w:type="dxa"/>
            <w:hideMark/>
          </w:tcPr>
          <w:p w14:paraId="58CCB3E0" w14:textId="77777777" w:rsidR="00AC4931" w:rsidRPr="00AC4931" w:rsidRDefault="00AC4931" w:rsidP="00AC4931">
            <w:pPr>
              <w:widowControl/>
              <w:jc w:val="left"/>
              <w:rPr>
                <w:rFonts w:ascii="Segoe UI Symbol" w:eastAsia="宋体" w:hAnsi="Segoe UI Symbol" w:cs="宋体"/>
                <w:kern w:val="0"/>
                <w:sz w:val="16"/>
                <w:szCs w:val="16"/>
              </w:rPr>
            </w:pPr>
            <w:r w:rsidRPr="00AC4931">
              <w:rPr>
                <w:rFonts w:ascii="Segoe UI Symbol" w:eastAsia="宋体" w:hAnsi="Segoe UI Symbol" w:cs="宋体"/>
                <w:kern w:val="0"/>
                <w:sz w:val="16"/>
                <w:szCs w:val="16"/>
              </w:rPr>
              <w:t>☒</w:t>
            </w:r>
          </w:p>
        </w:tc>
        <w:tc>
          <w:tcPr>
            <w:tcW w:w="19938" w:type="dxa"/>
            <w:hideMark/>
          </w:tcPr>
          <w:p w14:paraId="401D7BF4" w14:textId="77777777" w:rsidR="00AC4931" w:rsidRPr="00AC4931" w:rsidRDefault="00AC4931" w:rsidP="00AC4931">
            <w:pPr>
              <w:widowControl/>
              <w:spacing w:before="120"/>
              <w:jc w:val="left"/>
              <w:rPr>
                <w:rFonts w:ascii="Arial" w:eastAsia="宋体" w:hAnsi="Arial" w:cs="Arial"/>
                <w:b/>
                <w:bCs/>
                <w:kern w:val="0"/>
                <w:sz w:val="16"/>
                <w:szCs w:val="16"/>
              </w:rPr>
            </w:pPr>
            <w:r w:rsidRPr="00AC4931">
              <w:rPr>
                <w:rFonts w:ascii="Arial" w:eastAsia="宋体" w:hAnsi="Arial" w:cs="Arial"/>
                <w:b/>
                <w:bCs/>
                <w:kern w:val="0"/>
                <w:sz w:val="16"/>
                <w:szCs w:val="16"/>
              </w:rPr>
              <w:t>ANNUAL</w:t>
            </w:r>
            <w:r w:rsidRPr="00AC4931">
              <w:rPr>
                <w:rFonts w:ascii="Arial" w:eastAsia="宋体" w:hAnsi="Arial" w:cs="Arial"/>
                <w:b/>
                <w:bCs/>
                <w:spacing w:val="10"/>
                <w:kern w:val="0"/>
                <w:sz w:val="16"/>
                <w:szCs w:val="16"/>
              </w:rPr>
              <w:t> </w:t>
            </w:r>
            <w:r w:rsidRPr="00AC4931">
              <w:rPr>
                <w:rFonts w:ascii="Arial" w:eastAsia="宋体" w:hAnsi="Arial" w:cs="Arial"/>
                <w:b/>
                <w:bCs/>
                <w:kern w:val="0"/>
                <w:sz w:val="16"/>
                <w:szCs w:val="16"/>
              </w:rPr>
              <w:t>REPORT</w:t>
            </w:r>
            <w:r w:rsidRPr="00AC4931">
              <w:rPr>
                <w:rFonts w:ascii="Arial" w:eastAsia="宋体" w:hAnsi="Arial" w:cs="Arial"/>
                <w:b/>
                <w:bCs/>
                <w:spacing w:val="11"/>
                <w:kern w:val="0"/>
                <w:sz w:val="16"/>
                <w:szCs w:val="16"/>
              </w:rPr>
              <w:t> </w:t>
            </w:r>
            <w:r w:rsidRPr="00AC4931">
              <w:rPr>
                <w:rFonts w:ascii="Arial" w:eastAsia="宋体" w:hAnsi="Arial" w:cs="Arial"/>
                <w:b/>
                <w:bCs/>
                <w:spacing w:val="1"/>
                <w:kern w:val="0"/>
                <w:sz w:val="16"/>
                <w:szCs w:val="16"/>
              </w:rPr>
              <w:t>P</w:t>
            </w:r>
            <w:r w:rsidRPr="00AC4931">
              <w:rPr>
                <w:rFonts w:ascii="Arial" w:eastAsia="宋体" w:hAnsi="Arial" w:cs="Arial"/>
                <w:b/>
                <w:bCs/>
                <w:kern w:val="0"/>
                <w:sz w:val="16"/>
                <w:szCs w:val="16"/>
              </w:rPr>
              <w:t>URSUANT</w:t>
            </w:r>
            <w:r w:rsidRPr="00AC4931">
              <w:rPr>
                <w:rFonts w:ascii="Arial" w:eastAsia="宋体" w:hAnsi="Arial" w:cs="Arial"/>
                <w:b/>
                <w:bCs/>
                <w:spacing w:val="13"/>
                <w:kern w:val="0"/>
                <w:sz w:val="16"/>
                <w:szCs w:val="16"/>
              </w:rPr>
              <w:t> </w:t>
            </w:r>
            <w:r w:rsidRPr="00AC4931">
              <w:rPr>
                <w:rFonts w:ascii="Arial" w:eastAsia="宋体" w:hAnsi="Arial" w:cs="Arial"/>
                <w:b/>
                <w:bCs/>
                <w:kern w:val="0"/>
                <w:sz w:val="16"/>
                <w:szCs w:val="16"/>
              </w:rPr>
              <w:t>TO</w:t>
            </w:r>
            <w:r w:rsidRPr="00AC4931">
              <w:rPr>
                <w:rFonts w:ascii="Arial" w:eastAsia="宋体" w:hAnsi="Arial" w:cs="Arial"/>
                <w:b/>
                <w:bCs/>
                <w:spacing w:val="4"/>
                <w:kern w:val="0"/>
                <w:sz w:val="16"/>
                <w:szCs w:val="16"/>
              </w:rPr>
              <w:t> </w:t>
            </w:r>
            <w:r w:rsidRPr="00AC4931">
              <w:rPr>
                <w:rFonts w:ascii="Arial" w:eastAsia="宋体" w:hAnsi="Arial" w:cs="Arial"/>
                <w:b/>
                <w:bCs/>
                <w:kern w:val="0"/>
                <w:sz w:val="16"/>
                <w:szCs w:val="16"/>
              </w:rPr>
              <w:t>S</w:t>
            </w:r>
            <w:r w:rsidRPr="00AC4931">
              <w:rPr>
                <w:rFonts w:ascii="Arial" w:eastAsia="宋体" w:hAnsi="Arial" w:cs="Arial"/>
                <w:b/>
                <w:bCs/>
                <w:spacing w:val="1"/>
                <w:kern w:val="0"/>
                <w:sz w:val="16"/>
                <w:szCs w:val="16"/>
              </w:rPr>
              <w:t>E</w:t>
            </w:r>
            <w:r w:rsidRPr="00AC4931">
              <w:rPr>
                <w:rFonts w:ascii="Arial" w:eastAsia="宋体" w:hAnsi="Arial" w:cs="Arial"/>
                <w:b/>
                <w:bCs/>
                <w:kern w:val="0"/>
                <w:sz w:val="16"/>
                <w:szCs w:val="16"/>
              </w:rPr>
              <w:t>CTION</w:t>
            </w:r>
            <w:r w:rsidRPr="00AC4931">
              <w:rPr>
                <w:rFonts w:ascii="Arial" w:eastAsia="宋体" w:hAnsi="Arial" w:cs="Arial"/>
                <w:b/>
                <w:bCs/>
                <w:spacing w:val="10"/>
                <w:kern w:val="0"/>
                <w:sz w:val="16"/>
                <w:szCs w:val="16"/>
              </w:rPr>
              <w:t> </w:t>
            </w:r>
            <w:r w:rsidRPr="00AC4931">
              <w:rPr>
                <w:rFonts w:ascii="Arial" w:eastAsia="宋体" w:hAnsi="Arial" w:cs="Arial"/>
                <w:b/>
                <w:bCs/>
                <w:kern w:val="0"/>
                <w:sz w:val="16"/>
                <w:szCs w:val="16"/>
              </w:rPr>
              <w:t>13</w:t>
            </w:r>
            <w:r w:rsidRPr="00AC4931">
              <w:rPr>
                <w:rFonts w:ascii="Arial" w:eastAsia="宋体" w:hAnsi="Arial" w:cs="Arial"/>
                <w:b/>
                <w:bCs/>
                <w:spacing w:val="3"/>
                <w:kern w:val="0"/>
                <w:sz w:val="16"/>
                <w:szCs w:val="16"/>
              </w:rPr>
              <w:t> </w:t>
            </w:r>
            <w:r w:rsidRPr="00AC4931">
              <w:rPr>
                <w:rFonts w:ascii="Arial" w:eastAsia="宋体" w:hAnsi="Arial" w:cs="Arial"/>
                <w:b/>
                <w:bCs/>
                <w:kern w:val="0"/>
                <w:sz w:val="16"/>
                <w:szCs w:val="16"/>
              </w:rPr>
              <w:t>OR</w:t>
            </w:r>
            <w:r w:rsidRPr="00AC4931">
              <w:rPr>
                <w:rFonts w:ascii="Arial" w:eastAsia="宋体" w:hAnsi="Arial" w:cs="Arial"/>
                <w:b/>
                <w:bCs/>
                <w:spacing w:val="4"/>
                <w:kern w:val="0"/>
                <w:sz w:val="16"/>
                <w:szCs w:val="16"/>
              </w:rPr>
              <w:t> </w:t>
            </w:r>
            <w:r w:rsidRPr="00AC4931">
              <w:rPr>
                <w:rFonts w:ascii="Arial" w:eastAsia="宋体" w:hAnsi="Arial" w:cs="Arial"/>
                <w:b/>
                <w:bCs/>
                <w:kern w:val="0"/>
                <w:sz w:val="16"/>
                <w:szCs w:val="16"/>
              </w:rPr>
              <w:t>15(d)</w:t>
            </w:r>
            <w:r w:rsidRPr="00AC4931">
              <w:rPr>
                <w:rFonts w:ascii="Arial" w:eastAsia="宋体" w:hAnsi="Arial" w:cs="Arial"/>
                <w:b/>
                <w:bCs/>
                <w:spacing w:val="6"/>
                <w:kern w:val="0"/>
                <w:sz w:val="16"/>
                <w:szCs w:val="16"/>
              </w:rPr>
              <w:t> </w:t>
            </w:r>
            <w:r w:rsidRPr="00AC4931">
              <w:rPr>
                <w:rFonts w:ascii="Arial" w:eastAsia="宋体" w:hAnsi="Arial" w:cs="Arial"/>
                <w:b/>
                <w:bCs/>
                <w:kern w:val="0"/>
                <w:sz w:val="16"/>
                <w:szCs w:val="16"/>
              </w:rPr>
              <w:t>OF</w:t>
            </w:r>
            <w:r w:rsidRPr="00AC4931">
              <w:rPr>
                <w:rFonts w:ascii="Arial" w:eastAsia="宋体" w:hAnsi="Arial" w:cs="Arial"/>
                <w:b/>
                <w:bCs/>
                <w:spacing w:val="4"/>
                <w:kern w:val="0"/>
                <w:sz w:val="16"/>
                <w:szCs w:val="16"/>
              </w:rPr>
              <w:t> </w:t>
            </w:r>
            <w:r w:rsidRPr="00AC4931">
              <w:rPr>
                <w:rFonts w:ascii="Arial" w:eastAsia="宋体" w:hAnsi="Arial" w:cs="Arial"/>
                <w:b/>
                <w:bCs/>
                <w:kern w:val="0"/>
                <w:sz w:val="16"/>
                <w:szCs w:val="16"/>
              </w:rPr>
              <w:t>THE SECURITIES</w:t>
            </w:r>
            <w:r w:rsidRPr="00AC4931">
              <w:rPr>
                <w:rFonts w:ascii="Arial" w:eastAsia="宋体" w:hAnsi="Arial" w:cs="Arial"/>
                <w:b/>
                <w:bCs/>
                <w:spacing w:val="14"/>
                <w:kern w:val="0"/>
                <w:sz w:val="16"/>
                <w:szCs w:val="16"/>
              </w:rPr>
              <w:t> </w:t>
            </w:r>
            <w:r w:rsidRPr="00AC4931">
              <w:rPr>
                <w:rFonts w:ascii="Arial" w:eastAsia="宋体" w:hAnsi="Arial" w:cs="Arial"/>
                <w:b/>
                <w:bCs/>
                <w:kern w:val="0"/>
                <w:sz w:val="16"/>
                <w:szCs w:val="16"/>
              </w:rPr>
              <w:t>EXCHANGE</w:t>
            </w:r>
            <w:r w:rsidRPr="00AC4931">
              <w:rPr>
                <w:rFonts w:ascii="Arial" w:eastAsia="宋体" w:hAnsi="Arial" w:cs="Arial"/>
                <w:b/>
                <w:bCs/>
                <w:spacing w:val="13"/>
                <w:kern w:val="0"/>
                <w:sz w:val="16"/>
                <w:szCs w:val="16"/>
              </w:rPr>
              <w:t> </w:t>
            </w:r>
            <w:r w:rsidRPr="00AC4931">
              <w:rPr>
                <w:rFonts w:ascii="Arial" w:eastAsia="宋体" w:hAnsi="Arial" w:cs="Arial"/>
                <w:b/>
                <w:bCs/>
                <w:kern w:val="0"/>
                <w:sz w:val="16"/>
                <w:szCs w:val="16"/>
              </w:rPr>
              <w:t>ACT</w:t>
            </w:r>
            <w:r w:rsidRPr="00AC4931">
              <w:rPr>
                <w:rFonts w:ascii="Arial" w:eastAsia="宋体" w:hAnsi="Arial" w:cs="Arial"/>
                <w:b/>
                <w:bCs/>
                <w:spacing w:val="5"/>
                <w:kern w:val="0"/>
                <w:sz w:val="16"/>
                <w:szCs w:val="16"/>
              </w:rPr>
              <w:t> </w:t>
            </w:r>
            <w:r w:rsidRPr="00AC4931">
              <w:rPr>
                <w:rFonts w:ascii="Arial" w:eastAsia="宋体" w:hAnsi="Arial" w:cs="Arial"/>
                <w:b/>
                <w:bCs/>
                <w:kern w:val="0"/>
                <w:sz w:val="16"/>
                <w:szCs w:val="16"/>
              </w:rPr>
              <w:t>OF</w:t>
            </w:r>
            <w:r w:rsidRPr="00AC4931">
              <w:rPr>
                <w:rFonts w:ascii="Arial" w:eastAsia="宋体" w:hAnsi="Arial" w:cs="Arial"/>
                <w:b/>
                <w:bCs/>
                <w:spacing w:val="4"/>
                <w:kern w:val="0"/>
                <w:sz w:val="16"/>
                <w:szCs w:val="16"/>
              </w:rPr>
              <w:t> </w:t>
            </w:r>
            <w:r w:rsidRPr="00AC4931">
              <w:rPr>
                <w:rFonts w:ascii="Arial" w:eastAsia="宋体" w:hAnsi="Arial" w:cs="Arial"/>
                <w:b/>
                <w:bCs/>
                <w:kern w:val="0"/>
                <w:sz w:val="16"/>
                <w:szCs w:val="16"/>
              </w:rPr>
              <w:t>1934</w:t>
            </w:r>
          </w:p>
        </w:tc>
      </w:tr>
    </w:tbl>
    <w:p w14:paraId="34109AD8"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7C112908" w14:textId="77777777" w:rsidR="00AC4931" w:rsidRPr="00AC4931" w:rsidRDefault="00AC4931" w:rsidP="00AC4931">
      <w:pPr>
        <w:widowControl/>
        <w:jc w:val="center"/>
        <w:rPr>
          <w:rFonts w:ascii="Arial" w:eastAsia="宋体" w:hAnsi="Arial" w:cs="Arial" w:hint="eastAsia"/>
          <w:b/>
          <w:bCs/>
          <w:color w:val="000000"/>
          <w:kern w:val="0"/>
          <w:sz w:val="17"/>
          <w:szCs w:val="17"/>
        </w:rPr>
      </w:pPr>
      <w:r w:rsidRPr="00AC4931">
        <w:rPr>
          <w:rFonts w:ascii="Arial" w:eastAsia="宋体" w:hAnsi="Arial" w:cs="Arial"/>
          <w:b/>
          <w:bCs/>
          <w:color w:val="000000"/>
          <w:kern w:val="0"/>
          <w:sz w:val="17"/>
          <w:szCs w:val="17"/>
        </w:rPr>
        <w:t>For</w:t>
      </w:r>
      <w:r w:rsidRPr="00AC4931">
        <w:rPr>
          <w:rFonts w:ascii="Arial" w:eastAsia="宋体" w:hAnsi="Arial" w:cs="Arial"/>
          <w:b/>
          <w:bCs/>
          <w:color w:val="000000"/>
          <w:spacing w:val="6"/>
          <w:kern w:val="0"/>
          <w:sz w:val="17"/>
          <w:szCs w:val="17"/>
        </w:rPr>
        <w:t> </w:t>
      </w:r>
      <w:r w:rsidRPr="00AC4931">
        <w:rPr>
          <w:rFonts w:ascii="Arial" w:eastAsia="宋体" w:hAnsi="Arial" w:cs="Arial"/>
          <w:b/>
          <w:bCs/>
          <w:color w:val="000000"/>
          <w:kern w:val="0"/>
          <w:sz w:val="17"/>
          <w:szCs w:val="17"/>
        </w:rPr>
        <w:t>the</w:t>
      </w:r>
      <w:r w:rsidRPr="00AC4931">
        <w:rPr>
          <w:rFonts w:ascii="Arial" w:eastAsia="宋体" w:hAnsi="Arial" w:cs="Arial"/>
          <w:b/>
          <w:bCs/>
          <w:color w:val="000000"/>
          <w:spacing w:val="6"/>
          <w:kern w:val="0"/>
          <w:sz w:val="17"/>
          <w:szCs w:val="17"/>
        </w:rPr>
        <w:t> </w:t>
      </w:r>
      <w:r w:rsidRPr="00AC4931">
        <w:rPr>
          <w:rFonts w:ascii="Arial" w:eastAsia="宋体" w:hAnsi="Arial" w:cs="Arial"/>
          <w:b/>
          <w:bCs/>
          <w:color w:val="000000"/>
          <w:kern w:val="0"/>
          <w:sz w:val="17"/>
          <w:szCs w:val="17"/>
        </w:rPr>
        <w:t>fiscal</w:t>
      </w:r>
      <w:r w:rsidRPr="00AC4931">
        <w:rPr>
          <w:rFonts w:ascii="Arial" w:eastAsia="宋体" w:hAnsi="Arial" w:cs="Arial"/>
          <w:b/>
          <w:bCs/>
          <w:color w:val="000000"/>
          <w:spacing w:val="9"/>
          <w:kern w:val="0"/>
          <w:sz w:val="17"/>
          <w:szCs w:val="17"/>
        </w:rPr>
        <w:t> </w:t>
      </w:r>
      <w:r w:rsidRPr="00AC4931">
        <w:rPr>
          <w:rFonts w:ascii="Arial" w:eastAsia="宋体" w:hAnsi="Arial" w:cs="Arial"/>
          <w:b/>
          <w:bCs/>
          <w:color w:val="000000"/>
          <w:kern w:val="0"/>
          <w:sz w:val="17"/>
          <w:szCs w:val="17"/>
        </w:rPr>
        <w:t>year</w:t>
      </w:r>
      <w:r w:rsidRPr="00AC4931">
        <w:rPr>
          <w:rFonts w:ascii="Arial" w:eastAsia="宋体" w:hAnsi="Arial" w:cs="Arial"/>
          <w:b/>
          <w:bCs/>
          <w:color w:val="000000"/>
          <w:spacing w:val="7"/>
          <w:kern w:val="0"/>
          <w:sz w:val="17"/>
          <w:szCs w:val="17"/>
        </w:rPr>
        <w:t> </w:t>
      </w:r>
      <w:r w:rsidRPr="00AC4931">
        <w:rPr>
          <w:rFonts w:ascii="Arial" w:eastAsia="宋体" w:hAnsi="Arial" w:cs="Arial"/>
          <w:b/>
          <w:bCs/>
          <w:color w:val="000000"/>
          <w:kern w:val="0"/>
          <w:sz w:val="17"/>
          <w:szCs w:val="17"/>
        </w:rPr>
        <w:t>end</w:t>
      </w:r>
      <w:r w:rsidRPr="00AC4931">
        <w:rPr>
          <w:rFonts w:ascii="Arial" w:eastAsia="宋体" w:hAnsi="Arial" w:cs="Arial"/>
          <w:b/>
          <w:bCs/>
          <w:color w:val="000000"/>
          <w:spacing w:val="-1"/>
          <w:kern w:val="0"/>
          <w:sz w:val="17"/>
          <w:szCs w:val="17"/>
        </w:rPr>
        <w:t>e</w:t>
      </w:r>
      <w:r w:rsidRPr="00AC4931">
        <w:rPr>
          <w:rFonts w:ascii="Arial" w:eastAsia="宋体" w:hAnsi="Arial" w:cs="Arial"/>
          <w:b/>
          <w:bCs/>
          <w:color w:val="000000"/>
          <w:kern w:val="0"/>
          <w:sz w:val="17"/>
          <w:szCs w:val="17"/>
        </w:rPr>
        <w:t>d</w:t>
      </w:r>
      <w:r w:rsidRPr="00AC4931">
        <w:rPr>
          <w:rFonts w:ascii="Arial" w:eastAsia="宋体" w:hAnsi="Arial" w:cs="Arial"/>
          <w:b/>
          <w:bCs/>
          <w:color w:val="000000"/>
          <w:spacing w:val="11"/>
          <w:kern w:val="0"/>
          <w:sz w:val="17"/>
          <w:szCs w:val="17"/>
        </w:rPr>
        <w:t> </w:t>
      </w:r>
      <w:r w:rsidRPr="00AC4931">
        <w:rPr>
          <w:rFonts w:ascii="Arial" w:eastAsia="宋体" w:hAnsi="Arial" w:cs="Arial"/>
          <w:b/>
          <w:bCs/>
          <w:color w:val="000000"/>
          <w:kern w:val="0"/>
          <w:sz w:val="17"/>
          <w:szCs w:val="17"/>
        </w:rPr>
        <w:t>Decemb</w:t>
      </w:r>
      <w:r w:rsidRPr="00AC4931">
        <w:rPr>
          <w:rFonts w:ascii="Arial" w:eastAsia="宋体" w:hAnsi="Arial" w:cs="Arial"/>
          <w:b/>
          <w:bCs/>
          <w:color w:val="000000"/>
          <w:spacing w:val="-1"/>
          <w:kern w:val="0"/>
          <w:sz w:val="17"/>
          <w:szCs w:val="17"/>
        </w:rPr>
        <w:t>e</w:t>
      </w:r>
      <w:r w:rsidRPr="00AC4931">
        <w:rPr>
          <w:rFonts w:ascii="Arial" w:eastAsia="宋体" w:hAnsi="Arial" w:cs="Arial"/>
          <w:b/>
          <w:bCs/>
          <w:color w:val="000000"/>
          <w:kern w:val="0"/>
          <w:sz w:val="17"/>
          <w:szCs w:val="17"/>
        </w:rPr>
        <w:t>r</w:t>
      </w:r>
      <w:r w:rsidRPr="00AC4931">
        <w:rPr>
          <w:rFonts w:ascii="Arial" w:eastAsia="宋体" w:hAnsi="Arial" w:cs="Arial"/>
          <w:b/>
          <w:bCs/>
          <w:color w:val="000000"/>
          <w:spacing w:val="17"/>
          <w:kern w:val="0"/>
          <w:sz w:val="17"/>
          <w:szCs w:val="17"/>
        </w:rPr>
        <w:t> </w:t>
      </w:r>
      <w:r w:rsidRPr="00AC4931">
        <w:rPr>
          <w:rFonts w:ascii="Arial" w:eastAsia="宋体" w:hAnsi="Arial" w:cs="Arial"/>
          <w:b/>
          <w:bCs/>
          <w:color w:val="000000"/>
          <w:kern w:val="0"/>
          <w:sz w:val="17"/>
          <w:szCs w:val="17"/>
        </w:rPr>
        <w:t>31,</w:t>
      </w:r>
      <w:r w:rsidRPr="00AC4931">
        <w:rPr>
          <w:rFonts w:ascii="Arial" w:eastAsia="宋体" w:hAnsi="Arial" w:cs="Arial"/>
          <w:b/>
          <w:bCs/>
          <w:color w:val="000000"/>
          <w:spacing w:val="5"/>
          <w:kern w:val="0"/>
          <w:sz w:val="17"/>
          <w:szCs w:val="17"/>
        </w:rPr>
        <w:t> </w:t>
      </w:r>
      <w:r w:rsidRPr="00AC4931">
        <w:rPr>
          <w:rFonts w:ascii="Arial" w:eastAsia="宋体" w:hAnsi="Arial" w:cs="Arial"/>
          <w:b/>
          <w:bCs/>
          <w:color w:val="000000"/>
          <w:kern w:val="0"/>
          <w:sz w:val="17"/>
          <w:szCs w:val="17"/>
        </w:rPr>
        <w:t>2020</w:t>
      </w:r>
    </w:p>
    <w:p w14:paraId="39600C92" w14:textId="77777777" w:rsidR="00AC4931" w:rsidRPr="00AC4931" w:rsidRDefault="00AC4931" w:rsidP="00AC4931">
      <w:pPr>
        <w:widowControl/>
        <w:jc w:val="center"/>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p w14:paraId="34CF0FD6" w14:textId="77777777" w:rsidR="00AC4931" w:rsidRPr="00AC4931" w:rsidRDefault="00AC4931" w:rsidP="00AC4931">
      <w:pPr>
        <w:widowControl/>
        <w:jc w:val="center"/>
        <w:rPr>
          <w:rFonts w:ascii="Arial" w:eastAsia="宋体" w:hAnsi="Arial" w:cs="Arial" w:hint="eastAsia"/>
          <w:b/>
          <w:bCs/>
          <w:color w:val="000000"/>
          <w:kern w:val="0"/>
          <w:sz w:val="17"/>
          <w:szCs w:val="17"/>
        </w:rPr>
      </w:pPr>
      <w:r w:rsidRPr="00AC4931">
        <w:rPr>
          <w:rFonts w:ascii="Arial" w:eastAsia="宋体" w:hAnsi="Arial" w:cs="Arial"/>
          <w:b/>
          <w:bCs/>
          <w:color w:val="000000"/>
          <w:kern w:val="0"/>
          <w:sz w:val="17"/>
          <w:szCs w:val="17"/>
        </w:rPr>
        <w:t>or</w:t>
      </w:r>
    </w:p>
    <w:p w14:paraId="069F5392" w14:textId="77777777" w:rsidR="00AC4931" w:rsidRPr="00AC4931" w:rsidRDefault="00AC4931" w:rsidP="00AC4931">
      <w:pPr>
        <w:widowControl/>
        <w:jc w:val="center"/>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676"/>
        <w:gridCol w:w="19938"/>
      </w:tblGrid>
      <w:tr w:rsidR="00AC4931" w:rsidRPr="00AC4931" w14:paraId="052B6EB5" w14:textId="77777777" w:rsidTr="00AC4931">
        <w:tc>
          <w:tcPr>
            <w:tcW w:w="676" w:type="dxa"/>
            <w:hideMark/>
          </w:tcPr>
          <w:p w14:paraId="2955BED0" w14:textId="77777777" w:rsidR="00AC4931" w:rsidRPr="00AC4931" w:rsidRDefault="00AC4931" w:rsidP="00AC4931">
            <w:pPr>
              <w:widowControl/>
              <w:jc w:val="left"/>
              <w:rPr>
                <w:rFonts w:ascii="Segoe UI Symbol" w:eastAsia="宋体" w:hAnsi="Segoe UI Symbol" w:cs="宋体" w:hint="eastAsia"/>
                <w:kern w:val="0"/>
                <w:sz w:val="16"/>
                <w:szCs w:val="16"/>
              </w:rPr>
            </w:pPr>
            <w:r w:rsidRPr="00AC4931">
              <w:rPr>
                <w:rFonts w:ascii="Segoe UI Symbol" w:eastAsia="宋体" w:hAnsi="Segoe UI Symbol" w:cs="宋体"/>
                <w:kern w:val="0"/>
                <w:sz w:val="16"/>
                <w:szCs w:val="16"/>
              </w:rPr>
              <w:t>☐</w:t>
            </w:r>
          </w:p>
        </w:tc>
        <w:tc>
          <w:tcPr>
            <w:tcW w:w="19938" w:type="dxa"/>
            <w:hideMark/>
          </w:tcPr>
          <w:p w14:paraId="598602EF" w14:textId="77777777" w:rsidR="00AC4931" w:rsidRPr="00AC4931" w:rsidRDefault="00AC4931" w:rsidP="00AC4931">
            <w:pPr>
              <w:widowControl/>
              <w:jc w:val="left"/>
              <w:rPr>
                <w:rFonts w:ascii="Arial" w:eastAsia="宋体" w:hAnsi="Arial" w:cs="Arial"/>
                <w:b/>
                <w:bCs/>
                <w:kern w:val="0"/>
                <w:sz w:val="16"/>
                <w:szCs w:val="16"/>
              </w:rPr>
            </w:pPr>
            <w:r w:rsidRPr="00AC4931">
              <w:rPr>
                <w:rFonts w:ascii="Arial" w:eastAsia="宋体" w:hAnsi="Arial" w:cs="Arial"/>
                <w:b/>
                <w:bCs/>
                <w:kern w:val="0"/>
                <w:sz w:val="16"/>
                <w:szCs w:val="16"/>
              </w:rPr>
              <w:t>TRANSITION REPORT PURSUANT TO SECTION 13 OR 15(d) OF THE SECURITIES EXCHANGE ACT OF 1934</w:t>
            </w:r>
          </w:p>
        </w:tc>
      </w:tr>
    </w:tbl>
    <w:p w14:paraId="6E42CE19" w14:textId="77777777" w:rsidR="00AC4931" w:rsidRPr="00AC4931" w:rsidRDefault="00AC4931" w:rsidP="00AC4931">
      <w:pPr>
        <w:widowControl/>
        <w:jc w:val="center"/>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p w14:paraId="13E985B4" w14:textId="77777777" w:rsidR="00AC4931" w:rsidRPr="00AC4931" w:rsidRDefault="00AC4931" w:rsidP="00AC4931">
      <w:pPr>
        <w:widowControl/>
        <w:jc w:val="center"/>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rPr>
        <w:t>For the transition period from  _________  to _________</w:t>
      </w:r>
    </w:p>
    <w:p w14:paraId="00BAFE2C" w14:textId="77777777" w:rsidR="00AC4931" w:rsidRPr="00AC4931" w:rsidRDefault="00AC4931" w:rsidP="00AC4931">
      <w:pPr>
        <w:widowControl/>
        <w:rPr>
          <w:rFonts w:ascii="微软雅黑" w:eastAsia="微软雅黑" w:hAnsi="微软雅黑" w:cs="宋体"/>
          <w:color w:val="000000"/>
          <w:kern w:val="0"/>
          <w:sz w:val="6"/>
          <w:szCs w:val="6"/>
        </w:rPr>
      </w:pPr>
      <w:r w:rsidRPr="00AC4931">
        <w:rPr>
          <w:rFonts w:ascii="微软雅黑" w:eastAsia="微软雅黑" w:hAnsi="微软雅黑" w:cs="宋体" w:hint="eastAsia"/>
          <w:color w:val="000000"/>
          <w:kern w:val="0"/>
          <w:sz w:val="6"/>
          <w:szCs w:val="6"/>
        </w:rPr>
        <w:t> </w:t>
      </w:r>
    </w:p>
    <w:p w14:paraId="20B57ECE" w14:textId="77777777" w:rsidR="00AC4931" w:rsidRPr="00AC4931" w:rsidRDefault="00AC4931" w:rsidP="00AC4931">
      <w:pPr>
        <w:widowControl/>
        <w:jc w:val="center"/>
        <w:rPr>
          <w:rFonts w:ascii="微软雅黑" w:eastAsia="微软雅黑" w:hAnsi="微软雅黑" w:cs="宋体" w:hint="eastAsia"/>
          <w:b/>
          <w:bCs/>
          <w:color w:val="000000"/>
          <w:kern w:val="0"/>
          <w:sz w:val="6"/>
          <w:szCs w:val="6"/>
        </w:rPr>
      </w:pPr>
      <w:r w:rsidRPr="00AC4931">
        <w:rPr>
          <w:rFonts w:ascii="微软雅黑" w:eastAsia="微软雅黑" w:hAnsi="微软雅黑" w:cs="宋体" w:hint="eastAsia"/>
          <w:b/>
          <w:bCs/>
          <w:color w:val="000000"/>
          <w:kern w:val="0"/>
          <w:sz w:val="6"/>
          <w:szCs w:val="6"/>
        </w:rPr>
        <w:t> </w:t>
      </w:r>
    </w:p>
    <w:p w14:paraId="6DCE6DBD" w14:textId="77777777" w:rsidR="00AC4931" w:rsidRPr="00AC4931" w:rsidRDefault="00AC4931" w:rsidP="00AC4931">
      <w:pPr>
        <w:widowControl/>
        <w:jc w:val="center"/>
        <w:rPr>
          <w:rFonts w:ascii="Arial" w:eastAsia="宋体" w:hAnsi="Arial" w:cs="Arial" w:hint="eastAsia"/>
          <w:b/>
          <w:bCs/>
          <w:color w:val="000000"/>
          <w:kern w:val="0"/>
          <w:sz w:val="17"/>
          <w:szCs w:val="17"/>
        </w:rPr>
      </w:pPr>
      <w:r w:rsidRPr="00AC4931">
        <w:rPr>
          <w:rFonts w:ascii="Arial" w:eastAsia="宋体" w:hAnsi="Arial" w:cs="Arial"/>
          <w:b/>
          <w:bCs/>
          <w:color w:val="000000"/>
          <w:kern w:val="0"/>
          <w:sz w:val="17"/>
          <w:szCs w:val="17"/>
        </w:rPr>
        <w:t>Commission</w:t>
      </w:r>
      <w:r w:rsidRPr="00AC4931">
        <w:rPr>
          <w:rFonts w:ascii="Arial" w:eastAsia="宋体" w:hAnsi="Arial" w:cs="Arial"/>
          <w:b/>
          <w:bCs/>
          <w:color w:val="000000"/>
          <w:spacing w:val="21"/>
          <w:kern w:val="0"/>
          <w:sz w:val="17"/>
          <w:szCs w:val="17"/>
        </w:rPr>
        <w:t> </w:t>
      </w:r>
      <w:r w:rsidRPr="00AC4931">
        <w:rPr>
          <w:rFonts w:ascii="Arial" w:eastAsia="宋体" w:hAnsi="Arial" w:cs="Arial"/>
          <w:b/>
          <w:bCs/>
          <w:color w:val="000000"/>
          <w:kern w:val="0"/>
          <w:sz w:val="17"/>
          <w:szCs w:val="17"/>
        </w:rPr>
        <w:t>file</w:t>
      </w:r>
      <w:r w:rsidRPr="00AC4931">
        <w:rPr>
          <w:rFonts w:ascii="Arial" w:eastAsia="宋体" w:hAnsi="Arial" w:cs="Arial"/>
          <w:b/>
          <w:bCs/>
          <w:color w:val="000000"/>
          <w:spacing w:val="5"/>
          <w:kern w:val="0"/>
          <w:sz w:val="17"/>
          <w:szCs w:val="17"/>
        </w:rPr>
        <w:t> </w:t>
      </w:r>
      <w:r w:rsidRPr="00AC4931">
        <w:rPr>
          <w:rFonts w:ascii="Arial" w:eastAsia="宋体" w:hAnsi="Arial" w:cs="Arial"/>
          <w:b/>
          <w:bCs/>
          <w:color w:val="000000"/>
          <w:kern w:val="0"/>
          <w:sz w:val="17"/>
          <w:szCs w:val="17"/>
        </w:rPr>
        <w:t>nu</w:t>
      </w:r>
      <w:r w:rsidRPr="00AC4931">
        <w:rPr>
          <w:rFonts w:ascii="Arial" w:eastAsia="宋体" w:hAnsi="Arial" w:cs="Arial"/>
          <w:b/>
          <w:bCs/>
          <w:color w:val="000000"/>
          <w:spacing w:val="-2"/>
          <w:kern w:val="0"/>
          <w:sz w:val="17"/>
          <w:szCs w:val="17"/>
        </w:rPr>
        <w:t>m</w:t>
      </w:r>
      <w:r w:rsidRPr="00AC4931">
        <w:rPr>
          <w:rFonts w:ascii="Arial" w:eastAsia="宋体" w:hAnsi="Arial" w:cs="Arial"/>
          <w:b/>
          <w:bCs/>
          <w:color w:val="000000"/>
          <w:kern w:val="0"/>
          <w:sz w:val="17"/>
          <w:szCs w:val="17"/>
        </w:rPr>
        <w:t>ber:</w:t>
      </w:r>
      <w:r w:rsidRPr="00AC4931">
        <w:rPr>
          <w:rFonts w:ascii="Arial" w:eastAsia="宋体" w:hAnsi="Arial" w:cs="Arial"/>
          <w:b/>
          <w:bCs/>
          <w:color w:val="000000"/>
          <w:spacing w:val="14"/>
          <w:kern w:val="0"/>
          <w:sz w:val="17"/>
          <w:szCs w:val="17"/>
        </w:rPr>
        <w:t> </w:t>
      </w:r>
      <w:r w:rsidRPr="00AC4931">
        <w:rPr>
          <w:rFonts w:ascii="Arial" w:eastAsia="宋体" w:hAnsi="Arial" w:cs="Arial"/>
          <w:b/>
          <w:bCs/>
          <w:color w:val="000000"/>
          <w:kern w:val="0"/>
          <w:sz w:val="17"/>
          <w:szCs w:val="17"/>
          <w:u w:val="single"/>
        </w:rPr>
        <w:t>001-</w:t>
      </w:r>
      <w:r w:rsidRPr="00AC4931">
        <w:rPr>
          <w:rFonts w:ascii="Arial" w:eastAsia="宋体" w:hAnsi="Arial" w:cs="Arial"/>
          <w:b/>
          <w:bCs/>
          <w:color w:val="000000"/>
          <w:spacing w:val="-1"/>
          <w:kern w:val="0"/>
          <w:sz w:val="17"/>
          <w:szCs w:val="17"/>
          <w:u w:val="single"/>
        </w:rPr>
        <w:t>12</w:t>
      </w:r>
      <w:r w:rsidRPr="00AC4931">
        <w:rPr>
          <w:rFonts w:ascii="Arial" w:eastAsia="宋体" w:hAnsi="Arial" w:cs="Arial"/>
          <w:b/>
          <w:bCs/>
          <w:color w:val="000000"/>
          <w:kern w:val="0"/>
          <w:sz w:val="17"/>
          <w:szCs w:val="17"/>
          <w:u w:val="single"/>
        </w:rPr>
        <w:t>9</w:t>
      </w:r>
      <w:r w:rsidRPr="00AC4931">
        <w:rPr>
          <w:rFonts w:ascii="Arial" w:eastAsia="宋体" w:hAnsi="Arial" w:cs="Arial"/>
          <w:b/>
          <w:bCs/>
          <w:color w:val="000000"/>
          <w:spacing w:val="-1"/>
          <w:kern w:val="0"/>
          <w:sz w:val="17"/>
          <w:szCs w:val="17"/>
          <w:u w:val="single"/>
        </w:rPr>
        <w:t>33</w:t>
      </w:r>
    </w:p>
    <w:p w14:paraId="2354ED40" w14:textId="77777777" w:rsidR="00AC4931" w:rsidRPr="00AC4931" w:rsidRDefault="00AC4931" w:rsidP="00AC4931">
      <w:pPr>
        <w:widowControl/>
        <w:spacing w:before="120"/>
        <w:jc w:val="center"/>
        <w:rPr>
          <w:rFonts w:ascii="Arial" w:eastAsia="宋体" w:hAnsi="Arial" w:cs="Arial"/>
          <w:b/>
          <w:bCs/>
          <w:kern w:val="0"/>
          <w:sz w:val="30"/>
          <w:szCs w:val="30"/>
        </w:rPr>
      </w:pPr>
      <w:r w:rsidRPr="00AC4931">
        <w:rPr>
          <w:rFonts w:ascii="Arial" w:eastAsia="宋体" w:hAnsi="Arial" w:cs="Arial"/>
          <w:b/>
          <w:bCs/>
          <w:kern w:val="0"/>
          <w:sz w:val="30"/>
          <w:szCs w:val="30"/>
        </w:rPr>
        <w:t>AUTOLIV,</w:t>
      </w:r>
      <w:r w:rsidRPr="00AC4931">
        <w:rPr>
          <w:rFonts w:ascii="Arial" w:eastAsia="宋体" w:hAnsi="Arial" w:cs="Arial"/>
          <w:b/>
          <w:bCs/>
          <w:spacing w:val="23"/>
          <w:kern w:val="0"/>
          <w:sz w:val="30"/>
          <w:szCs w:val="30"/>
        </w:rPr>
        <w:t> </w:t>
      </w:r>
      <w:r w:rsidRPr="00AC4931">
        <w:rPr>
          <w:rFonts w:ascii="Arial" w:eastAsia="宋体" w:hAnsi="Arial" w:cs="Arial"/>
          <w:b/>
          <w:bCs/>
          <w:kern w:val="0"/>
          <w:sz w:val="30"/>
          <w:szCs w:val="30"/>
        </w:rPr>
        <w:t>INC.</w:t>
      </w:r>
    </w:p>
    <w:p w14:paraId="0C1E7C9B" w14:textId="77777777" w:rsidR="00AC4931" w:rsidRPr="00AC4931" w:rsidRDefault="00AC4931" w:rsidP="00AC4931">
      <w:pPr>
        <w:widowControl/>
        <w:jc w:val="center"/>
        <w:rPr>
          <w:rFonts w:ascii="Arial" w:eastAsia="宋体" w:hAnsi="Arial" w:cs="Arial"/>
          <w:b/>
          <w:bCs/>
          <w:color w:val="000000"/>
          <w:kern w:val="0"/>
          <w:sz w:val="17"/>
          <w:szCs w:val="17"/>
        </w:rPr>
      </w:pPr>
      <w:r w:rsidRPr="00AC4931">
        <w:rPr>
          <w:rFonts w:ascii="Arial" w:eastAsia="宋体" w:hAnsi="Arial" w:cs="Arial"/>
          <w:b/>
          <w:bCs/>
          <w:color w:val="000000"/>
          <w:kern w:val="0"/>
          <w:sz w:val="17"/>
          <w:szCs w:val="17"/>
        </w:rPr>
        <w:t>(Exact</w:t>
      </w:r>
      <w:r w:rsidRPr="00AC4931">
        <w:rPr>
          <w:rFonts w:ascii="Arial" w:eastAsia="宋体" w:hAnsi="Arial" w:cs="Arial"/>
          <w:b/>
          <w:bCs/>
          <w:color w:val="000000"/>
          <w:spacing w:val="11"/>
          <w:kern w:val="0"/>
          <w:sz w:val="17"/>
          <w:szCs w:val="17"/>
        </w:rPr>
        <w:t> </w:t>
      </w:r>
      <w:r w:rsidRPr="00AC4931">
        <w:rPr>
          <w:rFonts w:ascii="Arial" w:eastAsia="宋体" w:hAnsi="Arial" w:cs="Arial"/>
          <w:b/>
          <w:bCs/>
          <w:color w:val="000000"/>
          <w:kern w:val="0"/>
          <w:sz w:val="17"/>
          <w:szCs w:val="17"/>
        </w:rPr>
        <w:t>name</w:t>
      </w:r>
      <w:r w:rsidRPr="00AC4931">
        <w:rPr>
          <w:rFonts w:ascii="Arial" w:eastAsia="宋体" w:hAnsi="Arial" w:cs="Arial"/>
          <w:b/>
          <w:bCs/>
          <w:color w:val="000000"/>
          <w:spacing w:val="10"/>
          <w:kern w:val="0"/>
          <w:sz w:val="17"/>
          <w:szCs w:val="17"/>
        </w:rPr>
        <w:t> </w:t>
      </w:r>
      <w:r w:rsidRPr="00AC4931">
        <w:rPr>
          <w:rFonts w:ascii="Arial" w:eastAsia="宋体" w:hAnsi="Arial" w:cs="Arial"/>
          <w:b/>
          <w:bCs/>
          <w:color w:val="000000"/>
          <w:kern w:val="0"/>
          <w:sz w:val="17"/>
          <w:szCs w:val="17"/>
        </w:rPr>
        <w:t>of</w:t>
      </w:r>
      <w:r w:rsidRPr="00AC4931">
        <w:rPr>
          <w:rFonts w:ascii="Arial" w:eastAsia="宋体" w:hAnsi="Arial" w:cs="Arial"/>
          <w:b/>
          <w:bCs/>
          <w:color w:val="000000"/>
          <w:spacing w:val="3"/>
          <w:kern w:val="0"/>
          <w:sz w:val="17"/>
          <w:szCs w:val="17"/>
        </w:rPr>
        <w:t> </w:t>
      </w:r>
      <w:r w:rsidRPr="00AC4931">
        <w:rPr>
          <w:rFonts w:ascii="Arial" w:eastAsia="宋体" w:hAnsi="Arial" w:cs="Arial"/>
          <w:b/>
          <w:bCs/>
          <w:color w:val="000000"/>
          <w:kern w:val="0"/>
          <w:sz w:val="17"/>
          <w:szCs w:val="17"/>
        </w:rPr>
        <w:t>registra</w:t>
      </w:r>
      <w:r w:rsidRPr="00AC4931">
        <w:rPr>
          <w:rFonts w:ascii="Arial" w:eastAsia="宋体" w:hAnsi="Arial" w:cs="Arial"/>
          <w:b/>
          <w:bCs/>
          <w:color w:val="000000"/>
          <w:spacing w:val="-1"/>
          <w:kern w:val="0"/>
          <w:sz w:val="17"/>
          <w:szCs w:val="17"/>
        </w:rPr>
        <w:t>n</w:t>
      </w:r>
      <w:r w:rsidRPr="00AC4931">
        <w:rPr>
          <w:rFonts w:ascii="Arial" w:eastAsia="宋体" w:hAnsi="Arial" w:cs="Arial"/>
          <w:b/>
          <w:bCs/>
          <w:color w:val="000000"/>
          <w:kern w:val="0"/>
          <w:sz w:val="17"/>
          <w:szCs w:val="17"/>
        </w:rPr>
        <w:t>t</w:t>
      </w:r>
      <w:r w:rsidRPr="00AC4931">
        <w:rPr>
          <w:rFonts w:ascii="Arial" w:eastAsia="宋体" w:hAnsi="Arial" w:cs="Arial"/>
          <w:b/>
          <w:bCs/>
          <w:color w:val="000000"/>
          <w:spacing w:val="17"/>
          <w:kern w:val="0"/>
          <w:sz w:val="17"/>
          <w:szCs w:val="17"/>
        </w:rPr>
        <w:t> </w:t>
      </w:r>
      <w:r w:rsidRPr="00AC4931">
        <w:rPr>
          <w:rFonts w:ascii="Arial" w:eastAsia="宋体" w:hAnsi="Arial" w:cs="Arial"/>
          <w:b/>
          <w:bCs/>
          <w:color w:val="000000"/>
          <w:kern w:val="0"/>
          <w:sz w:val="17"/>
          <w:szCs w:val="17"/>
        </w:rPr>
        <w:t>as</w:t>
      </w:r>
      <w:r w:rsidRPr="00AC4931">
        <w:rPr>
          <w:rFonts w:ascii="Arial" w:eastAsia="宋体" w:hAnsi="Arial" w:cs="Arial"/>
          <w:b/>
          <w:bCs/>
          <w:color w:val="000000"/>
          <w:spacing w:val="4"/>
          <w:kern w:val="0"/>
          <w:sz w:val="17"/>
          <w:szCs w:val="17"/>
        </w:rPr>
        <w:t> </w:t>
      </w:r>
      <w:r w:rsidRPr="00AC4931">
        <w:rPr>
          <w:rFonts w:ascii="Arial" w:eastAsia="宋体" w:hAnsi="Arial" w:cs="Arial"/>
          <w:b/>
          <w:bCs/>
          <w:color w:val="000000"/>
          <w:kern w:val="0"/>
          <w:sz w:val="17"/>
          <w:szCs w:val="17"/>
        </w:rPr>
        <w:t>specified</w:t>
      </w:r>
      <w:r w:rsidRPr="00AC4931">
        <w:rPr>
          <w:rFonts w:ascii="Arial" w:eastAsia="宋体" w:hAnsi="Arial" w:cs="Arial"/>
          <w:b/>
          <w:bCs/>
          <w:color w:val="000000"/>
          <w:spacing w:val="15"/>
          <w:kern w:val="0"/>
          <w:sz w:val="17"/>
          <w:szCs w:val="17"/>
        </w:rPr>
        <w:t> </w:t>
      </w:r>
      <w:r w:rsidRPr="00AC4931">
        <w:rPr>
          <w:rFonts w:ascii="Arial" w:eastAsia="宋体" w:hAnsi="Arial" w:cs="Arial"/>
          <w:b/>
          <w:bCs/>
          <w:color w:val="000000"/>
          <w:kern w:val="0"/>
          <w:sz w:val="17"/>
          <w:szCs w:val="17"/>
        </w:rPr>
        <w:t>in</w:t>
      </w:r>
      <w:r w:rsidRPr="00AC4931">
        <w:rPr>
          <w:rFonts w:ascii="Arial" w:eastAsia="宋体" w:hAnsi="Arial" w:cs="Arial"/>
          <w:b/>
          <w:bCs/>
          <w:color w:val="000000"/>
          <w:spacing w:val="4"/>
          <w:kern w:val="0"/>
          <w:sz w:val="17"/>
          <w:szCs w:val="17"/>
        </w:rPr>
        <w:t> </w:t>
      </w:r>
      <w:r w:rsidRPr="00AC4931">
        <w:rPr>
          <w:rFonts w:ascii="Arial" w:eastAsia="宋体" w:hAnsi="Arial" w:cs="Arial"/>
          <w:b/>
          <w:bCs/>
          <w:color w:val="000000"/>
          <w:kern w:val="0"/>
          <w:sz w:val="17"/>
          <w:szCs w:val="17"/>
        </w:rPr>
        <w:t>its</w:t>
      </w:r>
      <w:r w:rsidRPr="00AC4931">
        <w:rPr>
          <w:rFonts w:ascii="Arial" w:eastAsia="宋体" w:hAnsi="Arial" w:cs="Arial"/>
          <w:b/>
          <w:bCs/>
          <w:color w:val="000000"/>
          <w:spacing w:val="4"/>
          <w:kern w:val="0"/>
          <w:sz w:val="17"/>
          <w:szCs w:val="17"/>
        </w:rPr>
        <w:t> </w:t>
      </w:r>
      <w:r w:rsidRPr="00AC4931">
        <w:rPr>
          <w:rFonts w:ascii="Arial" w:eastAsia="宋体" w:hAnsi="Arial" w:cs="Arial"/>
          <w:b/>
          <w:bCs/>
          <w:color w:val="000000"/>
          <w:kern w:val="0"/>
          <w:sz w:val="17"/>
          <w:szCs w:val="17"/>
        </w:rPr>
        <w:t>charter)</w:t>
      </w:r>
    </w:p>
    <w:p w14:paraId="089EFD4F" w14:textId="77777777" w:rsidR="00AC4931" w:rsidRPr="00AC4931" w:rsidRDefault="00AC4931" w:rsidP="00AC4931">
      <w:pPr>
        <w:widowControl/>
        <w:jc w:val="left"/>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307"/>
        <w:gridCol w:w="10307"/>
      </w:tblGrid>
      <w:tr w:rsidR="00AC4931" w:rsidRPr="00AC4931" w14:paraId="1C1ADE0F" w14:textId="77777777" w:rsidTr="00AC4931">
        <w:tc>
          <w:tcPr>
            <w:tcW w:w="10292" w:type="dxa"/>
            <w:shd w:val="clear" w:color="auto" w:fill="FFFFFF"/>
            <w:tcMar>
              <w:top w:w="15" w:type="dxa"/>
              <w:left w:w="0" w:type="dxa"/>
              <w:bottom w:w="0" w:type="dxa"/>
              <w:right w:w="15" w:type="dxa"/>
            </w:tcMar>
            <w:hideMark/>
          </w:tcPr>
          <w:p w14:paraId="56687F9D" w14:textId="77777777" w:rsidR="00AC4931" w:rsidRPr="00AC4931" w:rsidRDefault="00AC4931" w:rsidP="00AC4931">
            <w:pPr>
              <w:widowControl/>
              <w:jc w:val="center"/>
              <w:rPr>
                <w:rFonts w:ascii="Arial" w:eastAsia="宋体" w:hAnsi="Arial" w:cs="Arial" w:hint="eastAsia"/>
                <w:b/>
                <w:bCs/>
                <w:kern w:val="0"/>
                <w:sz w:val="17"/>
                <w:szCs w:val="17"/>
              </w:rPr>
            </w:pPr>
            <w:r w:rsidRPr="00AC4931">
              <w:rPr>
                <w:rFonts w:ascii="Arial" w:eastAsia="宋体" w:hAnsi="Arial" w:cs="Arial"/>
                <w:b/>
                <w:bCs/>
                <w:kern w:val="0"/>
                <w:sz w:val="17"/>
                <w:szCs w:val="17"/>
              </w:rPr>
              <w:t>Delaware</w:t>
            </w:r>
          </w:p>
        </w:tc>
        <w:tc>
          <w:tcPr>
            <w:tcW w:w="10292" w:type="dxa"/>
            <w:shd w:val="clear" w:color="auto" w:fill="FFFFFF"/>
            <w:tcMar>
              <w:top w:w="15" w:type="dxa"/>
              <w:left w:w="0" w:type="dxa"/>
              <w:bottom w:w="0" w:type="dxa"/>
              <w:right w:w="15" w:type="dxa"/>
            </w:tcMar>
            <w:hideMark/>
          </w:tcPr>
          <w:p w14:paraId="01F4818E" w14:textId="77777777" w:rsidR="00AC4931" w:rsidRPr="00AC4931" w:rsidRDefault="00AC4931" w:rsidP="00AC4931">
            <w:pPr>
              <w:widowControl/>
              <w:jc w:val="center"/>
              <w:rPr>
                <w:rFonts w:ascii="Arial" w:eastAsia="宋体" w:hAnsi="Arial" w:cs="Arial"/>
                <w:b/>
                <w:bCs/>
                <w:spacing w:val="-1"/>
                <w:kern w:val="0"/>
                <w:sz w:val="17"/>
                <w:szCs w:val="17"/>
              </w:rPr>
            </w:pPr>
            <w:r w:rsidRPr="00AC4931">
              <w:rPr>
                <w:rFonts w:ascii="Arial" w:eastAsia="宋体" w:hAnsi="Arial" w:cs="Arial"/>
                <w:b/>
                <w:bCs/>
                <w:spacing w:val="-1"/>
                <w:kern w:val="0"/>
                <w:sz w:val="17"/>
                <w:szCs w:val="17"/>
              </w:rPr>
              <w:t>51-0378542</w:t>
            </w:r>
          </w:p>
        </w:tc>
      </w:tr>
      <w:tr w:rsidR="00AC4931" w:rsidRPr="00AC4931" w14:paraId="183AD296" w14:textId="77777777" w:rsidTr="00AC4931">
        <w:tc>
          <w:tcPr>
            <w:tcW w:w="10292" w:type="dxa"/>
            <w:shd w:val="clear" w:color="auto" w:fill="FFFFFF"/>
            <w:tcMar>
              <w:top w:w="15" w:type="dxa"/>
              <w:left w:w="0" w:type="dxa"/>
              <w:bottom w:w="0" w:type="dxa"/>
              <w:right w:w="15" w:type="dxa"/>
            </w:tcMar>
            <w:hideMark/>
          </w:tcPr>
          <w:p w14:paraId="4DC5A524" w14:textId="77777777" w:rsidR="00AC4931" w:rsidRPr="00AC4931" w:rsidRDefault="00AC4931" w:rsidP="00AC4931">
            <w:pPr>
              <w:widowControl/>
              <w:jc w:val="center"/>
              <w:rPr>
                <w:rFonts w:ascii="Arial" w:eastAsia="宋体" w:hAnsi="Arial" w:cs="Arial"/>
                <w:b/>
                <w:bCs/>
                <w:kern w:val="0"/>
                <w:sz w:val="14"/>
                <w:szCs w:val="14"/>
              </w:rPr>
            </w:pPr>
            <w:r w:rsidRPr="00AC4931">
              <w:rPr>
                <w:rFonts w:ascii="Arial" w:eastAsia="宋体" w:hAnsi="Arial" w:cs="Arial"/>
                <w:b/>
                <w:bCs/>
                <w:kern w:val="0"/>
                <w:sz w:val="14"/>
                <w:szCs w:val="14"/>
              </w:rPr>
              <w:t>(State</w:t>
            </w:r>
            <w:r w:rsidRPr="00AC4931">
              <w:rPr>
                <w:rFonts w:ascii="Arial" w:eastAsia="宋体" w:hAnsi="Arial" w:cs="Arial"/>
                <w:b/>
                <w:bCs/>
                <w:spacing w:val="18"/>
                <w:kern w:val="0"/>
                <w:sz w:val="14"/>
                <w:szCs w:val="14"/>
              </w:rPr>
              <w:t> </w:t>
            </w:r>
            <w:r w:rsidRPr="00AC4931">
              <w:rPr>
                <w:rFonts w:ascii="Arial" w:eastAsia="宋体" w:hAnsi="Arial" w:cs="Arial"/>
                <w:b/>
                <w:bCs/>
                <w:kern w:val="0"/>
                <w:sz w:val="14"/>
                <w:szCs w:val="14"/>
              </w:rPr>
              <w:t>or</w:t>
            </w:r>
            <w:r w:rsidRPr="00AC4931">
              <w:rPr>
                <w:rFonts w:ascii="Arial" w:eastAsia="宋体" w:hAnsi="Arial" w:cs="Arial"/>
                <w:b/>
                <w:bCs/>
                <w:spacing w:val="9"/>
                <w:kern w:val="0"/>
                <w:sz w:val="14"/>
                <w:szCs w:val="14"/>
              </w:rPr>
              <w:t> </w:t>
            </w:r>
            <w:r w:rsidRPr="00AC4931">
              <w:rPr>
                <w:rFonts w:ascii="Arial" w:eastAsia="宋体" w:hAnsi="Arial" w:cs="Arial"/>
                <w:b/>
                <w:bCs/>
                <w:kern w:val="0"/>
                <w:sz w:val="14"/>
                <w:szCs w:val="14"/>
              </w:rPr>
              <w:t>o</w:t>
            </w:r>
            <w:r w:rsidRPr="00AC4931">
              <w:rPr>
                <w:rFonts w:ascii="Arial" w:eastAsia="宋体" w:hAnsi="Arial" w:cs="Arial"/>
                <w:b/>
                <w:bCs/>
                <w:spacing w:val="-1"/>
                <w:kern w:val="0"/>
                <w:sz w:val="14"/>
                <w:szCs w:val="14"/>
              </w:rPr>
              <w:t>t</w:t>
            </w:r>
            <w:r w:rsidRPr="00AC4931">
              <w:rPr>
                <w:rFonts w:ascii="Arial" w:eastAsia="宋体" w:hAnsi="Arial" w:cs="Arial"/>
                <w:b/>
                <w:bCs/>
                <w:kern w:val="0"/>
                <w:sz w:val="14"/>
                <w:szCs w:val="14"/>
              </w:rPr>
              <w:t>her</w:t>
            </w:r>
            <w:r w:rsidRPr="00AC4931">
              <w:rPr>
                <w:rFonts w:ascii="Arial" w:eastAsia="宋体" w:hAnsi="Arial" w:cs="Arial"/>
                <w:b/>
                <w:bCs/>
                <w:spacing w:val="18"/>
                <w:kern w:val="0"/>
                <w:sz w:val="14"/>
                <w:szCs w:val="14"/>
              </w:rPr>
              <w:t> </w:t>
            </w:r>
            <w:r w:rsidRPr="00AC4931">
              <w:rPr>
                <w:rFonts w:ascii="Arial" w:eastAsia="宋体" w:hAnsi="Arial" w:cs="Arial"/>
                <w:b/>
                <w:bCs/>
                <w:kern w:val="0"/>
                <w:sz w:val="14"/>
                <w:szCs w:val="14"/>
              </w:rPr>
              <w:t>j</w:t>
            </w:r>
            <w:r w:rsidRPr="00AC4931">
              <w:rPr>
                <w:rFonts w:ascii="Arial" w:eastAsia="宋体" w:hAnsi="Arial" w:cs="Arial"/>
                <w:b/>
                <w:bCs/>
                <w:spacing w:val="-1"/>
                <w:kern w:val="0"/>
                <w:sz w:val="14"/>
                <w:szCs w:val="14"/>
              </w:rPr>
              <w:t>u</w:t>
            </w:r>
            <w:r w:rsidRPr="00AC4931">
              <w:rPr>
                <w:rFonts w:ascii="Arial" w:eastAsia="宋体" w:hAnsi="Arial" w:cs="Arial"/>
                <w:b/>
                <w:bCs/>
                <w:kern w:val="0"/>
                <w:sz w:val="14"/>
                <w:szCs w:val="14"/>
              </w:rPr>
              <w:t>risdiction</w:t>
            </w:r>
            <w:r w:rsidRPr="00AC4931">
              <w:rPr>
                <w:rFonts w:ascii="Arial" w:eastAsia="宋体" w:hAnsi="Arial" w:cs="Arial"/>
                <w:b/>
                <w:bCs/>
                <w:spacing w:val="1"/>
                <w:kern w:val="0"/>
                <w:sz w:val="14"/>
                <w:szCs w:val="14"/>
              </w:rPr>
              <w:t> </w:t>
            </w:r>
            <w:r w:rsidRPr="00AC4931">
              <w:rPr>
                <w:rFonts w:ascii="Arial" w:eastAsia="宋体" w:hAnsi="Arial" w:cs="Arial"/>
                <w:b/>
                <w:bCs/>
                <w:kern w:val="0"/>
                <w:sz w:val="14"/>
                <w:szCs w:val="14"/>
              </w:rPr>
              <w:t>of</w:t>
            </w:r>
          </w:p>
          <w:p w14:paraId="325D2FB2" w14:textId="77777777" w:rsidR="00AC4931" w:rsidRPr="00AC4931" w:rsidRDefault="00AC4931" w:rsidP="00AC4931">
            <w:pPr>
              <w:widowControl/>
              <w:jc w:val="center"/>
              <w:rPr>
                <w:rFonts w:ascii="Arial" w:eastAsia="宋体" w:hAnsi="Arial" w:cs="Arial"/>
                <w:b/>
                <w:bCs/>
                <w:kern w:val="0"/>
                <w:sz w:val="14"/>
                <w:szCs w:val="14"/>
              </w:rPr>
            </w:pPr>
            <w:r w:rsidRPr="00AC4931">
              <w:rPr>
                <w:rFonts w:ascii="Arial" w:eastAsia="宋体" w:hAnsi="Arial" w:cs="Arial"/>
                <w:b/>
                <w:bCs/>
                <w:kern w:val="0"/>
                <w:sz w:val="14"/>
                <w:szCs w:val="14"/>
              </w:rPr>
              <w:t>incorporat</w:t>
            </w:r>
            <w:r w:rsidRPr="00AC4931">
              <w:rPr>
                <w:rFonts w:ascii="Arial" w:eastAsia="宋体" w:hAnsi="Arial" w:cs="Arial"/>
                <w:b/>
                <w:bCs/>
                <w:spacing w:val="-1"/>
                <w:kern w:val="0"/>
                <w:sz w:val="14"/>
                <w:szCs w:val="14"/>
              </w:rPr>
              <w:t>i</w:t>
            </w:r>
            <w:r w:rsidRPr="00AC4931">
              <w:rPr>
                <w:rFonts w:ascii="Arial" w:eastAsia="宋体" w:hAnsi="Arial" w:cs="Arial"/>
                <w:b/>
                <w:bCs/>
                <w:kern w:val="0"/>
                <w:sz w:val="14"/>
                <w:szCs w:val="14"/>
              </w:rPr>
              <w:t>on or</w:t>
            </w:r>
            <w:r w:rsidRPr="00AC4931">
              <w:rPr>
                <w:rFonts w:ascii="Arial" w:eastAsia="宋体" w:hAnsi="Arial" w:cs="Arial"/>
                <w:b/>
                <w:bCs/>
                <w:spacing w:val="8"/>
                <w:kern w:val="0"/>
                <w:sz w:val="14"/>
                <w:szCs w:val="14"/>
              </w:rPr>
              <w:t> </w:t>
            </w:r>
            <w:r w:rsidRPr="00AC4931">
              <w:rPr>
                <w:rFonts w:ascii="Arial" w:eastAsia="宋体" w:hAnsi="Arial" w:cs="Arial"/>
                <w:b/>
                <w:bCs/>
                <w:kern w:val="0"/>
                <w:sz w:val="14"/>
                <w:szCs w:val="14"/>
              </w:rPr>
              <w:t>organiz</w:t>
            </w:r>
            <w:r w:rsidRPr="00AC4931">
              <w:rPr>
                <w:rFonts w:ascii="Arial" w:eastAsia="宋体" w:hAnsi="Arial" w:cs="Arial"/>
                <w:b/>
                <w:bCs/>
                <w:spacing w:val="-1"/>
                <w:kern w:val="0"/>
                <w:sz w:val="14"/>
                <w:szCs w:val="14"/>
              </w:rPr>
              <w:t>a</w:t>
            </w:r>
            <w:r w:rsidRPr="00AC4931">
              <w:rPr>
                <w:rFonts w:ascii="Arial" w:eastAsia="宋体" w:hAnsi="Arial" w:cs="Arial"/>
                <w:b/>
                <w:bCs/>
                <w:kern w:val="0"/>
                <w:sz w:val="14"/>
                <w:szCs w:val="14"/>
              </w:rPr>
              <w:t>tion)</w:t>
            </w:r>
          </w:p>
        </w:tc>
        <w:tc>
          <w:tcPr>
            <w:tcW w:w="10292" w:type="dxa"/>
            <w:shd w:val="clear" w:color="auto" w:fill="FFFFFF"/>
            <w:tcMar>
              <w:top w:w="15" w:type="dxa"/>
              <w:left w:w="0" w:type="dxa"/>
              <w:bottom w:w="0" w:type="dxa"/>
              <w:right w:w="15" w:type="dxa"/>
            </w:tcMar>
            <w:hideMark/>
          </w:tcPr>
          <w:p w14:paraId="3BFB7C6E" w14:textId="77777777" w:rsidR="00AC4931" w:rsidRPr="00AC4931" w:rsidRDefault="00AC4931" w:rsidP="00AC4931">
            <w:pPr>
              <w:widowControl/>
              <w:jc w:val="center"/>
              <w:rPr>
                <w:rFonts w:ascii="Arial" w:eastAsia="宋体" w:hAnsi="Arial" w:cs="Arial"/>
                <w:b/>
                <w:bCs/>
                <w:kern w:val="0"/>
                <w:sz w:val="14"/>
                <w:szCs w:val="14"/>
              </w:rPr>
            </w:pPr>
            <w:r w:rsidRPr="00AC4931">
              <w:rPr>
                <w:rFonts w:ascii="Arial" w:eastAsia="宋体" w:hAnsi="Arial" w:cs="Arial"/>
                <w:b/>
                <w:bCs/>
                <w:kern w:val="0"/>
                <w:sz w:val="14"/>
                <w:szCs w:val="14"/>
              </w:rPr>
              <w:t>(I.R.S. Employer</w:t>
            </w:r>
          </w:p>
          <w:p w14:paraId="39E16DB7" w14:textId="77777777" w:rsidR="00AC4931" w:rsidRPr="00AC4931" w:rsidRDefault="00AC4931" w:rsidP="00AC4931">
            <w:pPr>
              <w:widowControl/>
              <w:jc w:val="center"/>
              <w:rPr>
                <w:rFonts w:ascii="Arial" w:eastAsia="宋体" w:hAnsi="Arial" w:cs="Arial"/>
                <w:b/>
                <w:bCs/>
                <w:kern w:val="0"/>
                <w:sz w:val="14"/>
                <w:szCs w:val="14"/>
              </w:rPr>
            </w:pPr>
            <w:r w:rsidRPr="00AC4931">
              <w:rPr>
                <w:rFonts w:ascii="Arial" w:eastAsia="宋体" w:hAnsi="Arial" w:cs="Arial"/>
                <w:b/>
                <w:bCs/>
                <w:kern w:val="0"/>
                <w:sz w:val="14"/>
                <w:szCs w:val="14"/>
              </w:rPr>
              <w:t>Identification No.)</w:t>
            </w:r>
          </w:p>
        </w:tc>
      </w:tr>
    </w:tbl>
    <w:p w14:paraId="23AD7473"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336"/>
        <w:gridCol w:w="10278"/>
      </w:tblGrid>
      <w:tr w:rsidR="00AC4931" w:rsidRPr="00AC4931" w14:paraId="74AF99E9" w14:textId="77777777" w:rsidTr="00AC4931">
        <w:tc>
          <w:tcPr>
            <w:tcW w:w="10336" w:type="dxa"/>
            <w:vAlign w:val="center"/>
            <w:hideMark/>
          </w:tcPr>
          <w:p w14:paraId="50591CD8" w14:textId="77777777" w:rsidR="00AC4931" w:rsidRPr="00AC4931" w:rsidRDefault="00AC4931" w:rsidP="00AC4931">
            <w:pPr>
              <w:widowControl/>
              <w:jc w:val="left"/>
              <w:rPr>
                <w:rFonts w:ascii="微软雅黑" w:eastAsia="微软雅黑" w:hAnsi="微软雅黑" w:cs="宋体" w:hint="eastAsia"/>
                <w:color w:val="000000"/>
                <w:kern w:val="0"/>
                <w:sz w:val="12"/>
                <w:szCs w:val="12"/>
              </w:rPr>
            </w:pPr>
          </w:p>
        </w:tc>
        <w:tc>
          <w:tcPr>
            <w:tcW w:w="10278" w:type="dxa"/>
            <w:vAlign w:val="center"/>
            <w:hideMark/>
          </w:tcPr>
          <w:p w14:paraId="05B465BC" w14:textId="77777777" w:rsidR="00AC4931" w:rsidRPr="00AC4931" w:rsidRDefault="00AC4931" w:rsidP="00AC4931">
            <w:pPr>
              <w:widowControl/>
              <w:spacing w:before="100" w:beforeAutospacing="1" w:after="100" w:afterAutospacing="1"/>
              <w:jc w:val="left"/>
              <w:rPr>
                <w:rFonts w:ascii="Times New Roman" w:eastAsia="Times New Roman" w:hAnsi="Times New Roman" w:cs="Times New Roman"/>
                <w:kern w:val="0"/>
                <w:sz w:val="20"/>
                <w:szCs w:val="20"/>
              </w:rPr>
            </w:pPr>
          </w:p>
        </w:tc>
      </w:tr>
      <w:tr w:rsidR="00AC4931" w:rsidRPr="00AC4931" w14:paraId="7445F834" w14:textId="77777777" w:rsidTr="00AC4931">
        <w:tc>
          <w:tcPr>
            <w:tcW w:w="0" w:type="auto"/>
            <w:hideMark/>
          </w:tcPr>
          <w:p w14:paraId="0FB07DD4" w14:textId="77777777" w:rsidR="00AC4931" w:rsidRPr="00AC4931" w:rsidRDefault="00AC4931" w:rsidP="00AC4931">
            <w:pPr>
              <w:widowControl/>
              <w:jc w:val="center"/>
              <w:rPr>
                <w:rFonts w:ascii="Arial" w:eastAsia="宋体" w:hAnsi="Arial" w:cs="Arial"/>
                <w:b/>
                <w:bCs/>
                <w:kern w:val="0"/>
                <w:sz w:val="17"/>
                <w:szCs w:val="17"/>
              </w:rPr>
            </w:pPr>
            <w:r w:rsidRPr="00AC4931">
              <w:rPr>
                <w:rFonts w:ascii="Arial" w:eastAsia="宋体" w:hAnsi="Arial" w:cs="Arial"/>
                <w:b/>
                <w:bCs/>
                <w:kern w:val="0"/>
                <w:sz w:val="17"/>
                <w:szCs w:val="17"/>
              </w:rPr>
              <w:t>Klara</w:t>
            </w:r>
            <w:r w:rsidRPr="00AC4931">
              <w:rPr>
                <w:rFonts w:ascii="Arial" w:eastAsia="宋体" w:hAnsi="Arial" w:cs="Arial"/>
                <w:b/>
                <w:bCs/>
                <w:spacing w:val="-1"/>
                <w:kern w:val="0"/>
                <w:sz w:val="17"/>
                <w:szCs w:val="17"/>
              </w:rPr>
              <w:t>b</w:t>
            </w:r>
            <w:r w:rsidRPr="00AC4931">
              <w:rPr>
                <w:rFonts w:ascii="Arial" w:eastAsia="宋体" w:hAnsi="Arial" w:cs="Arial"/>
                <w:b/>
                <w:bCs/>
                <w:kern w:val="0"/>
                <w:sz w:val="17"/>
                <w:szCs w:val="17"/>
              </w:rPr>
              <w:t>erg</w:t>
            </w:r>
            <w:r w:rsidRPr="00AC4931">
              <w:rPr>
                <w:rFonts w:ascii="Arial" w:eastAsia="宋体" w:hAnsi="Arial" w:cs="Arial"/>
                <w:b/>
                <w:bCs/>
                <w:spacing w:val="-1"/>
                <w:kern w:val="0"/>
                <w:sz w:val="17"/>
                <w:szCs w:val="17"/>
              </w:rPr>
              <w:t>s</w:t>
            </w:r>
            <w:r w:rsidRPr="00AC4931">
              <w:rPr>
                <w:rFonts w:ascii="Arial" w:eastAsia="宋体" w:hAnsi="Arial" w:cs="Arial"/>
                <w:b/>
                <w:bCs/>
                <w:kern w:val="0"/>
                <w:sz w:val="17"/>
                <w:szCs w:val="17"/>
              </w:rPr>
              <w:t>viadu</w:t>
            </w:r>
            <w:r w:rsidRPr="00AC4931">
              <w:rPr>
                <w:rFonts w:ascii="Arial" w:eastAsia="宋体" w:hAnsi="Arial" w:cs="Arial"/>
                <w:b/>
                <w:bCs/>
                <w:spacing w:val="-1"/>
                <w:kern w:val="0"/>
                <w:sz w:val="17"/>
                <w:szCs w:val="17"/>
              </w:rPr>
              <w:t>k</w:t>
            </w:r>
            <w:r w:rsidRPr="00AC4931">
              <w:rPr>
                <w:rFonts w:ascii="Arial" w:eastAsia="宋体" w:hAnsi="Arial" w:cs="Arial"/>
                <w:b/>
                <w:bCs/>
                <w:kern w:val="0"/>
                <w:sz w:val="17"/>
                <w:szCs w:val="17"/>
              </w:rPr>
              <w:t>ten</w:t>
            </w:r>
            <w:r w:rsidRPr="00AC4931">
              <w:rPr>
                <w:rFonts w:ascii="Arial" w:eastAsia="宋体" w:hAnsi="Arial" w:cs="Arial"/>
                <w:b/>
                <w:bCs/>
                <w:spacing w:val="35"/>
                <w:kern w:val="0"/>
                <w:sz w:val="17"/>
                <w:szCs w:val="17"/>
              </w:rPr>
              <w:t> </w:t>
            </w:r>
            <w:r w:rsidRPr="00AC4931">
              <w:rPr>
                <w:rFonts w:ascii="Arial" w:eastAsia="宋体" w:hAnsi="Arial" w:cs="Arial"/>
                <w:b/>
                <w:bCs/>
                <w:kern w:val="0"/>
                <w:sz w:val="17"/>
                <w:szCs w:val="17"/>
              </w:rPr>
              <w:t>70,</w:t>
            </w:r>
            <w:r w:rsidRPr="00AC4931">
              <w:rPr>
                <w:rFonts w:ascii="Arial" w:eastAsia="宋体" w:hAnsi="Arial" w:cs="Arial"/>
                <w:b/>
                <w:bCs/>
                <w:spacing w:val="5"/>
                <w:kern w:val="0"/>
                <w:sz w:val="17"/>
                <w:szCs w:val="17"/>
              </w:rPr>
              <w:t> </w:t>
            </w:r>
            <w:r w:rsidRPr="00AC4931">
              <w:rPr>
                <w:rFonts w:ascii="Arial" w:eastAsia="宋体" w:hAnsi="Arial" w:cs="Arial"/>
                <w:b/>
                <w:bCs/>
                <w:kern w:val="0"/>
                <w:sz w:val="17"/>
                <w:szCs w:val="17"/>
              </w:rPr>
              <w:t>Section</w:t>
            </w:r>
            <w:r w:rsidRPr="00AC4931">
              <w:rPr>
                <w:rFonts w:ascii="Arial" w:eastAsia="宋体" w:hAnsi="Arial" w:cs="Arial"/>
                <w:b/>
                <w:bCs/>
                <w:spacing w:val="12"/>
                <w:kern w:val="0"/>
                <w:sz w:val="17"/>
                <w:szCs w:val="17"/>
              </w:rPr>
              <w:t> </w:t>
            </w:r>
            <w:r w:rsidRPr="00AC4931">
              <w:rPr>
                <w:rFonts w:ascii="Arial" w:eastAsia="宋体" w:hAnsi="Arial" w:cs="Arial"/>
                <w:b/>
                <w:bCs/>
                <w:kern w:val="0"/>
                <w:sz w:val="17"/>
                <w:szCs w:val="17"/>
              </w:rPr>
              <w:t>B7,</w:t>
            </w:r>
          </w:p>
        </w:tc>
        <w:tc>
          <w:tcPr>
            <w:tcW w:w="0" w:type="auto"/>
            <w:hideMark/>
          </w:tcPr>
          <w:p w14:paraId="00D7DD00" w14:textId="77777777" w:rsidR="00AC4931" w:rsidRPr="00AC4931" w:rsidRDefault="00AC4931" w:rsidP="00AC4931">
            <w:pPr>
              <w:widowControl/>
              <w:jc w:val="center"/>
              <w:rPr>
                <w:rFonts w:ascii="宋体" w:eastAsia="宋体" w:hAnsi="宋体" w:cs="宋体"/>
                <w:kern w:val="0"/>
                <w:sz w:val="16"/>
                <w:szCs w:val="16"/>
              </w:rPr>
            </w:pPr>
            <w:r w:rsidRPr="00AC4931">
              <w:rPr>
                <w:rFonts w:ascii="宋体" w:eastAsia="宋体" w:hAnsi="宋体" w:cs="宋体"/>
                <w:kern w:val="0"/>
                <w:sz w:val="16"/>
                <w:szCs w:val="16"/>
              </w:rPr>
              <w:t> </w:t>
            </w:r>
          </w:p>
        </w:tc>
      </w:tr>
      <w:tr w:rsidR="00AC4931" w:rsidRPr="00AC4931" w14:paraId="5F182A61" w14:textId="77777777" w:rsidTr="00AC4931">
        <w:tc>
          <w:tcPr>
            <w:tcW w:w="0" w:type="auto"/>
            <w:hideMark/>
          </w:tcPr>
          <w:p w14:paraId="3B4FCD5E" w14:textId="77777777" w:rsidR="00AC4931" w:rsidRPr="00AC4931" w:rsidRDefault="00AC4931" w:rsidP="00AC4931">
            <w:pPr>
              <w:widowControl/>
              <w:jc w:val="center"/>
              <w:rPr>
                <w:rFonts w:ascii="Arial" w:eastAsia="宋体" w:hAnsi="Arial" w:cs="Arial"/>
                <w:b/>
                <w:bCs/>
                <w:spacing w:val="-1"/>
                <w:kern w:val="0"/>
                <w:sz w:val="17"/>
                <w:szCs w:val="17"/>
              </w:rPr>
            </w:pPr>
            <w:r w:rsidRPr="00AC4931">
              <w:rPr>
                <w:rFonts w:ascii="Arial" w:eastAsia="宋体" w:hAnsi="Arial" w:cs="Arial"/>
                <w:b/>
                <w:bCs/>
                <w:spacing w:val="-1"/>
                <w:kern w:val="0"/>
                <w:sz w:val="17"/>
                <w:szCs w:val="17"/>
              </w:rPr>
              <w:t>Box</w:t>
            </w:r>
            <w:r w:rsidRPr="00AC4931">
              <w:rPr>
                <w:rFonts w:ascii="Arial" w:eastAsia="宋体" w:hAnsi="Arial" w:cs="Arial"/>
                <w:b/>
                <w:bCs/>
                <w:spacing w:val="7"/>
                <w:kern w:val="0"/>
                <w:sz w:val="17"/>
                <w:szCs w:val="17"/>
              </w:rPr>
              <w:t> </w:t>
            </w:r>
            <w:r w:rsidRPr="00AC4931">
              <w:rPr>
                <w:rFonts w:ascii="Arial" w:eastAsia="宋体" w:hAnsi="Arial" w:cs="Arial"/>
                <w:b/>
                <w:bCs/>
                <w:spacing w:val="-1"/>
                <w:kern w:val="0"/>
                <w:sz w:val="17"/>
                <w:szCs w:val="17"/>
              </w:rPr>
              <w:t>70381,</w:t>
            </w:r>
          </w:p>
        </w:tc>
        <w:tc>
          <w:tcPr>
            <w:tcW w:w="0" w:type="auto"/>
            <w:hideMark/>
          </w:tcPr>
          <w:p w14:paraId="7F865281" w14:textId="77777777" w:rsidR="00AC4931" w:rsidRPr="00AC4931" w:rsidRDefault="00AC4931" w:rsidP="00AC4931">
            <w:pPr>
              <w:widowControl/>
              <w:jc w:val="center"/>
              <w:rPr>
                <w:rFonts w:ascii="Arial" w:eastAsia="宋体" w:hAnsi="Arial" w:cs="Arial"/>
                <w:b/>
                <w:bCs/>
                <w:spacing w:val="-1"/>
                <w:kern w:val="0"/>
                <w:sz w:val="17"/>
                <w:szCs w:val="17"/>
              </w:rPr>
            </w:pPr>
            <w:r w:rsidRPr="00AC4931">
              <w:rPr>
                <w:rFonts w:ascii="Arial" w:eastAsia="宋体" w:hAnsi="Arial" w:cs="Arial"/>
                <w:b/>
                <w:bCs/>
                <w:spacing w:val="-1"/>
                <w:kern w:val="0"/>
                <w:sz w:val="17"/>
                <w:szCs w:val="17"/>
              </w:rPr>
              <w:t>SE-107</w:t>
            </w:r>
            <w:r w:rsidRPr="00AC4931">
              <w:rPr>
                <w:rFonts w:ascii="Arial" w:eastAsia="宋体" w:hAnsi="Arial" w:cs="Arial"/>
                <w:b/>
                <w:bCs/>
                <w:spacing w:val="13"/>
                <w:kern w:val="0"/>
                <w:sz w:val="17"/>
                <w:szCs w:val="17"/>
              </w:rPr>
              <w:t> </w:t>
            </w:r>
            <w:r w:rsidRPr="00AC4931">
              <w:rPr>
                <w:rFonts w:ascii="Arial" w:eastAsia="宋体" w:hAnsi="Arial" w:cs="Arial"/>
                <w:b/>
                <w:bCs/>
                <w:spacing w:val="-1"/>
                <w:kern w:val="0"/>
                <w:sz w:val="17"/>
                <w:szCs w:val="17"/>
              </w:rPr>
              <w:t>24</w:t>
            </w:r>
          </w:p>
        </w:tc>
      </w:tr>
      <w:tr w:rsidR="00AC4931" w:rsidRPr="00AC4931" w14:paraId="3F7E4155" w14:textId="77777777" w:rsidTr="00AC4931">
        <w:tc>
          <w:tcPr>
            <w:tcW w:w="0" w:type="auto"/>
            <w:hideMark/>
          </w:tcPr>
          <w:p w14:paraId="3D1EAD78" w14:textId="77777777" w:rsidR="00AC4931" w:rsidRPr="00AC4931" w:rsidRDefault="00AC4931" w:rsidP="00AC4931">
            <w:pPr>
              <w:widowControl/>
              <w:jc w:val="center"/>
              <w:rPr>
                <w:rFonts w:ascii="Arial" w:eastAsia="宋体" w:hAnsi="Arial" w:cs="Arial"/>
                <w:b/>
                <w:bCs/>
                <w:kern w:val="0"/>
                <w:sz w:val="17"/>
                <w:szCs w:val="17"/>
              </w:rPr>
            </w:pPr>
            <w:r w:rsidRPr="00AC4931">
              <w:rPr>
                <w:rFonts w:ascii="Arial" w:eastAsia="宋体" w:hAnsi="Arial" w:cs="Arial"/>
                <w:b/>
                <w:bCs/>
                <w:kern w:val="0"/>
                <w:sz w:val="17"/>
                <w:szCs w:val="17"/>
              </w:rPr>
              <w:t>Stockholm,</w:t>
            </w:r>
            <w:r w:rsidRPr="00AC4931">
              <w:rPr>
                <w:rFonts w:ascii="Arial" w:eastAsia="宋体" w:hAnsi="Arial" w:cs="Arial"/>
                <w:b/>
                <w:bCs/>
                <w:spacing w:val="19"/>
                <w:kern w:val="0"/>
                <w:sz w:val="17"/>
                <w:szCs w:val="17"/>
              </w:rPr>
              <w:t> </w:t>
            </w:r>
            <w:r w:rsidRPr="00AC4931">
              <w:rPr>
                <w:rFonts w:ascii="Arial" w:eastAsia="宋体" w:hAnsi="Arial" w:cs="Arial"/>
                <w:b/>
                <w:bCs/>
                <w:kern w:val="0"/>
                <w:sz w:val="17"/>
                <w:szCs w:val="17"/>
              </w:rPr>
              <w:t>Sweden</w:t>
            </w:r>
          </w:p>
        </w:tc>
        <w:tc>
          <w:tcPr>
            <w:tcW w:w="0" w:type="auto"/>
            <w:hideMark/>
          </w:tcPr>
          <w:p w14:paraId="5CF1B374" w14:textId="77777777" w:rsidR="00AC4931" w:rsidRPr="00AC4931" w:rsidRDefault="00AC4931" w:rsidP="00AC4931">
            <w:pPr>
              <w:widowControl/>
              <w:jc w:val="center"/>
              <w:rPr>
                <w:rFonts w:ascii="Arial" w:eastAsia="宋体" w:hAnsi="Arial" w:cs="Arial"/>
                <w:b/>
                <w:bCs/>
                <w:kern w:val="0"/>
                <w:sz w:val="14"/>
                <w:szCs w:val="14"/>
              </w:rPr>
            </w:pPr>
            <w:r w:rsidRPr="00AC4931">
              <w:rPr>
                <w:rFonts w:ascii="Arial" w:eastAsia="宋体" w:hAnsi="Arial" w:cs="Arial"/>
                <w:b/>
                <w:bCs/>
                <w:kern w:val="0"/>
                <w:sz w:val="14"/>
                <w:szCs w:val="14"/>
              </w:rPr>
              <w:t>(Zip Code)</w:t>
            </w:r>
          </w:p>
        </w:tc>
      </w:tr>
      <w:tr w:rsidR="00AC4931" w:rsidRPr="00AC4931" w14:paraId="684ABE0A" w14:textId="77777777" w:rsidTr="00AC4931">
        <w:tc>
          <w:tcPr>
            <w:tcW w:w="0" w:type="auto"/>
            <w:hideMark/>
          </w:tcPr>
          <w:p w14:paraId="699D2BB3" w14:textId="77777777" w:rsidR="00AC4931" w:rsidRPr="00AC4931" w:rsidRDefault="00AC4931" w:rsidP="00AC4931">
            <w:pPr>
              <w:widowControl/>
              <w:jc w:val="center"/>
              <w:rPr>
                <w:rFonts w:ascii="Arial" w:eastAsia="宋体" w:hAnsi="Arial" w:cs="Arial"/>
                <w:b/>
                <w:bCs/>
                <w:kern w:val="0"/>
                <w:sz w:val="14"/>
                <w:szCs w:val="14"/>
              </w:rPr>
            </w:pPr>
            <w:r w:rsidRPr="00AC4931">
              <w:rPr>
                <w:rFonts w:ascii="Arial" w:eastAsia="宋体" w:hAnsi="Arial" w:cs="Arial"/>
                <w:b/>
                <w:bCs/>
                <w:kern w:val="0"/>
                <w:sz w:val="14"/>
                <w:szCs w:val="14"/>
              </w:rPr>
              <w:t>(Address</w:t>
            </w:r>
            <w:r w:rsidRPr="00AC4931">
              <w:rPr>
                <w:rFonts w:ascii="Arial" w:eastAsia="宋体" w:hAnsi="Arial" w:cs="Arial"/>
                <w:b/>
                <w:bCs/>
                <w:spacing w:val="28"/>
                <w:kern w:val="0"/>
                <w:sz w:val="14"/>
                <w:szCs w:val="14"/>
              </w:rPr>
              <w:t> </w:t>
            </w:r>
            <w:r w:rsidRPr="00AC4931">
              <w:rPr>
                <w:rFonts w:ascii="Arial" w:eastAsia="宋体" w:hAnsi="Arial" w:cs="Arial"/>
                <w:b/>
                <w:bCs/>
                <w:kern w:val="0"/>
                <w:sz w:val="14"/>
                <w:szCs w:val="14"/>
              </w:rPr>
              <w:t>of</w:t>
            </w:r>
            <w:r w:rsidRPr="00AC4931">
              <w:rPr>
                <w:rFonts w:ascii="Arial" w:eastAsia="宋体" w:hAnsi="Arial" w:cs="Arial"/>
                <w:b/>
                <w:bCs/>
                <w:spacing w:val="8"/>
                <w:kern w:val="0"/>
                <w:sz w:val="14"/>
                <w:szCs w:val="14"/>
              </w:rPr>
              <w:t> </w:t>
            </w:r>
            <w:r w:rsidRPr="00AC4931">
              <w:rPr>
                <w:rFonts w:ascii="Arial" w:eastAsia="宋体" w:hAnsi="Arial" w:cs="Arial"/>
                <w:b/>
                <w:bCs/>
                <w:kern w:val="0"/>
                <w:sz w:val="14"/>
                <w:szCs w:val="14"/>
              </w:rPr>
              <w:t>pr</w:t>
            </w:r>
            <w:r w:rsidRPr="00AC4931">
              <w:rPr>
                <w:rFonts w:ascii="Arial" w:eastAsia="宋体" w:hAnsi="Arial" w:cs="Arial"/>
                <w:b/>
                <w:bCs/>
                <w:spacing w:val="-1"/>
                <w:kern w:val="0"/>
                <w:sz w:val="14"/>
                <w:szCs w:val="14"/>
              </w:rPr>
              <w:t>i</w:t>
            </w:r>
            <w:r w:rsidRPr="00AC4931">
              <w:rPr>
                <w:rFonts w:ascii="Arial" w:eastAsia="宋体" w:hAnsi="Arial" w:cs="Arial"/>
                <w:b/>
                <w:bCs/>
                <w:kern w:val="0"/>
                <w:sz w:val="14"/>
                <w:szCs w:val="14"/>
              </w:rPr>
              <w:t>ncipal</w:t>
            </w:r>
            <w:r w:rsidRPr="00AC4931">
              <w:rPr>
                <w:rFonts w:ascii="Arial" w:eastAsia="宋体" w:hAnsi="Arial" w:cs="Arial"/>
                <w:b/>
                <w:bCs/>
                <w:spacing w:val="29"/>
                <w:kern w:val="0"/>
                <w:sz w:val="14"/>
                <w:szCs w:val="14"/>
              </w:rPr>
              <w:t> </w:t>
            </w:r>
            <w:r w:rsidRPr="00AC4931">
              <w:rPr>
                <w:rFonts w:ascii="Arial" w:eastAsia="宋体" w:hAnsi="Arial" w:cs="Arial"/>
                <w:b/>
                <w:bCs/>
                <w:spacing w:val="-1"/>
                <w:kern w:val="0"/>
                <w:sz w:val="14"/>
                <w:szCs w:val="14"/>
              </w:rPr>
              <w:t>e</w:t>
            </w:r>
            <w:r w:rsidRPr="00AC4931">
              <w:rPr>
                <w:rFonts w:ascii="Arial" w:eastAsia="宋体" w:hAnsi="Arial" w:cs="Arial"/>
                <w:b/>
                <w:bCs/>
                <w:kern w:val="0"/>
                <w:sz w:val="14"/>
                <w:szCs w:val="14"/>
              </w:rPr>
              <w:t>xecutive</w:t>
            </w:r>
            <w:r w:rsidRPr="00AC4931">
              <w:rPr>
                <w:rFonts w:ascii="Arial" w:eastAsia="宋体" w:hAnsi="Arial" w:cs="Arial"/>
                <w:b/>
                <w:bCs/>
                <w:spacing w:val="29"/>
                <w:kern w:val="0"/>
                <w:sz w:val="14"/>
                <w:szCs w:val="14"/>
              </w:rPr>
              <w:t> </w:t>
            </w:r>
            <w:r w:rsidRPr="00AC4931">
              <w:rPr>
                <w:rFonts w:ascii="Arial" w:eastAsia="宋体" w:hAnsi="Arial" w:cs="Arial"/>
                <w:b/>
                <w:bCs/>
                <w:kern w:val="0"/>
                <w:sz w:val="14"/>
                <w:szCs w:val="14"/>
              </w:rPr>
              <w:t>offices)</w:t>
            </w:r>
          </w:p>
        </w:tc>
        <w:tc>
          <w:tcPr>
            <w:tcW w:w="0" w:type="auto"/>
            <w:hideMark/>
          </w:tcPr>
          <w:p w14:paraId="4DA2595A" w14:textId="77777777" w:rsidR="00AC4931" w:rsidRPr="00AC4931" w:rsidRDefault="00AC4931" w:rsidP="00AC4931">
            <w:pPr>
              <w:widowControl/>
              <w:jc w:val="center"/>
              <w:rPr>
                <w:rFonts w:ascii="宋体" w:eastAsia="宋体" w:hAnsi="宋体" w:cs="宋体"/>
                <w:kern w:val="0"/>
                <w:sz w:val="16"/>
                <w:szCs w:val="16"/>
              </w:rPr>
            </w:pPr>
            <w:r w:rsidRPr="00AC4931">
              <w:rPr>
                <w:rFonts w:ascii="宋体" w:eastAsia="宋体" w:hAnsi="宋体" w:cs="宋体"/>
                <w:kern w:val="0"/>
                <w:sz w:val="16"/>
                <w:szCs w:val="16"/>
              </w:rPr>
              <w:t> </w:t>
            </w:r>
          </w:p>
        </w:tc>
      </w:tr>
    </w:tbl>
    <w:p w14:paraId="16697880"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67408B6F" w14:textId="77777777" w:rsidR="00AC4931" w:rsidRPr="00AC4931" w:rsidRDefault="00AC4931" w:rsidP="00AC4931">
      <w:pPr>
        <w:widowControl/>
        <w:jc w:val="center"/>
        <w:rPr>
          <w:rFonts w:ascii="Arial" w:eastAsia="宋体" w:hAnsi="Arial" w:cs="Arial" w:hint="eastAsia"/>
          <w:b/>
          <w:bCs/>
          <w:color w:val="000000"/>
          <w:spacing w:val="-1"/>
          <w:kern w:val="0"/>
          <w:sz w:val="17"/>
          <w:szCs w:val="17"/>
        </w:rPr>
      </w:pPr>
      <w:r w:rsidRPr="00AC4931">
        <w:rPr>
          <w:rFonts w:ascii="Arial" w:eastAsia="宋体" w:hAnsi="Arial" w:cs="Arial"/>
          <w:b/>
          <w:bCs/>
          <w:color w:val="000000"/>
          <w:spacing w:val="-1"/>
          <w:kern w:val="0"/>
          <w:sz w:val="17"/>
          <w:szCs w:val="17"/>
        </w:rPr>
        <w:t>+46</w:t>
      </w:r>
      <w:r w:rsidRPr="00AC4931">
        <w:rPr>
          <w:rFonts w:ascii="Arial" w:eastAsia="宋体" w:hAnsi="Arial" w:cs="Arial"/>
          <w:b/>
          <w:bCs/>
          <w:color w:val="000000"/>
          <w:spacing w:val="7"/>
          <w:kern w:val="0"/>
          <w:sz w:val="17"/>
          <w:szCs w:val="17"/>
        </w:rPr>
        <w:t> </w:t>
      </w:r>
      <w:r w:rsidRPr="00AC4931">
        <w:rPr>
          <w:rFonts w:ascii="Arial" w:eastAsia="宋体" w:hAnsi="Arial" w:cs="Arial"/>
          <w:b/>
          <w:bCs/>
          <w:color w:val="000000"/>
          <w:spacing w:val="-1"/>
          <w:kern w:val="0"/>
          <w:sz w:val="17"/>
          <w:szCs w:val="17"/>
        </w:rPr>
        <w:t>8</w:t>
      </w:r>
      <w:r w:rsidRPr="00AC4931">
        <w:rPr>
          <w:rFonts w:ascii="Arial" w:eastAsia="宋体" w:hAnsi="Arial" w:cs="Arial"/>
          <w:b/>
          <w:bCs/>
          <w:color w:val="000000"/>
          <w:spacing w:val="3"/>
          <w:kern w:val="0"/>
          <w:sz w:val="17"/>
          <w:szCs w:val="17"/>
        </w:rPr>
        <w:t> </w:t>
      </w:r>
      <w:r w:rsidRPr="00AC4931">
        <w:rPr>
          <w:rFonts w:ascii="Arial" w:eastAsia="宋体" w:hAnsi="Arial" w:cs="Arial"/>
          <w:b/>
          <w:bCs/>
          <w:color w:val="000000"/>
          <w:spacing w:val="-1"/>
          <w:kern w:val="0"/>
          <w:sz w:val="17"/>
          <w:szCs w:val="17"/>
        </w:rPr>
        <w:t>587</w:t>
      </w:r>
      <w:r w:rsidRPr="00AC4931">
        <w:rPr>
          <w:rFonts w:ascii="Arial" w:eastAsia="宋体" w:hAnsi="Arial" w:cs="Arial"/>
          <w:b/>
          <w:bCs/>
          <w:color w:val="000000"/>
          <w:spacing w:val="7"/>
          <w:kern w:val="0"/>
          <w:sz w:val="17"/>
          <w:szCs w:val="17"/>
        </w:rPr>
        <w:t> </w:t>
      </w:r>
      <w:r w:rsidRPr="00AC4931">
        <w:rPr>
          <w:rFonts w:ascii="Arial" w:eastAsia="宋体" w:hAnsi="Arial" w:cs="Arial"/>
          <w:b/>
          <w:bCs/>
          <w:color w:val="000000"/>
          <w:spacing w:val="-1"/>
          <w:kern w:val="0"/>
          <w:sz w:val="17"/>
          <w:szCs w:val="17"/>
        </w:rPr>
        <w:t>20</w:t>
      </w:r>
      <w:r w:rsidRPr="00AC4931">
        <w:rPr>
          <w:rFonts w:ascii="Arial" w:eastAsia="宋体" w:hAnsi="Arial" w:cs="Arial"/>
          <w:b/>
          <w:bCs/>
          <w:color w:val="000000"/>
          <w:spacing w:val="5"/>
          <w:kern w:val="0"/>
          <w:sz w:val="17"/>
          <w:szCs w:val="17"/>
        </w:rPr>
        <w:t> </w:t>
      </w:r>
      <w:r w:rsidRPr="00AC4931">
        <w:rPr>
          <w:rFonts w:ascii="Arial" w:eastAsia="宋体" w:hAnsi="Arial" w:cs="Arial"/>
          <w:b/>
          <w:bCs/>
          <w:color w:val="000000"/>
          <w:spacing w:val="-1"/>
          <w:kern w:val="0"/>
          <w:sz w:val="17"/>
          <w:szCs w:val="17"/>
        </w:rPr>
        <w:t>600</w:t>
      </w:r>
    </w:p>
    <w:p w14:paraId="3231FF5C"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(Registran</w:t>
      </w:r>
      <w:r w:rsidRPr="00AC4931">
        <w:rPr>
          <w:rFonts w:ascii="Arial" w:eastAsia="宋体" w:hAnsi="Arial" w:cs="Arial"/>
          <w:b/>
          <w:bCs/>
          <w:color w:val="000000"/>
          <w:spacing w:val="-1"/>
          <w:kern w:val="0"/>
          <w:sz w:val="14"/>
          <w:szCs w:val="14"/>
        </w:rPr>
        <w:t>t</w:t>
      </w:r>
      <w:r w:rsidRPr="00AC4931">
        <w:rPr>
          <w:rFonts w:ascii="Arial" w:eastAsia="宋体" w:hAnsi="Arial" w:cs="Arial"/>
          <w:b/>
          <w:bCs/>
          <w:color w:val="000000"/>
          <w:kern w:val="0"/>
          <w:sz w:val="14"/>
          <w:szCs w:val="14"/>
        </w:rPr>
        <w:t>’s</w:t>
      </w:r>
      <w:r w:rsidRPr="00AC4931">
        <w:rPr>
          <w:rFonts w:ascii="Arial" w:eastAsia="宋体" w:hAnsi="Arial" w:cs="Arial"/>
          <w:b/>
          <w:bCs/>
          <w:color w:val="000000"/>
          <w:spacing w:val="6"/>
          <w:kern w:val="0"/>
          <w:sz w:val="14"/>
          <w:szCs w:val="14"/>
        </w:rPr>
        <w:t> </w:t>
      </w:r>
      <w:r w:rsidRPr="00AC4931">
        <w:rPr>
          <w:rFonts w:ascii="Arial" w:eastAsia="宋体" w:hAnsi="Arial" w:cs="Arial"/>
          <w:b/>
          <w:bCs/>
          <w:color w:val="000000"/>
          <w:kern w:val="0"/>
          <w:sz w:val="14"/>
          <w:szCs w:val="14"/>
        </w:rPr>
        <w:t>tel</w:t>
      </w:r>
      <w:r w:rsidRPr="00AC4931">
        <w:rPr>
          <w:rFonts w:ascii="Arial" w:eastAsia="宋体" w:hAnsi="Arial" w:cs="Arial"/>
          <w:b/>
          <w:bCs/>
          <w:color w:val="000000"/>
          <w:spacing w:val="-1"/>
          <w:kern w:val="0"/>
          <w:sz w:val="14"/>
          <w:szCs w:val="14"/>
        </w:rPr>
        <w:t>e</w:t>
      </w:r>
      <w:r w:rsidRPr="00AC4931">
        <w:rPr>
          <w:rFonts w:ascii="Arial" w:eastAsia="宋体" w:hAnsi="Arial" w:cs="Arial"/>
          <w:b/>
          <w:bCs/>
          <w:color w:val="000000"/>
          <w:kern w:val="0"/>
          <w:sz w:val="14"/>
          <w:szCs w:val="14"/>
        </w:rPr>
        <w:t>phone</w:t>
      </w:r>
      <w:r w:rsidRPr="00AC4931">
        <w:rPr>
          <w:rFonts w:ascii="Arial" w:eastAsia="宋体" w:hAnsi="Arial" w:cs="Arial"/>
          <w:b/>
          <w:bCs/>
          <w:color w:val="000000"/>
          <w:spacing w:val="31"/>
          <w:kern w:val="0"/>
          <w:sz w:val="14"/>
          <w:szCs w:val="14"/>
        </w:rPr>
        <w:t> </w:t>
      </w:r>
      <w:r w:rsidRPr="00AC4931">
        <w:rPr>
          <w:rFonts w:ascii="Arial" w:eastAsia="宋体" w:hAnsi="Arial" w:cs="Arial"/>
          <w:b/>
          <w:bCs/>
          <w:color w:val="000000"/>
          <w:kern w:val="0"/>
          <w:sz w:val="14"/>
          <w:szCs w:val="14"/>
        </w:rPr>
        <w:t>n</w:t>
      </w:r>
      <w:r w:rsidRPr="00AC4931">
        <w:rPr>
          <w:rFonts w:ascii="Arial" w:eastAsia="宋体" w:hAnsi="Arial" w:cs="Arial"/>
          <w:b/>
          <w:bCs/>
          <w:color w:val="000000"/>
          <w:spacing w:val="-1"/>
          <w:kern w:val="0"/>
          <w:sz w:val="14"/>
          <w:szCs w:val="14"/>
        </w:rPr>
        <w:t>u</w:t>
      </w:r>
      <w:r w:rsidRPr="00AC4931">
        <w:rPr>
          <w:rFonts w:ascii="Arial" w:eastAsia="宋体" w:hAnsi="Arial" w:cs="Arial"/>
          <w:b/>
          <w:bCs/>
          <w:color w:val="000000"/>
          <w:kern w:val="0"/>
          <w:sz w:val="14"/>
          <w:szCs w:val="14"/>
        </w:rPr>
        <w:t>mber, in</w:t>
      </w:r>
      <w:r w:rsidRPr="00AC4931">
        <w:rPr>
          <w:rFonts w:ascii="Arial" w:eastAsia="宋体" w:hAnsi="Arial" w:cs="Arial"/>
          <w:b/>
          <w:bCs/>
          <w:color w:val="000000"/>
          <w:spacing w:val="-1"/>
          <w:kern w:val="0"/>
          <w:sz w:val="14"/>
          <w:szCs w:val="14"/>
        </w:rPr>
        <w:t>c</w:t>
      </w:r>
      <w:r w:rsidRPr="00AC4931">
        <w:rPr>
          <w:rFonts w:ascii="Arial" w:eastAsia="宋体" w:hAnsi="Arial" w:cs="Arial"/>
          <w:b/>
          <w:bCs/>
          <w:color w:val="000000"/>
          <w:kern w:val="0"/>
          <w:sz w:val="14"/>
          <w:szCs w:val="14"/>
        </w:rPr>
        <w:t>luding</w:t>
      </w:r>
      <w:r w:rsidRPr="00AC4931">
        <w:rPr>
          <w:rFonts w:ascii="Arial" w:eastAsia="宋体" w:hAnsi="Arial" w:cs="Arial"/>
          <w:b/>
          <w:bCs/>
          <w:color w:val="000000"/>
          <w:spacing w:val="30"/>
          <w:kern w:val="0"/>
          <w:sz w:val="14"/>
          <w:szCs w:val="14"/>
        </w:rPr>
        <w:t> </w:t>
      </w:r>
      <w:r w:rsidRPr="00AC4931">
        <w:rPr>
          <w:rFonts w:ascii="Arial" w:eastAsia="宋体" w:hAnsi="Arial" w:cs="Arial"/>
          <w:b/>
          <w:bCs/>
          <w:color w:val="000000"/>
          <w:spacing w:val="-1"/>
          <w:kern w:val="0"/>
          <w:sz w:val="14"/>
          <w:szCs w:val="14"/>
        </w:rPr>
        <w:t>a</w:t>
      </w:r>
      <w:r w:rsidRPr="00AC4931">
        <w:rPr>
          <w:rFonts w:ascii="Arial" w:eastAsia="宋体" w:hAnsi="Arial" w:cs="Arial"/>
          <w:b/>
          <w:bCs/>
          <w:color w:val="000000"/>
          <w:kern w:val="0"/>
          <w:sz w:val="14"/>
          <w:szCs w:val="14"/>
        </w:rPr>
        <w:t>rea</w:t>
      </w:r>
      <w:r w:rsidRPr="00AC4931">
        <w:rPr>
          <w:rFonts w:ascii="Arial" w:eastAsia="宋体" w:hAnsi="Arial" w:cs="Arial"/>
          <w:b/>
          <w:bCs/>
          <w:color w:val="000000"/>
          <w:spacing w:val="15"/>
          <w:kern w:val="0"/>
          <w:sz w:val="14"/>
          <w:szCs w:val="14"/>
        </w:rPr>
        <w:t> </w:t>
      </w:r>
      <w:r w:rsidRPr="00AC4931">
        <w:rPr>
          <w:rFonts w:ascii="Arial" w:eastAsia="宋体" w:hAnsi="Arial" w:cs="Arial"/>
          <w:b/>
          <w:bCs/>
          <w:color w:val="000000"/>
          <w:kern w:val="0"/>
          <w:sz w:val="14"/>
          <w:szCs w:val="14"/>
        </w:rPr>
        <w:t>c</w:t>
      </w:r>
      <w:r w:rsidRPr="00AC4931">
        <w:rPr>
          <w:rFonts w:ascii="Arial" w:eastAsia="宋体" w:hAnsi="Arial" w:cs="Arial"/>
          <w:b/>
          <w:bCs/>
          <w:color w:val="000000"/>
          <w:spacing w:val="-1"/>
          <w:kern w:val="0"/>
          <w:sz w:val="14"/>
          <w:szCs w:val="14"/>
        </w:rPr>
        <w:t>o</w:t>
      </w:r>
      <w:r w:rsidRPr="00AC4931">
        <w:rPr>
          <w:rFonts w:ascii="Arial" w:eastAsia="宋体" w:hAnsi="Arial" w:cs="Arial"/>
          <w:b/>
          <w:bCs/>
          <w:color w:val="000000"/>
          <w:kern w:val="0"/>
          <w:sz w:val="14"/>
          <w:szCs w:val="14"/>
        </w:rPr>
        <w:t>de)</w:t>
      </w:r>
    </w:p>
    <w:p w14:paraId="431E44B0" w14:textId="77777777" w:rsidR="00AC4931" w:rsidRPr="00AC4931" w:rsidRDefault="00AC4931" w:rsidP="00AC4931">
      <w:pPr>
        <w:widowControl/>
        <w:rPr>
          <w:rFonts w:ascii="微软雅黑" w:eastAsia="微软雅黑" w:hAnsi="微软雅黑" w:cs="宋体"/>
          <w:color w:val="000000"/>
          <w:kern w:val="0"/>
          <w:sz w:val="8"/>
          <w:szCs w:val="8"/>
        </w:rPr>
      </w:pPr>
      <w:r w:rsidRPr="00AC4931">
        <w:rPr>
          <w:rFonts w:ascii="微软雅黑" w:eastAsia="微软雅黑" w:hAnsi="微软雅黑" w:cs="宋体" w:hint="eastAsia"/>
          <w:color w:val="000000"/>
          <w:kern w:val="0"/>
          <w:sz w:val="8"/>
          <w:szCs w:val="8"/>
        </w:rPr>
        <w:t> </w:t>
      </w:r>
    </w:p>
    <w:p w14:paraId="7B3DECB9" w14:textId="77777777" w:rsidR="00AC4931" w:rsidRPr="00AC4931" w:rsidRDefault="00AC4931" w:rsidP="00AC4931">
      <w:pPr>
        <w:widowControl/>
        <w:jc w:val="center"/>
        <w:rPr>
          <w:rFonts w:ascii="Arial" w:eastAsia="宋体" w:hAnsi="Arial" w:cs="Arial" w:hint="eastAsia"/>
          <w:b/>
          <w:bCs/>
          <w:color w:val="000000"/>
          <w:kern w:val="0"/>
          <w:sz w:val="17"/>
          <w:szCs w:val="17"/>
        </w:rPr>
      </w:pPr>
      <w:r w:rsidRPr="00AC4931">
        <w:rPr>
          <w:rFonts w:ascii="Arial" w:eastAsia="宋体" w:hAnsi="Arial" w:cs="Arial"/>
          <w:b/>
          <w:bCs/>
          <w:color w:val="000000"/>
          <w:kern w:val="0"/>
          <w:sz w:val="17"/>
          <w:szCs w:val="17"/>
        </w:rPr>
        <w:t>Securities</w:t>
      </w:r>
      <w:r w:rsidRPr="00AC4931">
        <w:rPr>
          <w:rFonts w:ascii="Arial" w:eastAsia="宋体" w:hAnsi="Arial" w:cs="Arial"/>
          <w:b/>
          <w:bCs/>
          <w:color w:val="000000"/>
          <w:spacing w:val="17"/>
          <w:kern w:val="0"/>
          <w:sz w:val="17"/>
          <w:szCs w:val="17"/>
        </w:rPr>
        <w:t> </w:t>
      </w:r>
      <w:r w:rsidRPr="00AC4931">
        <w:rPr>
          <w:rFonts w:ascii="Arial" w:eastAsia="宋体" w:hAnsi="Arial" w:cs="Arial"/>
          <w:b/>
          <w:bCs/>
          <w:color w:val="000000"/>
          <w:kern w:val="0"/>
          <w:sz w:val="17"/>
          <w:szCs w:val="17"/>
        </w:rPr>
        <w:t>regist</w:t>
      </w:r>
      <w:r w:rsidRPr="00AC4931">
        <w:rPr>
          <w:rFonts w:ascii="Arial" w:eastAsia="宋体" w:hAnsi="Arial" w:cs="Arial"/>
          <w:b/>
          <w:bCs/>
          <w:color w:val="000000"/>
          <w:spacing w:val="-1"/>
          <w:kern w:val="0"/>
          <w:sz w:val="17"/>
          <w:szCs w:val="17"/>
        </w:rPr>
        <w:t>e</w:t>
      </w:r>
      <w:r w:rsidRPr="00AC4931">
        <w:rPr>
          <w:rFonts w:ascii="Arial" w:eastAsia="宋体" w:hAnsi="Arial" w:cs="Arial"/>
          <w:b/>
          <w:bCs/>
          <w:color w:val="000000"/>
          <w:kern w:val="0"/>
          <w:sz w:val="17"/>
          <w:szCs w:val="17"/>
        </w:rPr>
        <w:t>red</w:t>
      </w:r>
      <w:r w:rsidRPr="00AC4931">
        <w:rPr>
          <w:rFonts w:ascii="Arial" w:eastAsia="宋体" w:hAnsi="Arial" w:cs="Arial"/>
          <w:b/>
          <w:bCs/>
          <w:color w:val="000000"/>
          <w:spacing w:val="17"/>
          <w:kern w:val="0"/>
          <w:sz w:val="17"/>
          <w:szCs w:val="17"/>
        </w:rPr>
        <w:t> </w:t>
      </w:r>
      <w:r w:rsidRPr="00AC4931">
        <w:rPr>
          <w:rFonts w:ascii="Arial" w:eastAsia="宋体" w:hAnsi="Arial" w:cs="Arial"/>
          <w:b/>
          <w:bCs/>
          <w:color w:val="000000"/>
          <w:kern w:val="0"/>
          <w:sz w:val="17"/>
          <w:szCs w:val="17"/>
        </w:rPr>
        <w:t>pursuant</w:t>
      </w:r>
      <w:r w:rsidRPr="00AC4931">
        <w:rPr>
          <w:rFonts w:ascii="Arial" w:eastAsia="宋体" w:hAnsi="Arial" w:cs="Arial"/>
          <w:b/>
          <w:bCs/>
          <w:color w:val="000000"/>
          <w:spacing w:val="14"/>
          <w:kern w:val="0"/>
          <w:sz w:val="17"/>
          <w:szCs w:val="17"/>
        </w:rPr>
        <w:t> </w:t>
      </w:r>
      <w:r w:rsidRPr="00AC4931">
        <w:rPr>
          <w:rFonts w:ascii="Arial" w:eastAsia="宋体" w:hAnsi="Arial" w:cs="Arial"/>
          <w:b/>
          <w:bCs/>
          <w:color w:val="000000"/>
          <w:kern w:val="0"/>
          <w:sz w:val="17"/>
          <w:szCs w:val="17"/>
        </w:rPr>
        <w:t>to</w:t>
      </w:r>
      <w:r w:rsidRPr="00AC4931">
        <w:rPr>
          <w:rFonts w:ascii="Arial" w:eastAsia="宋体" w:hAnsi="Arial" w:cs="Arial"/>
          <w:b/>
          <w:bCs/>
          <w:color w:val="000000"/>
          <w:spacing w:val="3"/>
          <w:kern w:val="0"/>
          <w:sz w:val="17"/>
          <w:szCs w:val="17"/>
        </w:rPr>
        <w:t> </w:t>
      </w:r>
      <w:r w:rsidRPr="00AC4931">
        <w:rPr>
          <w:rFonts w:ascii="Arial" w:eastAsia="宋体" w:hAnsi="Arial" w:cs="Arial"/>
          <w:b/>
          <w:bCs/>
          <w:color w:val="000000"/>
          <w:kern w:val="0"/>
          <w:sz w:val="17"/>
          <w:szCs w:val="17"/>
        </w:rPr>
        <w:t>Section</w:t>
      </w:r>
      <w:r w:rsidRPr="00AC4931">
        <w:rPr>
          <w:rFonts w:ascii="Arial" w:eastAsia="宋体" w:hAnsi="Arial" w:cs="Arial"/>
          <w:b/>
          <w:bCs/>
          <w:color w:val="000000"/>
          <w:spacing w:val="12"/>
          <w:kern w:val="0"/>
          <w:sz w:val="17"/>
          <w:szCs w:val="17"/>
        </w:rPr>
        <w:t> </w:t>
      </w:r>
      <w:r w:rsidRPr="00AC4931">
        <w:rPr>
          <w:rFonts w:ascii="Arial" w:eastAsia="宋体" w:hAnsi="Arial" w:cs="Arial"/>
          <w:b/>
          <w:bCs/>
          <w:color w:val="000000"/>
          <w:kern w:val="0"/>
          <w:sz w:val="17"/>
          <w:szCs w:val="17"/>
        </w:rPr>
        <w:t>12(</w:t>
      </w:r>
      <w:r w:rsidRPr="00AC4931">
        <w:rPr>
          <w:rFonts w:ascii="Arial" w:eastAsia="宋体" w:hAnsi="Arial" w:cs="Arial"/>
          <w:b/>
          <w:bCs/>
          <w:color w:val="000000"/>
          <w:spacing w:val="-1"/>
          <w:kern w:val="0"/>
          <w:sz w:val="17"/>
          <w:szCs w:val="17"/>
        </w:rPr>
        <w:t>b</w:t>
      </w:r>
      <w:r w:rsidRPr="00AC4931">
        <w:rPr>
          <w:rFonts w:ascii="Arial" w:eastAsia="宋体" w:hAnsi="Arial" w:cs="Arial"/>
          <w:b/>
          <w:bCs/>
          <w:color w:val="000000"/>
          <w:kern w:val="0"/>
          <w:sz w:val="17"/>
          <w:szCs w:val="17"/>
        </w:rPr>
        <w:t>)</w:t>
      </w:r>
      <w:r w:rsidRPr="00AC4931">
        <w:rPr>
          <w:rFonts w:ascii="Arial" w:eastAsia="宋体" w:hAnsi="Arial" w:cs="Arial"/>
          <w:b/>
          <w:bCs/>
          <w:color w:val="000000"/>
          <w:spacing w:val="8"/>
          <w:kern w:val="0"/>
          <w:sz w:val="17"/>
          <w:szCs w:val="17"/>
        </w:rPr>
        <w:t> </w:t>
      </w:r>
      <w:r w:rsidRPr="00AC4931">
        <w:rPr>
          <w:rFonts w:ascii="Arial" w:eastAsia="宋体" w:hAnsi="Arial" w:cs="Arial"/>
          <w:b/>
          <w:bCs/>
          <w:color w:val="000000"/>
          <w:kern w:val="0"/>
          <w:sz w:val="17"/>
          <w:szCs w:val="17"/>
        </w:rPr>
        <w:t>of</w:t>
      </w:r>
      <w:r w:rsidRPr="00AC4931">
        <w:rPr>
          <w:rFonts w:ascii="Arial" w:eastAsia="宋体" w:hAnsi="Arial" w:cs="Arial"/>
          <w:b/>
          <w:bCs/>
          <w:color w:val="000000"/>
          <w:spacing w:val="4"/>
          <w:kern w:val="0"/>
          <w:sz w:val="17"/>
          <w:szCs w:val="17"/>
        </w:rPr>
        <w:t> </w:t>
      </w:r>
      <w:r w:rsidRPr="00AC4931">
        <w:rPr>
          <w:rFonts w:ascii="Arial" w:eastAsia="宋体" w:hAnsi="Arial" w:cs="Arial"/>
          <w:b/>
          <w:bCs/>
          <w:color w:val="000000"/>
          <w:kern w:val="0"/>
          <w:sz w:val="17"/>
          <w:szCs w:val="17"/>
        </w:rPr>
        <w:t>the</w:t>
      </w:r>
      <w:r w:rsidRPr="00AC4931">
        <w:rPr>
          <w:rFonts w:ascii="Arial" w:eastAsia="宋体" w:hAnsi="Arial" w:cs="Arial"/>
          <w:b/>
          <w:bCs/>
          <w:color w:val="000000"/>
          <w:spacing w:val="6"/>
          <w:kern w:val="0"/>
          <w:sz w:val="17"/>
          <w:szCs w:val="17"/>
        </w:rPr>
        <w:t> </w:t>
      </w:r>
      <w:r w:rsidRPr="00AC4931">
        <w:rPr>
          <w:rFonts w:ascii="Arial" w:eastAsia="宋体" w:hAnsi="Arial" w:cs="Arial"/>
          <w:b/>
          <w:bCs/>
          <w:color w:val="000000"/>
          <w:kern w:val="0"/>
          <w:sz w:val="17"/>
          <w:szCs w:val="17"/>
        </w:rPr>
        <w:t>Act:</w:t>
      </w:r>
    </w:p>
    <w:p w14:paraId="11AF7EC7" w14:textId="77777777" w:rsidR="00AC4931" w:rsidRPr="00AC4931" w:rsidRDefault="00AC4931" w:rsidP="00AC4931">
      <w:pPr>
        <w:widowControl/>
        <w:jc w:val="left"/>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8244"/>
        <w:gridCol w:w="206"/>
        <w:gridCol w:w="3715"/>
        <w:gridCol w:w="206"/>
        <w:gridCol w:w="8243"/>
      </w:tblGrid>
      <w:tr w:rsidR="00AC4931" w:rsidRPr="00AC4931" w14:paraId="3A09A2CF" w14:textId="77777777" w:rsidTr="00AC4931">
        <w:tc>
          <w:tcPr>
            <w:tcW w:w="8231" w:type="dxa"/>
            <w:tcBorders>
              <w:bottom w:val="single" w:sz="6" w:space="0" w:color="000000"/>
            </w:tcBorders>
            <w:shd w:val="clear" w:color="auto" w:fill="FFFFFF"/>
            <w:tcMar>
              <w:top w:w="15" w:type="dxa"/>
              <w:left w:w="0" w:type="dxa"/>
              <w:bottom w:w="0" w:type="dxa"/>
              <w:right w:w="15" w:type="dxa"/>
            </w:tcMar>
            <w:hideMark/>
          </w:tcPr>
          <w:p w14:paraId="149F5EA7" w14:textId="77777777" w:rsidR="00AC4931" w:rsidRPr="00AC4931" w:rsidRDefault="00AC4931" w:rsidP="00AC4931">
            <w:pPr>
              <w:widowControl/>
              <w:jc w:val="center"/>
              <w:rPr>
                <w:rFonts w:ascii="Arial" w:eastAsia="宋体" w:hAnsi="Arial" w:cs="Arial" w:hint="eastAsia"/>
                <w:b/>
                <w:bCs/>
                <w:kern w:val="0"/>
                <w:sz w:val="14"/>
                <w:szCs w:val="14"/>
              </w:rPr>
            </w:pPr>
            <w:r w:rsidRPr="00AC4931">
              <w:rPr>
                <w:rFonts w:ascii="Arial" w:eastAsia="宋体" w:hAnsi="Arial" w:cs="Arial"/>
                <w:b/>
                <w:bCs/>
                <w:kern w:val="0"/>
                <w:sz w:val="14"/>
                <w:szCs w:val="14"/>
              </w:rPr>
              <w:t>Title</w:t>
            </w:r>
            <w:r w:rsidRPr="00AC4931">
              <w:rPr>
                <w:rFonts w:ascii="Arial" w:eastAsia="宋体" w:hAnsi="Arial" w:cs="Arial"/>
                <w:b/>
                <w:bCs/>
                <w:spacing w:val="15"/>
                <w:kern w:val="0"/>
                <w:sz w:val="14"/>
                <w:szCs w:val="14"/>
              </w:rPr>
              <w:t> </w:t>
            </w:r>
            <w:r w:rsidRPr="00AC4931">
              <w:rPr>
                <w:rFonts w:ascii="Arial" w:eastAsia="宋体" w:hAnsi="Arial" w:cs="Arial"/>
                <w:b/>
                <w:bCs/>
                <w:kern w:val="0"/>
                <w:sz w:val="14"/>
                <w:szCs w:val="14"/>
              </w:rPr>
              <w:t>of</w:t>
            </w:r>
            <w:r w:rsidRPr="00AC4931">
              <w:rPr>
                <w:rFonts w:ascii="Arial" w:eastAsia="宋体" w:hAnsi="Arial" w:cs="Arial"/>
                <w:b/>
                <w:bCs/>
                <w:spacing w:val="7"/>
                <w:kern w:val="0"/>
                <w:sz w:val="14"/>
                <w:szCs w:val="14"/>
              </w:rPr>
              <w:t> </w:t>
            </w:r>
            <w:r w:rsidRPr="00AC4931">
              <w:rPr>
                <w:rFonts w:ascii="Arial" w:eastAsia="宋体" w:hAnsi="Arial" w:cs="Arial"/>
                <w:b/>
                <w:bCs/>
                <w:kern w:val="0"/>
                <w:sz w:val="14"/>
                <w:szCs w:val="14"/>
              </w:rPr>
              <w:t>each</w:t>
            </w:r>
            <w:r w:rsidRPr="00AC4931">
              <w:rPr>
                <w:rFonts w:ascii="Arial" w:eastAsia="宋体" w:hAnsi="Arial" w:cs="Arial"/>
                <w:b/>
                <w:bCs/>
                <w:spacing w:val="16"/>
                <w:kern w:val="0"/>
                <w:sz w:val="14"/>
                <w:szCs w:val="14"/>
              </w:rPr>
              <w:t> </w:t>
            </w:r>
            <w:r w:rsidRPr="00AC4931">
              <w:rPr>
                <w:rFonts w:ascii="Arial" w:eastAsia="宋体" w:hAnsi="Arial" w:cs="Arial"/>
                <w:b/>
                <w:bCs/>
                <w:spacing w:val="-1"/>
                <w:kern w:val="0"/>
                <w:sz w:val="14"/>
                <w:szCs w:val="14"/>
              </w:rPr>
              <w:t>c</w:t>
            </w:r>
            <w:r w:rsidRPr="00AC4931">
              <w:rPr>
                <w:rFonts w:ascii="Arial" w:eastAsia="宋体" w:hAnsi="Arial" w:cs="Arial"/>
                <w:b/>
                <w:bCs/>
                <w:kern w:val="0"/>
                <w:sz w:val="14"/>
                <w:szCs w:val="14"/>
              </w:rPr>
              <w:t>lass:</w:t>
            </w:r>
          </w:p>
        </w:tc>
        <w:tc>
          <w:tcPr>
            <w:tcW w:w="206" w:type="dxa"/>
            <w:shd w:val="clear" w:color="auto" w:fill="FFFFFF"/>
            <w:hideMark/>
          </w:tcPr>
          <w:p w14:paraId="40FEF5A6" w14:textId="77777777" w:rsidR="00AC4931" w:rsidRPr="00AC4931" w:rsidRDefault="00AC4931" w:rsidP="00AC4931">
            <w:pPr>
              <w:widowControl/>
              <w:jc w:val="center"/>
              <w:rPr>
                <w:rFonts w:ascii="宋体" w:eastAsia="宋体" w:hAnsi="宋体" w:cs="宋体"/>
                <w:b/>
                <w:bCs/>
                <w:kern w:val="0"/>
                <w:sz w:val="14"/>
                <w:szCs w:val="14"/>
              </w:rPr>
            </w:pPr>
            <w:r w:rsidRPr="00AC4931">
              <w:rPr>
                <w:rFonts w:ascii="宋体" w:eastAsia="宋体" w:hAnsi="宋体" w:cs="宋体"/>
                <w:b/>
                <w:bCs/>
                <w:kern w:val="0"/>
                <w:sz w:val="14"/>
                <w:szCs w:val="14"/>
              </w:rPr>
              <w:t> </w:t>
            </w:r>
          </w:p>
        </w:tc>
        <w:tc>
          <w:tcPr>
            <w:tcW w:w="3710" w:type="dxa"/>
            <w:tcBorders>
              <w:bottom w:val="single" w:sz="6" w:space="0" w:color="000000"/>
            </w:tcBorders>
            <w:shd w:val="clear" w:color="auto" w:fill="FFFFFF"/>
            <w:hideMark/>
          </w:tcPr>
          <w:p w14:paraId="1022B800" w14:textId="77777777" w:rsidR="00AC4931" w:rsidRPr="00AC4931" w:rsidRDefault="00AC4931" w:rsidP="00AC4931">
            <w:pPr>
              <w:widowControl/>
              <w:jc w:val="center"/>
              <w:rPr>
                <w:rFonts w:ascii="Arial" w:eastAsia="宋体" w:hAnsi="Arial" w:cs="Arial"/>
                <w:b/>
                <w:bCs/>
                <w:kern w:val="0"/>
                <w:sz w:val="14"/>
                <w:szCs w:val="14"/>
              </w:rPr>
            </w:pPr>
            <w:r w:rsidRPr="00AC4931">
              <w:rPr>
                <w:rFonts w:ascii="Arial" w:eastAsia="宋体" w:hAnsi="Arial" w:cs="Arial"/>
                <w:b/>
                <w:bCs/>
                <w:kern w:val="0"/>
                <w:sz w:val="14"/>
                <w:szCs w:val="14"/>
              </w:rPr>
              <w:t>Trading Symbol(s):</w:t>
            </w:r>
          </w:p>
        </w:tc>
        <w:tc>
          <w:tcPr>
            <w:tcW w:w="206" w:type="dxa"/>
            <w:shd w:val="clear" w:color="auto" w:fill="FFFFFF"/>
            <w:hideMark/>
          </w:tcPr>
          <w:p w14:paraId="1EF9918C" w14:textId="77777777" w:rsidR="00AC4931" w:rsidRPr="00AC4931" w:rsidRDefault="00AC4931" w:rsidP="00AC4931">
            <w:pPr>
              <w:widowControl/>
              <w:jc w:val="left"/>
              <w:rPr>
                <w:rFonts w:ascii="宋体" w:eastAsia="宋体" w:hAnsi="宋体" w:cs="宋体"/>
                <w:b/>
                <w:bCs/>
                <w:kern w:val="0"/>
                <w:sz w:val="14"/>
                <w:szCs w:val="14"/>
              </w:rPr>
            </w:pPr>
            <w:r w:rsidRPr="00AC4931">
              <w:rPr>
                <w:rFonts w:ascii="宋体" w:eastAsia="宋体" w:hAnsi="宋体" w:cs="宋体"/>
                <w:b/>
                <w:bCs/>
                <w:kern w:val="0"/>
                <w:sz w:val="14"/>
                <w:szCs w:val="14"/>
              </w:rPr>
              <w:t> </w:t>
            </w:r>
          </w:p>
        </w:tc>
        <w:tc>
          <w:tcPr>
            <w:tcW w:w="8231" w:type="dxa"/>
            <w:tcBorders>
              <w:bottom w:val="single" w:sz="6" w:space="0" w:color="000000"/>
            </w:tcBorders>
            <w:shd w:val="clear" w:color="auto" w:fill="FFFFFF"/>
            <w:tcMar>
              <w:top w:w="15" w:type="dxa"/>
              <w:left w:w="0" w:type="dxa"/>
              <w:bottom w:w="0" w:type="dxa"/>
              <w:right w:w="15" w:type="dxa"/>
            </w:tcMar>
            <w:hideMark/>
          </w:tcPr>
          <w:p w14:paraId="67516E84" w14:textId="77777777" w:rsidR="00AC4931" w:rsidRPr="00AC4931" w:rsidRDefault="00AC4931" w:rsidP="00AC4931">
            <w:pPr>
              <w:widowControl/>
              <w:jc w:val="center"/>
              <w:rPr>
                <w:rFonts w:ascii="Arial" w:eastAsia="宋体" w:hAnsi="Arial" w:cs="Arial"/>
                <w:b/>
                <w:bCs/>
                <w:kern w:val="0"/>
                <w:sz w:val="14"/>
                <w:szCs w:val="14"/>
              </w:rPr>
            </w:pPr>
            <w:r w:rsidRPr="00AC4931">
              <w:rPr>
                <w:rFonts w:ascii="Arial" w:eastAsia="宋体" w:hAnsi="Arial" w:cs="Arial"/>
                <w:b/>
                <w:bCs/>
                <w:kern w:val="0"/>
                <w:sz w:val="14"/>
                <w:szCs w:val="14"/>
              </w:rPr>
              <w:t>Name</w:t>
            </w:r>
            <w:r w:rsidRPr="00AC4931">
              <w:rPr>
                <w:rFonts w:ascii="Arial" w:eastAsia="宋体" w:hAnsi="Arial" w:cs="Arial"/>
                <w:b/>
                <w:bCs/>
                <w:spacing w:val="18"/>
                <w:kern w:val="0"/>
                <w:sz w:val="14"/>
                <w:szCs w:val="14"/>
              </w:rPr>
              <w:t> </w:t>
            </w:r>
            <w:r w:rsidRPr="00AC4931">
              <w:rPr>
                <w:rFonts w:ascii="Arial" w:eastAsia="宋体" w:hAnsi="Arial" w:cs="Arial"/>
                <w:b/>
                <w:bCs/>
                <w:kern w:val="0"/>
                <w:sz w:val="14"/>
                <w:szCs w:val="14"/>
              </w:rPr>
              <w:t>of</w:t>
            </w:r>
            <w:r w:rsidRPr="00AC4931">
              <w:rPr>
                <w:rFonts w:ascii="Arial" w:eastAsia="宋体" w:hAnsi="Arial" w:cs="Arial"/>
                <w:b/>
                <w:bCs/>
                <w:spacing w:val="8"/>
                <w:kern w:val="0"/>
                <w:sz w:val="14"/>
                <w:szCs w:val="14"/>
              </w:rPr>
              <w:t> </w:t>
            </w:r>
            <w:r w:rsidRPr="00AC4931">
              <w:rPr>
                <w:rFonts w:ascii="Arial" w:eastAsia="宋体" w:hAnsi="Arial" w:cs="Arial"/>
                <w:b/>
                <w:bCs/>
                <w:kern w:val="0"/>
                <w:sz w:val="14"/>
                <w:szCs w:val="14"/>
              </w:rPr>
              <w:t>ea</w:t>
            </w:r>
            <w:r w:rsidRPr="00AC4931">
              <w:rPr>
                <w:rFonts w:ascii="Arial" w:eastAsia="宋体" w:hAnsi="Arial" w:cs="Arial"/>
                <w:b/>
                <w:bCs/>
                <w:spacing w:val="-1"/>
                <w:kern w:val="0"/>
                <w:sz w:val="14"/>
                <w:szCs w:val="14"/>
              </w:rPr>
              <w:t>c</w:t>
            </w:r>
            <w:r w:rsidRPr="00AC4931">
              <w:rPr>
                <w:rFonts w:ascii="Arial" w:eastAsia="宋体" w:hAnsi="Arial" w:cs="Arial"/>
                <w:b/>
                <w:bCs/>
                <w:kern w:val="0"/>
                <w:sz w:val="14"/>
                <w:szCs w:val="14"/>
              </w:rPr>
              <w:t>h</w:t>
            </w:r>
            <w:r w:rsidRPr="00AC4931">
              <w:rPr>
                <w:rFonts w:ascii="Arial" w:eastAsia="宋体" w:hAnsi="Arial" w:cs="Arial"/>
                <w:b/>
                <w:bCs/>
                <w:spacing w:val="16"/>
                <w:kern w:val="0"/>
                <w:sz w:val="14"/>
                <w:szCs w:val="14"/>
              </w:rPr>
              <w:t> </w:t>
            </w:r>
            <w:r w:rsidRPr="00AC4931">
              <w:rPr>
                <w:rFonts w:ascii="Arial" w:eastAsia="宋体" w:hAnsi="Arial" w:cs="Arial"/>
                <w:b/>
                <w:bCs/>
                <w:kern w:val="0"/>
                <w:sz w:val="14"/>
                <w:szCs w:val="14"/>
              </w:rPr>
              <w:t>exc</w:t>
            </w:r>
            <w:r w:rsidRPr="00AC4931">
              <w:rPr>
                <w:rFonts w:ascii="Arial" w:eastAsia="宋体" w:hAnsi="Arial" w:cs="Arial"/>
                <w:b/>
                <w:bCs/>
                <w:spacing w:val="-1"/>
                <w:kern w:val="0"/>
                <w:sz w:val="14"/>
                <w:szCs w:val="14"/>
              </w:rPr>
              <w:t>h</w:t>
            </w:r>
            <w:r w:rsidRPr="00AC4931">
              <w:rPr>
                <w:rFonts w:ascii="Arial" w:eastAsia="宋体" w:hAnsi="Arial" w:cs="Arial"/>
                <w:b/>
                <w:bCs/>
                <w:kern w:val="0"/>
                <w:sz w:val="14"/>
                <w:szCs w:val="14"/>
              </w:rPr>
              <w:t>a</w:t>
            </w:r>
            <w:r w:rsidRPr="00AC4931">
              <w:rPr>
                <w:rFonts w:ascii="Arial" w:eastAsia="宋体" w:hAnsi="Arial" w:cs="Arial"/>
                <w:b/>
                <w:bCs/>
                <w:spacing w:val="-1"/>
                <w:kern w:val="0"/>
                <w:sz w:val="14"/>
                <w:szCs w:val="14"/>
              </w:rPr>
              <w:t>n</w:t>
            </w:r>
            <w:r w:rsidRPr="00AC4931">
              <w:rPr>
                <w:rFonts w:ascii="Arial" w:eastAsia="宋体" w:hAnsi="Arial" w:cs="Arial"/>
                <w:b/>
                <w:bCs/>
                <w:kern w:val="0"/>
                <w:sz w:val="14"/>
                <w:szCs w:val="14"/>
              </w:rPr>
              <w:t>ge</w:t>
            </w:r>
            <w:r w:rsidRPr="00AC4931">
              <w:rPr>
                <w:rFonts w:ascii="Arial" w:eastAsia="宋体" w:hAnsi="Arial" w:cs="Arial"/>
                <w:b/>
                <w:bCs/>
                <w:spacing w:val="30"/>
                <w:kern w:val="0"/>
                <w:sz w:val="14"/>
                <w:szCs w:val="14"/>
              </w:rPr>
              <w:t> </w:t>
            </w:r>
            <w:r w:rsidRPr="00AC4931">
              <w:rPr>
                <w:rFonts w:ascii="Arial" w:eastAsia="宋体" w:hAnsi="Arial" w:cs="Arial"/>
                <w:b/>
                <w:bCs/>
                <w:kern w:val="0"/>
                <w:sz w:val="14"/>
                <w:szCs w:val="14"/>
              </w:rPr>
              <w:t>on</w:t>
            </w:r>
            <w:r w:rsidRPr="00AC4931">
              <w:rPr>
                <w:rFonts w:ascii="Arial" w:eastAsia="宋体" w:hAnsi="Arial" w:cs="Arial"/>
                <w:b/>
                <w:bCs/>
                <w:spacing w:val="8"/>
                <w:kern w:val="0"/>
                <w:sz w:val="14"/>
                <w:szCs w:val="14"/>
              </w:rPr>
              <w:t> </w:t>
            </w:r>
            <w:r w:rsidRPr="00AC4931">
              <w:rPr>
                <w:rFonts w:ascii="Arial" w:eastAsia="宋体" w:hAnsi="Arial" w:cs="Arial"/>
                <w:b/>
                <w:bCs/>
                <w:kern w:val="0"/>
                <w:sz w:val="14"/>
                <w:szCs w:val="14"/>
              </w:rPr>
              <w:t>which</w:t>
            </w:r>
            <w:r w:rsidRPr="00AC4931">
              <w:rPr>
                <w:rFonts w:ascii="Arial" w:eastAsia="宋体" w:hAnsi="Arial" w:cs="Arial"/>
                <w:b/>
                <w:bCs/>
                <w:spacing w:val="19"/>
                <w:kern w:val="0"/>
                <w:sz w:val="14"/>
                <w:szCs w:val="14"/>
              </w:rPr>
              <w:t> </w:t>
            </w:r>
            <w:r w:rsidRPr="00AC4931">
              <w:rPr>
                <w:rFonts w:ascii="Arial" w:eastAsia="宋体" w:hAnsi="Arial" w:cs="Arial"/>
                <w:b/>
                <w:bCs/>
                <w:kern w:val="0"/>
                <w:sz w:val="14"/>
                <w:szCs w:val="14"/>
              </w:rPr>
              <w:t>regist</w:t>
            </w:r>
            <w:r w:rsidRPr="00AC4931">
              <w:rPr>
                <w:rFonts w:ascii="Arial" w:eastAsia="宋体" w:hAnsi="Arial" w:cs="Arial"/>
                <w:b/>
                <w:bCs/>
                <w:spacing w:val="-1"/>
                <w:kern w:val="0"/>
                <w:sz w:val="14"/>
                <w:szCs w:val="14"/>
              </w:rPr>
              <w:t>e</w:t>
            </w:r>
            <w:r w:rsidRPr="00AC4931">
              <w:rPr>
                <w:rFonts w:ascii="Arial" w:eastAsia="宋体" w:hAnsi="Arial" w:cs="Arial"/>
                <w:b/>
                <w:bCs/>
                <w:kern w:val="0"/>
                <w:sz w:val="14"/>
                <w:szCs w:val="14"/>
              </w:rPr>
              <w:t>red:</w:t>
            </w:r>
          </w:p>
        </w:tc>
      </w:tr>
      <w:tr w:rsidR="00AC4931" w:rsidRPr="00AC4931" w14:paraId="6F7EE184" w14:textId="77777777" w:rsidTr="00AC4931">
        <w:tc>
          <w:tcPr>
            <w:tcW w:w="8231" w:type="dxa"/>
            <w:tcBorders>
              <w:top w:val="single" w:sz="6" w:space="0" w:color="000000"/>
            </w:tcBorders>
            <w:shd w:val="clear" w:color="auto" w:fill="FFFFFF"/>
            <w:tcMar>
              <w:top w:w="15" w:type="dxa"/>
              <w:left w:w="0" w:type="dxa"/>
              <w:bottom w:w="0" w:type="dxa"/>
              <w:right w:w="15" w:type="dxa"/>
            </w:tcMar>
            <w:hideMark/>
          </w:tcPr>
          <w:p w14:paraId="1EB7A569" w14:textId="77777777" w:rsidR="00AC4931" w:rsidRPr="00AC4931" w:rsidRDefault="00AC4931" w:rsidP="00AC4931">
            <w:pPr>
              <w:widowControl/>
              <w:jc w:val="center"/>
              <w:rPr>
                <w:rFonts w:ascii="Arial" w:eastAsia="宋体" w:hAnsi="Arial" w:cs="Arial"/>
                <w:b/>
                <w:bCs/>
                <w:spacing w:val="-1"/>
                <w:kern w:val="0"/>
                <w:sz w:val="17"/>
                <w:szCs w:val="17"/>
              </w:rPr>
            </w:pPr>
            <w:r w:rsidRPr="00AC4931">
              <w:rPr>
                <w:rFonts w:ascii="Arial" w:eastAsia="宋体" w:hAnsi="Arial" w:cs="Arial"/>
                <w:b/>
                <w:bCs/>
                <w:spacing w:val="-1"/>
                <w:kern w:val="0"/>
                <w:sz w:val="17"/>
                <w:szCs w:val="17"/>
              </w:rPr>
              <w:t>Common</w:t>
            </w:r>
            <w:r w:rsidRPr="00AC4931">
              <w:rPr>
                <w:rFonts w:ascii="Arial" w:eastAsia="宋体" w:hAnsi="Arial" w:cs="Arial"/>
                <w:b/>
                <w:bCs/>
                <w:spacing w:val="15"/>
                <w:kern w:val="0"/>
                <w:sz w:val="17"/>
                <w:szCs w:val="17"/>
              </w:rPr>
              <w:t> </w:t>
            </w:r>
            <w:r w:rsidRPr="00AC4931">
              <w:rPr>
                <w:rFonts w:ascii="Arial" w:eastAsia="宋体" w:hAnsi="Arial" w:cs="Arial"/>
                <w:b/>
                <w:bCs/>
                <w:spacing w:val="-1"/>
                <w:kern w:val="0"/>
                <w:sz w:val="17"/>
                <w:szCs w:val="17"/>
              </w:rPr>
              <w:t>Stock (par</w:t>
            </w:r>
            <w:r w:rsidRPr="00AC4931">
              <w:rPr>
                <w:rFonts w:ascii="Arial" w:eastAsia="宋体" w:hAnsi="Arial" w:cs="Arial"/>
                <w:b/>
                <w:bCs/>
                <w:spacing w:val="6"/>
                <w:kern w:val="0"/>
                <w:sz w:val="17"/>
                <w:szCs w:val="17"/>
              </w:rPr>
              <w:t> </w:t>
            </w:r>
            <w:r w:rsidRPr="00AC4931">
              <w:rPr>
                <w:rFonts w:ascii="Arial" w:eastAsia="宋体" w:hAnsi="Arial" w:cs="Arial"/>
                <w:b/>
                <w:bCs/>
                <w:spacing w:val="-1"/>
                <w:kern w:val="0"/>
                <w:sz w:val="17"/>
                <w:szCs w:val="17"/>
              </w:rPr>
              <w:t>value</w:t>
            </w:r>
            <w:r w:rsidRPr="00AC4931">
              <w:rPr>
                <w:rFonts w:ascii="Arial" w:eastAsia="宋体" w:hAnsi="Arial" w:cs="Arial"/>
                <w:b/>
                <w:bCs/>
                <w:spacing w:val="9"/>
                <w:kern w:val="0"/>
                <w:sz w:val="17"/>
                <w:szCs w:val="17"/>
              </w:rPr>
              <w:t> </w:t>
            </w:r>
            <w:r w:rsidRPr="00AC4931">
              <w:rPr>
                <w:rFonts w:ascii="Arial" w:eastAsia="宋体" w:hAnsi="Arial" w:cs="Arial"/>
                <w:b/>
                <w:bCs/>
                <w:spacing w:val="-1"/>
                <w:kern w:val="0"/>
                <w:sz w:val="17"/>
                <w:szCs w:val="17"/>
              </w:rPr>
              <w:t>$1.00</w:t>
            </w:r>
            <w:r w:rsidRPr="00AC4931">
              <w:rPr>
                <w:rFonts w:ascii="Arial" w:eastAsia="宋体" w:hAnsi="Arial" w:cs="Arial"/>
                <w:b/>
                <w:bCs/>
                <w:spacing w:val="8"/>
                <w:kern w:val="0"/>
                <w:sz w:val="17"/>
                <w:szCs w:val="17"/>
              </w:rPr>
              <w:t> </w:t>
            </w:r>
            <w:r w:rsidRPr="00AC4931">
              <w:rPr>
                <w:rFonts w:ascii="Arial" w:eastAsia="宋体" w:hAnsi="Arial" w:cs="Arial"/>
                <w:b/>
                <w:bCs/>
                <w:spacing w:val="-1"/>
                <w:kern w:val="0"/>
                <w:sz w:val="17"/>
                <w:szCs w:val="17"/>
              </w:rPr>
              <w:t>per</w:t>
            </w:r>
            <w:r w:rsidRPr="00AC4931">
              <w:rPr>
                <w:rFonts w:ascii="Arial" w:eastAsia="宋体" w:hAnsi="Arial" w:cs="Arial"/>
                <w:b/>
                <w:bCs/>
                <w:spacing w:val="6"/>
                <w:kern w:val="0"/>
                <w:sz w:val="17"/>
                <w:szCs w:val="17"/>
              </w:rPr>
              <w:t> </w:t>
            </w:r>
            <w:r w:rsidRPr="00AC4931">
              <w:rPr>
                <w:rFonts w:ascii="Arial" w:eastAsia="宋体" w:hAnsi="Arial" w:cs="Arial"/>
                <w:b/>
                <w:bCs/>
                <w:spacing w:val="-1"/>
                <w:kern w:val="0"/>
                <w:sz w:val="17"/>
                <w:szCs w:val="17"/>
              </w:rPr>
              <w:t>share)</w:t>
            </w:r>
          </w:p>
        </w:tc>
        <w:tc>
          <w:tcPr>
            <w:tcW w:w="206" w:type="dxa"/>
            <w:shd w:val="clear" w:color="auto" w:fill="FFFFFF"/>
            <w:hideMark/>
          </w:tcPr>
          <w:p w14:paraId="06516831" w14:textId="77777777" w:rsidR="00AC4931" w:rsidRPr="00AC4931" w:rsidRDefault="00AC4931" w:rsidP="00AC4931">
            <w:pPr>
              <w:widowControl/>
              <w:jc w:val="center"/>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3710" w:type="dxa"/>
            <w:tcBorders>
              <w:top w:val="single" w:sz="6" w:space="0" w:color="000000"/>
            </w:tcBorders>
            <w:shd w:val="clear" w:color="auto" w:fill="FFFFFF"/>
            <w:hideMark/>
          </w:tcPr>
          <w:p w14:paraId="7C16D85E" w14:textId="77777777" w:rsidR="00AC4931" w:rsidRPr="00AC4931" w:rsidRDefault="00AC4931" w:rsidP="00AC4931">
            <w:pPr>
              <w:widowControl/>
              <w:jc w:val="center"/>
              <w:rPr>
                <w:rFonts w:ascii="Arial" w:eastAsia="宋体" w:hAnsi="Arial" w:cs="Arial"/>
                <w:b/>
                <w:bCs/>
                <w:kern w:val="0"/>
                <w:sz w:val="17"/>
                <w:szCs w:val="17"/>
              </w:rPr>
            </w:pPr>
            <w:r w:rsidRPr="00AC4931">
              <w:rPr>
                <w:rFonts w:ascii="Arial" w:eastAsia="宋体" w:hAnsi="Arial" w:cs="Arial"/>
                <w:b/>
                <w:bCs/>
                <w:kern w:val="0"/>
                <w:sz w:val="17"/>
                <w:szCs w:val="17"/>
              </w:rPr>
              <w:t>ALV</w:t>
            </w:r>
          </w:p>
        </w:tc>
        <w:tc>
          <w:tcPr>
            <w:tcW w:w="206" w:type="dxa"/>
            <w:shd w:val="clear" w:color="auto" w:fill="FFFFFF"/>
            <w:hideMark/>
          </w:tcPr>
          <w:p w14:paraId="137793AC" w14:textId="77777777" w:rsidR="00AC4931" w:rsidRPr="00AC4931" w:rsidRDefault="00AC4931" w:rsidP="00AC4931">
            <w:pPr>
              <w:widowControl/>
              <w:jc w:val="center"/>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8231" w:type="dxa"/>
            <w:tcBorders>
              <w:top w:val="single" w:sz="6" w:space="0" w:color="000000"/>
            </w:tcBorders>
            <w:shd w:val="clear" w:color="auto" w:fill="FFFFFF"/>
            <w:tcMar>
              <w:top w:w="15" w:type="dxa"/>
              <w:left w:w="0" w:type="dxa"/>
              <w:bottom w:w="0" w:type="dxa"/>
              <w:right w:w="15" w:type="dxa"/>
            </w:tcMar>
            <w:hideMark/>
          </w:tcPr>
          <w:p w14:paraId="6D68FB55" w14:textId="77777777" w:rsidR="00AC4931" w:rsidRPr="00AC4931" w:rsidRDefault="00AC4931" w:rsidP="00AC4931">
            <w:pPr>
              <w:widowControl/>
              <w:jc w:val="center"/>
              <w:rPr>
                <w:rFonts w:ascii="Arial" w:eastAsia="宋体" w:hAnsi="Arial" w:cs="Arial"/>
                <w:b/>
                <w:bCs/>
                <w:kern w:val="0"/>
                <w:sz w:val="17"/>
                <w:szCs w:val="17"/>
              </w:rPr>
            </w:pPr>
            <w:r w:rsidRPr="00AC4931">
              <w:rPr>
                <w:rFonts w:ascii="Arial" w:eastAsia="宋体" w:hAnsi="Arial" w:cs="Arial"/>
                <w:b/>
                <w:bCs/>
                <w:kern w:val="0"/>
                <w:sz w:val="17"/>
                <w:szCs w:val="17"/>
              </w:rPr>
              <w:t>New York Stock Exchange</w:t>
            </w:r>
          </w:p>
        </w:tc>
      </w:tr>
    </w:tbl>
    <w:p w14:paraId="719E65AF"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64AFD798" w14:textId="77777777" w:rsidR="00AC4931" w:rsidRPr="00AC4931" w:rsidRDefault="00AC4931" w:rsidP="00AC4931">
      <w:pPr>
        <w:widowControl/>
        <w:rPr>
          <w:rFonts w:ascii="Arial" w:eastAsia="宋体" w:hAnsi="Arial" w:cs="Arial" w:hint="eastAsia"/>
          <w:color w:val="000000"/>
          <w:kern w:val="0"/>
          <w:sz w:val="17"/>
          <w:szCs w:val="17"/>
        </w:rPr>
      </w:pPr>
      <w:r w:rsidRPr="00AC4931">
        <w:rPr>
          <w:rFonts w:ascii="Arial" w:eastAsia="宋体" w:hAnsi="Arial" w:cs="Arial"/>
          <w:color w:val="000000"/>
          <w:kern w:val="0"/>
          <w:sz w:val="17"/>
          <w:szCs w:val="17"/>
        </w:rPr>
        <w:t>Indi</w:t>
      </w:r>
      <w:r w:rsidRPr="00AC4931">
        <w:rPr>
          <w:rFonts w:ascii="Arial" w:eastAsia="宋体" w:hAnsi="Arial" w:cs="Arial"/>
          <w:color w:val="000000"/>
          <w:spacing w:val="-1"/>
          <w:kern w:val="0"/>
          <w:sz w:val="17"/>
          <w:szCs w:val="17"/>
        </w:rPr>
        <w:t>c</w:t>
      </w:r>
      <w:r w:rsidRPr="00AC4931">
        <w:rPr>
          <w:rFonts w:ascii="Arial" w:eastAsia="宋体" w:hAnsi="Arial" w:cs="Arial"/>
          <w:color w:val="000000"/>
          <w:kern w:val="0"/>
          <w:sz w:val="17"/>
          <w:szCs w:val="17"/>
        </w:rPr>
        <w:t>ate</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by</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check</w:t>
      </w:r>
      <w:r w:rsidRPr="00AC4931">
        <w:rPr>
          <w:rFonts w:ascii="Arial" w:eastAsia="宋体" w:hAnsi="Arial" w:cs="Arial"/>
          <w:color w:val="000000"/>
          <w:spacing w:val="10"/>
          <w:kern w:val="0"/>
          <w:sz w:val="17"/>
          <w:szCs w:val="17"/>
        </w:rPr>
        <w:t> </w:t>
      </w:r>
      <w:r w:rsidRPr="00AC4931">
        <w:rPr>
          <w:rFonts w:ascii="Arial" w:eastAsia="宋体" w:hAnsi="Arial" w:cs="Arial"/>
          <w:color w:val="000000"/>
          <w:kern w:val="0"/>
          <w:sz w:val="17"/>
          <w:szCs w:val="17"/>
        </w:rPr>
        <w:t>mark</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if</w:t>
      </w:r>
      <w:r w:rsidRPr="00AC4931">
        <w:rPr>
          <w:rFonts w:ascii="Arial" w:eastAsia="宋体" w:hAnsi="Arial" w:cs="Arial"/>
          <w:color w:val="000000"/>
          <w:spacing w:val="3"/>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r</w:t>
      </w:r>
      <w:r w:rsidRPr="00AC4931">
        <w:rPr>
          <w:rFonts w:ascii="Arial" w:eastAsia="宋体" w:hAnsi="Arial" w:cs="Arial"/>
          <w:color w:val="000000"/>
          <w:spacing w:val="-1"/>
          <w:kern w:val="0"/>
          <w:sz w:val="17"/>
          <w:szCs w:val="17"/>
        </w:rPr>
        <w:t>e</w:t>
      </w:r>
      <w:r w:rsidRPr="00AC4931">
        <w:rPr>
          <w:rFonts w:ascii="Arial" w:eastAsia="宋体" w:hAnsi="Arial" w:cs="Arial"/>
          <w:color w:val="000000"/>
          <w:kern w:val="0"/>
          <w:sz w:val="17"/>
          <w:szCs w:val="17"/>
        </w:rPr>
        <w:t>gistrant</w:t>
      </w:r>
      <w:r w:rsidRPr="00AC4931">
        <w:rPr>
          <w:rFonts w:ascii="Arial" w:eastAsia="宋体" w:hAnsi="Arial" w:cs="Arial"/>
          <w:color w:val="000000"/>
          <w:spacing w:val="15"/>
          <w:kern w:val="0"/>
          <w:sz w:val="17"/>
          <w:szCs w:val="17"/>
        </w:rPr>
        <w:t> </w:t>
      </w:r>
      <w:r w:rsidRPr="00AC4931">
        <w:rPr>
          <w:rFonts w:ascii="Arial" w:eastAsia="宋体" w:hAnsi="Arial" w:cs="Arial"/>
          <w:color w:val="000000"/>
          <w:kern w:val="0"/>
          <w:sz w:val="17"/>
          <w:szCs w:val="17"/>
        </w:rPr>
        <w:t>is</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a</w:t>
      </w:r>
      <w:r w:rsidRPr="00AC4931">
        <w:rPr>
          <w:rFonts w:ascii="Arial" w:eastAsia="宋体" w:hAnsi="Arial" w:cs="Arial"/>
          <w:color w:val="000000"/>
          <w:spacing w:val="2"/>
          <w:kern w:val="0"/>
          <w:sz w:val="17"/>
          <w:szCs w:val="17"/>
        </w:rPr>
        <w:t> </w:t>
      </w:r>
      <w:r w:rsidRPr="00AC4931">
        <w:rPr>
          <w:rFonts w:ascii="Arial" w:eastAsia="宋体" w:hAnsi="Arial" w:cs="Arial"/>
          <w:color w:val="000000"/>
          <w:kern w:val="0"/>
          <w:sz w:val="17"/>
          <w:szCs w:val="17"/>
        </w:rPr>
        <w:t>well-known</w:t>
      </w:r>
      <w:r w:rsidRPr="00AC4931">
        <w:rPr>
          <w:rFonts w:ascii="Arial" w:eastAsia="宋体" w:hAnsi="Arial" w:cs="Arial"/>
          <w:color w:val="000000"/>
          <w:spacing w:val="18"/>
          <w:kern w:val="0"/>
          <w:sz w:val="17"/>
          <w:szCs w:val="17"/>
        </w:rPr>
        <w:t> </w:t>
      </w:r>
      <w:r w:rsidRPr="00AC4931">
        <w:rPr>
          <w:rFonts w:ascii="Arial" w:eastAsia="宋体" w:hAnsi="Arial" w:cs="Arial"/>
          <w:color w:val="000000"/>
          <w:kern w:val="0"/>
          <w:sz w:val="17"/>
          <w:szCs w:val="17"/>
        </w:rPr>
        <w:t>seasoned</w:t>
      </w:r>
      <w:r w:rsidRPr="00AC4931">
        <w:rPr>
          <w:rFonts w:ascii="Arial" w:eastAsia="宋体" w:hAnsi="Arial" w:cs="Arial"/>
          <w:color w:val="000000"/>
          <w:spacing w:val="15"/>
          <w:kern w:val="0"/>
          <w:sz w:val="17"/>
          <w:szCs w:val="17"/>
        </w:rPr>
        <w:t> </w:t>
      </w:r>
      <w:r w:rsidRPr="00AC4931">
        <w:rPr>
          <w:rFonts w:ascii="Arial" w:eastAsia="宋体" w:hAnsi="Arial" w:cs="Arial"/>
          <w:color w:val="000000"/>
          <w:kern w:val="0"/>
          <w:sz w:val="17"/>
          <w:szCs w:val="17"/>
        </w:rPr>
        <w:t>is</w:t>
      </w:r>
      <w:r w:rsidRPr="00AC4931">
        <w:rPr>
          <w:rFonts w:ascii="Arial" w:eastAsia="宋体" w:hAnsi="Arial" w:cs="Arial"/>
          <w:color w:val="000000"/>
          <w:spacing w:val="-1"/>
          <w:kern w:val="0"/>
          <w:sz w:val="17"/>
          <w:szCs w:val="17"/>
        </w:rPr>
        <w:t>s</w:t>
      </w:r>
      <w:r w:rsidRPr="00AC4931">
        <w:rPr>
          <w:rFonts w:ascii="Arial" w:eastAsia="宋体" w:hAnsi="Arial" w:cs="Arial"/>
          <w:color w:val="000000"/>
          <w:kern w:val="0"/>
          <w:sz w:val="17"/>
          <w:szCs w:val="17"/>
        </w:rPr>
        <w:t>uer,</w:t>
      </w:r>
      <w:r w:rsidRPr="00AC4931">
        <w:rPr>
          <w:rFonts w:ascii="Arial" w:eastAsia="宋体" w:hAnsi="Arial" w:cs="Arial"/>
          <w:color w:val="000000"/>
          <w:spacing w:val="11"/>
          <w:kern w:val="0"/>
          <w:sz w:val="17"/>
          <w:szCs w:val="17"/>
        </w:rPr>
        <w:t> </w:t>
      </w:r>
      <w:r w:rsidRPr="00AC4931">
        <w:rPr>
          <w:rFonts w:ascii="Arial" w:eastAsia="宋体" w:hAnsi="Arial" w:cs="Arial"/>
          <w:color w:val="000000"/>
          <w:kern w:val="0"/>
          <w:sz w:val="17"/>
          <w:szCs w:val="17"/>
        </w:rPr>
        <w:t>as</w:t>
      </w:r>
      <w:r w:rsidRPr="00AC4931">
        <w:rPr>
          <w:rFonts w:ascii="Arial" w:eastAsia="宋体" w:hAnsi="Arial" w:cs="Arial"/>
          <w:color w:val="000000"/>
          <w:spacing w:val="1"/>
          <w:kern w:val="0"/>
          <w:sz w:val="17"/>
          <w:szCs w:val="17"/>
        </w:rPr>
        <w:t> </w:t>
      </w:r>
      <w:r w:rsidRPr="00AC4931">
        <w:rPr>
          <w:rFonts w:ascii="Arial" w:eastAsia="宋体" w:hAnsi="Arial" w:cs="Arial"/>
          <w:color w:val="000000"/>
          <w:kern w:val="0"/>
          <w:sz w:val="17"/>
          <w:szCs w:val="17"/>
        </w:rPr>
        <w:t>d</w:t>
      </w:r>
      <w:r w:rsidRPr="00AC4931">
        <w:rPr>
          <w:rFonts w:ascii="Arial" w:eastAsia="宋体" w:hAnsi="Arial" w:cs="Arial"/>
          <w:color w:val="000000"/>
          <w:spacing w:val="-1"/>
          <w:kern w:val="0"/>
          <w:sz w:val="17"/>
          <w:szCs w:val="17"/>
        </w:rPr>
        <w:t>e</w:t>
      </w:r>
      <w:r w:rsidRPr="00AC4931">
        <w:rPr>
          <w:rFonts w:ascii="Arial" w:eastAsia="宋体" w:hAnsi="Arial" w:cs="Arial"/>
          <w:color w:val="000000"/>
          <w:kern w:val="0"/>
          <w:sz w:val="17"/>
          <w:szCs w:val="17"/>
        </w:rPr>
        <w:t>fined</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in</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Rule</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405</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Securities Ac</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   Yes  </w:t>
      </w:r>
      <w:r w:rsidRPr="00AC4931">
        <w:rPr>
          <w:rFonts w:ascii="Segoe UI Symbol" w:eastAsia="宋体" w:hAnsi="Segoe UI Symbol" w:cs="Arial"/>
          <w:color w:val="000000"/>
          <w:kern w:val="0"/>
          <w:sz w:val="17"/>
          <w:szCs w:val="17"/>
        </w:rPr>
        <w:t>☒</w:t>
      </w:r>
      <w:r w:rsidRPr="00AC4931">
        <w:rPr>
          <w:rFonts w:ascii="Arial" w:eastAsia="宋体" w:hAnsi="Arial" w:cs="Arial"/>
          <w:color w:val="000000"/>
          <w:kern w:val="0"/>
          <w:sz w:val="17"/>
          <w:szCs w:val="17"/>
        </w:rPr>
        <w:t>   </w:t>
      </w:r>
      <w:r w:rsidRPr="00AC4931">
        <w:rPr>
          <w:rFonts w:ascii="Arial" w:eastAsia="宋体" w:hAnsi="Arial" w:cs="Arial"/>
          <w:color w:val="000000"/>
          <w:spacing w:val="-1"/>
          <w:kern w:val="0"/>
          <w:sz w:val="17"/>
          <w:szCs w:val="17"/>
        </w:rPr>
        <w:t>N</w:t>
      </w:r>
      <w:r w:rsidRPr="00AC4931">
        <w:rPr>
          <w:rFonts w:ascii="Arial" w:eastAsia="宋体" w:hAnsi="Arial" w:cs="Arial"/>
          <w:color w:val="000000"/>
          <w:kern w:val="0"/>
          <w:sz w:val="17"/>
          <w:szCs w:val="17"/>
        </w:rPr>
        <w:t>o  </w:t>
      </w:r>
      <w:r w:rsidRPr="00AC4931">
        <w:rPr>
          <w:rFonts w:ascii="Segoe UI Symbol" w:eastAsia="宋体" w:hAnsi="Segoe UI Symbol" w:cs="Arial"/>
          <w:color w:val="000000"/>
          <w:kern w:val="0"/>
          <w:sz w:val="17"/>
          <w:szCs w:val="17"/>
        </w:rPr>
        <w:t>☐</w:t>
      </w:r>
    </w:p>
    <w:p w14:paraId="48EEC726"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0B5AC9FC" w14:textId="77777777" w:rsidR="00AC4931" w:rsidRPr="00AC4931" w:rsidRDefault="00AC4931" w:rsidP="00AC4931">
      <w:pPr>
        <w:widowControl/>
        <w:rPr>
          <w:rFonts w:ascii="Arial" w:eastAsia="宋体" w:hAnsi="Arial" w:cs="Arial" w:hint="eastAsia"/>
          <w:color w:val="000000"/>
          <w:kern w:val="0"/>
          <w:sz w:val="17"/>
          <w:szCs w:val="17"/>
        </w:rPr>
      </w:pPr>
      <w:r w:rsidRPr="00AC4931">
        <w:rPr>
          <w:rFonts w:ascii="Arial" w:eastAsia="宋体" w:hAnsi="Arial" w:cs="Arial"/>
          <w:color w:val="000000"/>
          <w:kern w:val="0"/>
          <w:sz w:val="17"/>
          <w:szCs w:val="17"/>
        </w:rPr>
        <w:lastRenderedPageBreak/>
        <w:t>Ind</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ca</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e</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by</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check</w:t>
      </w:r>
      <w:r w:rsidRPr="00AC4931">
        <w:rPr>
          <w:rFonts w:ascii="Arial" w:eastAsia="宋体" w:hAnsi="Arial" w:cs="Arial"/>
          <w:color w:val="000000"/>
          <w:spacing w:val="10"/>
          <w:kern w:val="0"/>
          <w:sz w:val="17"/>
          <w:szCs w:val="17"/>
        </w:rPr>
        <w:t> </w:t>
      </w:r>
      <w:r w:rsidRPr="00AC4931">
        <w:rPr>
          <w:rFonts w:ascii="Arial" w:eastAsia="宋体" w:hAnsi="Arial" w:cs="Arial"/>
          <w:color w:val="000000"/>
          <w:kern w:val="0"/>
          <w:sz w:val="17"/>
          <w:szCs w:val="17"/>
        </w:rPr>
        <w:t>mark</w:t>
      </w:r>
      <w:r w:rsidRPr="00AC4931">
        <w:rPr>
          <w:rFonts w:ascii="Arial" w:eastAsia="宋体" w:hAnsi="Arial" w:cs="Arial"/>
          <w:color w:val="000000"/>
          <w:spacing w:val="8"/>
          <w:kern w:val="0"/>
          <w:sz w:val="17"/>
          <w:szCs w:val="17"/>
        </w:rPr>
        <w:t> </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f</w:t>
      </w:r>
      <w:r w:rsidRPr="00AC4931">
        <w:rPr>
          <w:rFonts w:ascii="Arial" w:eastAsia="宋体" w:hAnsi="Arial" w:cs="Arial"/>
          <w:color w:val="000000"/>
          <w:spacing w:val="3"/>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registrant</w:t>
      </w:r>
      <w:r w:rsidRPr="00AC4931">
        <w:rPr>
          <w:rFonts w:ascii="Arial" w:eastAsia="宋体" w:hAnsi="Arial" w:cs="Arial"/>
          <w:color w:val="000000"/>
          <w:spacing w:val="15"/>
          <w:kern w:val="0"/>
          <w:sz w:val="17"/>
          <w:szCs w:val="17"/>
        </w:rPr>
        <w:t> </w:t>
      </w:r>
      <w:r w:rsidRPr="00AC4931">
        <w:rPr>
          <w:rFonts w:ascii="Arial" w:eastAsia="宋体" w:hAnsi="Arial" w:cs="Arial"/>
          <w:color w:val="000000"/>
          <w:kern w:val="0"/>
          <w:sz w:val="17"/>
          <w:szCs w:val="17"/>
        </w:rPr>
        <w:t>is</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not</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required</w:t>
      </w:r>
      <w:r w:rsidRPr="00AC4931">
        <w:rPr>
          <w:rFonts w:ascii="Arial" w:eastAsia="宋体" w:hAnsi="Arial" w:cs="Arial"/>
          <w:color w:val="000000"/>
          <w:spacing w:val="13"/>
          <w:kern w:val="0"/>
          <w:sz w:val="17"/>
          <w:szCs w:val="17"/>
        </w:rPr>
        <w:t> </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o</w:t>
      </w:r>
      <w:r w:rsidRPr="00AC4931">
        <w:rPr>
          <w:rFonts w:ascii="Arial" w:eastAsia="宋体" w:hAnsi="Arial" w:cs="Arial"/>
          <w:color w:val="000000"/>
          <w:spacing w:val="2"/>
          <w:kern w:val="0"/>
          <w:sz w:val="17"/>
          <w:szCs w:val="17"/>
        </w:rPr>
        <w:t> </w:t>
      </w:r>
      <w:r w:rsidRPr="00AC4931">
        <w:rPr>
          <w:rFonts w:ascii="Arial" w:eastAsia="宋体" w:hAnsi="Arial" w:cs="Arial"/>
          <w:color w:val="000000"/>
          <w:kern w:val="0"/>
          <w:sz w:val="17"/>
          <w:szCs w:val="17"/>
        </w:rPr>
        <w:t>f</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le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repor</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s</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pursuant</w:t>
      </w:r>
      <w:r w:rsidRPr="00AC4931">
        <w:rPr>
          <w:rFonts w:ascii="Arial" w:eastAsia="宋体" w:hAnsi="Arial" w:cs="Arial"/>
          <w:color w:val="000000"/>
          <w:spacing w:val="14"/>
          <w:kern w:val="0"/>
          <w:sz w:val="17"/>
          <w:szCs w:val="17"/>
        </w:rPr>
        <w:t> </w:t>
      </w:r>
      <w:r w:rsidRPr="00AC4931">
        <w:rPr>
          <w:rFonts w:ascii="Arial" w:eastAsia="宋体" w:hAnsi="Arial" w:cs="Arial"/>
          <w:color w:val="000000"/>
          <w:kern w:val="0"/>
          <w:sz w:val="17"/>
          <w:szCs w:val="17"/>
        </w:rPr>
        <w:t>to</w:t>
      </w:r>
      <w:r w:rsidRPr="00AC4931">
        <w:rPr>
          <w:rFonts w:ascii="Arial" w:eastAsia="宋体" w:hAnsi="Arial" w:cs="Arial"/>
          <w:color w:val="000000"/>
          <w:spacing w:val="4"/>
          <w:kern w:val="0"/>
          <w:sz w:val="17"/>
          <w:szCs w:val="17"/>
        </w:rPr>
        <w:t> </w:t>
      </w:r>
      <w:r w:rsidRPr="00AC4931">
        <w:rPr>
          <w:rFonts w:ascii="Arial" w:eastAsia="宋体" w:hAnsi="Arial" w:cs="Arial"/>
          <w:color w:val="000000"/>
          <w:spacing w:val="-1"/>
          <w:kern w:val="0"/>
          <w:sz w:val="17"/>
          <w:szCs w:val="17"/>
        </w:rPr>
        <w:t>S</w:t>
      </w:r>
      <w:r w:rsidRPr="00AC4931">
        <w:rPr>
          <w:rFonts w:ascii="Arial" w:eastAsia="宋体" w:hAnsi="Arial" w:cs="Arial"/>
          <w:color w:val="000000"/>
          <w:kern w:val="0"/>
          <w:sz w:val="17"/>
          <w:szCs w:val="17"/>
        </w:rPr>
        <w:t>ection</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13</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or</w:t>
      </w:r>
      <w:r w:rsidRPr="00AC4931">
        <w:rPr>
          <w:rFonts w:ascii="Arial" w:eastAsia="宋体" w:hAnsi="Arial" w:cs="Arial"/>
          <w:color w:val="000000"/>
          <w:spacing w:val="3"/>
          <w:kern w:val="0"/>
          <w:sz w:val="17"/>
          <w:szCs w:val="17"/>
        </w:rPr>
        <w:t> </w:t>
      </w:r>
      <w:r w:rsidRPr="00AC4931">
        <w:rPr>
          <w:rFonts w:ascii="Arial" w:eastAsia="宋体" w:hAnsi="Arial" w:cs="Arial"/>
          <w:color w:val="000000"/>
          <w:kern w:val="0"/>
          <w:sz w:val="17"/>
          <w:szCs w:val="17"/>
        </w:rPr>
        <w:t>Sect</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on</w:t>
      </w:r>
      <w:r w:rsidRPr="00AC4931">
        <w:rPr>
          <w:rFonts w:ascii="Arial" w:eastAsia="宋体" w:hAnsi="Arial" w:cs="Arial"/>
          <w:color w:val="000000"/>
          <w:spacing w:val="13"/>
          <w:kern w:val="0"/>
          <w:sz w:val="17"/>
          <w:szCs w:val="17"/>
        </w:rPr>
        <w:t> </w:t>
      </w:r>
      <w:r w:rsidRPr="00AC4931">
        <w:rPr>
          <w:rFonts w:ascii="Arial" w:eastAsia="宋体" w:hAnsi="Arial" w:cs="Arial"/>
          <w:color w:val="000000"/>
          <w:kern w:val="0"/>
          <w:sz w:val="17"/>
          <w:szCs w:val="17"/>
        </w:rPr>
        <w:t>15(d)</w:t>
      </w:r>
      <w:r w:rsidRPr="00AC4931">
        <w:rPr>
          <w:rFonts w:ascii="Arial" w:eastAsia="宋体" w:hAnsi="Arial" w:cs="Arial"/>
          <w:color w:val="000000"/>
          <w:spacing w:val="9"/>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3"/>
          <w:kern w:val="0"/>
          <w:sz w:val="17"/>
          <w:szCs w:val="17"/>
        </w:rPr>
        <w:t> </w:t>
      </w:r>
      <w:r w:rsidRPr="00AC4931">
        <w:rPr>
          <w:rFonts w:ascii="Arial" w:eastAsia="宋体" w:hAnsi="Arial" w:cs="Arial"/>
          <w:color w:val="000000"/>
          <w:spacing w:val="1"/>
          <w:kern w:val="0"/>
          <w:sz w:val="17"/>
          <w:szCs w:val="17"/>
        </w:rPr>
        <w:t>t</w:t>
      </w:r>
      <w:r w:rsidRPr="00AC4931">
        <w:rPr>
          <w:rFonts w:ascii="Arial" w:eastAsia="宋体" w:hAnsi="Arial" w:cs="Arial"/>
          <w:color w:val="000000"/>
          <w:spacing w:val="-1"/>
          <w:kern w:val="0"/>
          <w:sz w:val="17"/>
          <w:szCs w:val="17"/>
        </w:rPr>
        <w:t>h</w:t>
      </w:r>
      <w:r w:rsidRPr="00AC4931">
        <w:rPr>
          <w:rFonts w:ascii="Arial" w:eastAsia="宋体" w:hAnsi="Arial" w:cs="Arial"/>
          <w:color w:val="000000"/>
          <w:kern w:val="0"/>
          <w:sz w:val="17"/>
          <w:szCs w:val="17"/>
        </w:rPr>
        <w:t>e Ac</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    Yes  </w:t>
      </w:r>
      <w:r w:rsidRPr="00AC4931">
        <w:rPr>
          <w:rFonts w:ascii="Segoe UI Symbol" w:eastAsia="宋体" w:hAnsi="Segoe UI Symbol" w:cs="Arial"/>
          <w:color w:val="000000"/>
          <w:kern w:val="0"/>
          <w:sz w:val="17"/>
          <w:szCs w:val="17"/>
        </w:rPr>
        <w:t>☐</w:t>
      </w:r>
      <w:r w:rsidRPr="00AC4931">
        <w:rPr>
          <w:rFonts w:ascii="Arial" w:eastAsia="宋体" w:hAnsi="Arial" w:cs="Arial"/>
          <w:color w:val="000000"/>
          <w:kern w:val="0"/>
          <w:sz w:val="17"/>
          <w:szCs w:val="17"/>
        </w:rPr>
        <w:t>   </w:t>
      </w:r>
      <w:r w:rsidRPr="00AC4931">
        <w:rPr>
          <w:rFonts w:ascii="Arial" w:eastAsia="宋体" w:hAnsi="Arial" w:cs="Arial"/>
          <w:color w:val="000000"/>
          <w:spacing w:val="-1"/>
          <w:kern w:val="0"/>
          <w:sz w:val="17"/>
          <w:szCs w:val="17"/>
        </w:rPr>
        <w:t>N</w:t>
      </w:r>
      <w:r w:rsidRPr="00AC4931">
        <w:rPr>
          <w:rFonts w:ascii="Arial" w:eastAsia="宋体" w:hAnsi="Arial" w:cs="Arial"/>
          <w:color w:val="000000"/>
          <w:kern w:val="0"/>
          <w:sz w:val="17"/>
          <w:szCs w:val="17"/>
        </w:rPr>
        <w:t>o  </w:t>
      </w:r>
      <w:r w:rsidRPr="00AC4931">
        <w:rPr>
          <w:rFonts w:ascii="Segoe UI Symbol" w:eastAsia="宋体" w:hAnsi="Segoe UI Symbol" w:cs="Arial"/>
          <w:color w:val="000000"/>
          <w:kern w:val="0"/>
          <w:sz w:val="17"/>
          <w:szCs w:val="17"/>
        </w:rPr>
        <w:t>☒</w:t>
      </w:r>
    </w:p>
    <w:p w14:paraId="35037F78"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623DFDE7" w14:textId="77777777" w:rsidR="00AC4931" w:rsidRPr="00AC4931" w:rsidRDefault="00AC4931" w:rsidP="00AC4931">
      <w:pPr>
        <w:widowControl/>
        <w:rPr>
          <w:rFonts w:ascii="Arial" w:eastAsia="宋体" w:hAnsi="Arial" w:cs="Arial" w:hint="eastAsia"/>
          <w:color w:val="000000"/>
          <w:kern w:val="0"/>
          <w:sz w:val="17"/>
          <w:szCs w:val="17"/>
        </w:rPr>
      </w:pPr>
      <w:r w:rsidRPr="00AC4931">
        <w:rPr>
          <w:rFonts w:ascii="Arial" w:eastAsia="宋体" w:hAnsi="Arial" w:cs="Arial"/>
          <w:color w:val="000000"/>
          <w:kern w:val="0"/>
          <w:sz w:val="17"/>
          <w:szCs w:val="17"/>
        </w:rPr>
        <w:t>Ind</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ca</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e</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by</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check</w:t>
      </w:r>
      <w:r w:rsidRPr="00AC4931">
        <w:rPr>
          <w:rFonts w:ascii="Arial" w:eastAsia="宋体" w:hAnsi="Arial" w:cs="Arial"/>
          <w:color w:val="000000"/>
          <w:spacing w:val="10"/>
          <w:kern w:val="0"/>
          <w:sz w:val="17"/>
          <w:szCs w:val="17"/>
        </w:rPr>
        <w:t> </w:t>
      </w:r>
      <w:r w:rsidRPr="00AC4931">
        <w:rPr>
          <w:rFonts w:ascii="Arial" w:eastAsia="宋体" w:hAnsi="Arial" w:cs="Arial"/>
          <w:color w:val="000000"/>
          <w:kern w:val="0"/>
          <w:sz w:val="17"/>
          <w:szCs w:val="17"/>
        </w:rPr>
        <w:t>mark</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whether</w:t>
      </w:r>
      <w:r w:rsidRPr="00AC4931">
        <w:rPr>
          <w:rFonts w:ascii="Arial" w:eastAsia="宋体" w:hAnsi="Arial" w:cs="Arial"/>
          <w:color w:val="000000"/>
          <w:spacing w:val="13"/>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registrant</w:t>
      </w:r>
      <w:r w:rsidRPr="00AC4931">
        <w:rPr>
          <w:rFonts w:ascii="Arial" w:eastAsia="宋体" w:hAnsi="Arial" w:cs="Arial"/>
          <w:color w:val="000000"/>
          <w:spacing w:val="15"/>
          <w:kern w:val="0"/>
          <w:sz w:val="17"/>
          <w:szCs w:val="17"/>
        </w:rPr>
        <w:t> </w:t>
      </w:r>
      <w:r w:rsidRPr="00AC4931">
        <w:rPr>
          <w:rFonts w:ascii="Arial" w:eastAsia="宋体" w:hAnsi="Arial" w:cs="Arial"/>
          <w:color w:val="000000"/>
          <w:kern w:val="0"/>
          <w:sz w:val="17"/>
          <w:szCs w:val="17"/>
        </w:rPr>
        <w:t>(1)</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has</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f</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led</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all</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r</w:t>
      </w:r>
      <w:r w:rsidRPr="00AC4931">
        <w:rPr>
          <w:rFonts w:ascii="Arial" w:eastAsia="宋体" w:hAnsi="Arial" w:cs="Arial"/>
          <w:color w:val="000000"/>
          <w:spacing w:val="-3"/>
          <w:kern w:val="0"/>
          <w:sz w:val="17"/>
          <w:szCs w:val="17"/>
        </w:rPr>
        <w:t>e</w:t>
      </w:r>
      <w:r w:rsidRPr="00AC4931">
        <w:rPr>
          <w:rFonts w:ascii="Arial" w:eastAsia="宋体" w:hAnsi="Arial" w:cs="Arial"/>
          <w:color w:val="000000"/>
          <w:kern w:val="0"/>
          <w:sz w:val="17"/>
          <w:szCs w:val="17"/>
        </w:rPr>
        <w:t>ports</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required</w:t>
      </w:r>
      <w:r w:rsidRPr="00AC4931">
        <w:rPr>
          <w:rFonts w:ascii="Arial" w:eastAsia="宋体" w:hAnsi="Arial" w:cs="Arial"/>
          <w:color w:val="000000"/>
          <w:spacing w:val="14"/>
          <w:kern w:val="0"/>
          <w:sz w:val="17"/>
          <w:szCs w:val="17"/>
        </w:rPr>
        <w:t> </w:t>
      </w:r>
      <w:r w:rsidRPr="00AC4931">
        <w:rPr>
          <w:rFonts w:ascii="Arial" w:eastAsia="宋体" w:hAnsi="Arial" w:cs="Arial"/>
          <w:color w:val="000000"/>
          <w:kern w:val="0"/>
          <w:sz w:val="17"/>
          <w:szCs w:val="17"/>
        </w:rPr>
        <w:t>to</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be</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filed</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by</w:t>
      </w:r>
      <w:r w:rsidRPr="00AC4931">
        <w:rPr>
          <w:rFonts w:ascii="Arial" w:eastAsia="宋体" w:hAnsi="Arial" w:cs="Arial"/>
          <w:color w:val="000000"/>
          <w:spacing w:val="2"/>
          <w:kern w:val="0"/>
          <w:sz w:val="17"/>
          <w:szCs w:val="17"/>
        </w:rPr>
        <w:t> </w:t>
      </w:r>
      <w:r w:rsidRPr="00AC4931">
        <w:rPr>
          <w:rFonts w:ascii="Arial" w:eastAsia="宋体" w:hAnsi="Arial" w:cs="Arial"/>
          <w:color w:val="000000"/>
          <w:kern w:val="0"/>
          <w:sz w:val="17"/>
          <w:szCs w:val="17"/>
        </w:rPr>
        <w:t>Sect</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on</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13</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or</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15(d)</w:t>
      </w:r>
      <w:r w:rsidRPr="00AC4931">
        <w:rPr>
          <w:rFonts w:ascii="Arial" w:eastAsia="宋体" w:hAnsi="Arial" w:cs="Arial"/>
          <w:color w:val="000000"/>
          <w:spacing w:val="9"/>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3"/>
          <w:kern w:val="0"/>
          <w:sz w:val="17"/>
          <w:szCs w:val="17"/>
        </w:rPr>
        <w:t> </w:t>
      </w:r>
      <w:r w:rsidRPr="00AC4931">
        <w:rPr>
          <w:rFonts w:ascii="Arial" w:eastAsia="宋体" w:hAnsi="Arial" w:cs="Arial"/>
          <w:color w:val="000000"/>
          <w:spacing w:val="1"/>
          <w:kern w:val="0"/>
          <w:sz w:val="17"/>
          <w:szCs w:val="17"/>
        </w:rPr>
        <w:t>t</w:t>
      </w:r>
      <w:r w:rsidRPr="00AC4931">
        <w:rPr>
          <w:rFonts w:ascii="Arial" w:eastAsia="宋体" w:hAnsi="Arial" w:cs="Arial"/>
          <w:color w:val="000000"/>
          <w:spacing w:val="-1"/>
          <w:kern w:val="0"/>
          <w:sz w:val="17"/>
          <w:szCs w:val="17"/>
        </w:rPr>
        <w:t>h</w:t>
      </w:r>
      <w:r w:rsidRPr="00AC4931">
        <w:rPr>
          <w:rFonts w:ascii="Arial" w:eastAsia="宋体" w:hAnsi="Arial" w:cs="Arial"/>
          <w:color w:val="000000"/>
          <w:kern w:val="0"/>
          <w:sz w:val="17"/>
          <w:szCs w:val="17"/>
        </w:rPr>
        <w:t>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Sec</w:t>
      </w:r>
      <w:r w:rsidRPr="00AC4931">
        <w:rPr>
          <w:rFonts w:ascii="Arial" w:eastAsia="宋体" w:hAnsi="Arial" w:cs="Arial"/>
          <w:color w:val="000000"/>
          <w:spacing w:val="-2"/>
          <w:kern w:val="0"/>
          <w:sz w:val="17"/>
          <w:szCs w:val="17"/>
        </w:rPr>
        <w:t>u</w:t>
      </w:r>
      <w:r w:rsidRPr="00AC4931">
        <w:rPr>
          <w:rFonts w:ascii="Arial" w:eastAsia="宋体" w:hAnsi="Arial" w:cs="Arial"/>
          <w:color w:val="000000"/>
          <w:kern w:val="0"/>
          <w:sz w:val="17"/>
          <w:szCs w:val="17"/>
        </w:rPr>
        <w:t>rities Exchange</w:t>
      </w:r>
      <w:r w:rsidRPr="00AC4931">
        <w:rPr>
          <w:rFonts w:ascii="Arial" w:eastAsia="宋体" w:hAnsi="Arial" w:cs="Arial"/>
          <w:color w:val="000000"/>
          <w:spacing w:val="16"/>
          <w:kern w:val="0"/>
          <w:sz w:val="17"/>
          <w:szCs w:val="17"/>
        </w:rPr>
        <w:t> </w:t>
      </w:r>
      <w:r w:rsidRPr="00AC4931">
        <w:rPr>
          <w:rFonts w:ascii="Arial" w:eastAsia="宋体" w:hAnsi="Arial" w:cs="Arial"/>
          <w:color w:val="000000"/>
          <w:kern w:val="0"/>
          <w:sz w:val="17"/>
          <w:szCs w:val="17"/>
        </w:rPr>
        <w:t>Act</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1934</w:t>
      </w:r>
      <w:r w:rsidRPr="00AC4931">
        <w:rPr>
          <w:rFonts w:ascii="Arial" w:eastAsia="宋体" w:hAnsi="Arial" w:cs="Arial"/>
          <w:color w:val="000000"/>
          <w:spacing w:val="9"/>
          <w:kern w:val="0"/>
          <w:sz w:val="17"/>
          <w:szCs w:val="17"/>
        </w:rPr>
        <w:t> </w:t>
      </w:r>
      <w:r w:rsidRPr="00AC4931">
        <w:rPr>
          <w:rFonts w:ascii="Arial" w:eastAsia="宋体" w:hAnsi="Arial" w:cs="Arial"/>
          <w:color w:val="000000"/>
          <w:kern w:val="0"/>
          <w:sz w:val="17"/>
          <w:szCs w:val="17"/>
        </w:rPr>
        <w:t>during</w:t>
      </w:r>
      <w:r w:rsidRPr="00AC4931">
        <w:rPr>
          <w:rFonts w:ascii="Arial" w:eastAsia="宋体" w:hAnsi="Arial" w:cs="Arial"/>
          <w:color w:val="000000"/>
          <w:spacing w:val="11"/>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preceding</w:t>
      </w:r>
      <w:r w:rsidRPr="00AC4931">
        <w:rPr>
          <w:rFonts w:ascii="Arial" w:eastAsia="宋体" w:hAnsi="Arial" w:cs="Arial"/>
          <w:color w:val="000000"/>
          <w:spacing w:val="16"/>
          <w:kern w:val="0"/>
          <w:sz w:val="17"/>
          <w:szCs w:val="17"/>
        </w:rPr>
        <w:t> </w:t>
      </w:r>
      <w:r w:rsidRPr="00AC4931">
        <w:rPr>
          <w:rFonts w:ascii="Arial" w:eastAsia="宋体" w:hAnsi="Arial" w:cs="Arial"/>
          <w:color w:val="000000"/>
          <w:kern w:val="0"/>
          <w:sz w:val="17"/>
          <w:szCs w:val="17"/>
        </w:rPr>
        <w:t>12</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months</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(or</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for</w:t>
      </w:r>
      <w:r w:rsidRPr="00AC4931">
        <w:rPr>
          <w:rFonts w:ascii="Arial" w:eastAsia="宋体" w:hAnsi="Arial" w:cs="Arial"/>
          <w:color w:val="000000"/>
          <w:spacing w:val="5"/>
          <w:kern w:val="0"/>
          <w:sz w:val="17"/>
          <w:szCs w:val="17"/>
        </w:rPr>
        <w:t> </w:t>
      </w:r>
      <w:r w:rsidRPr="00AC4931">
        <w:rPr>
          <w:rFonts w:ascii="Arial" w:eastAsia="宋体" w:hAnsi="Arial" w:cs="Arial"/>
          <w:color w:val="000000"/>
          <w:spacing w:val="-1"/>
          <w:kern w:val="0"/>
          <w:sz w:val="17"/>
          <w:szCs w:val="17"/>
        </w:rPr>
        <w:t>s</w:t>
      </w:r>
      <w:r w:rsidRPr="00AC4931">
        <w:rPr>
          <w:rFonts w:ascii="Arial" w:eastAsia="宋体" w:hAnsi="Arial" w:cs="Arial"/>
          <w:color w:val="000000"/>
          <w:kern w:val="0"/>
          <w:sz w:val="17"/>
          <w:szCs w:val="17"/>
        </w:rPr>
        <w:t>uch</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shorter</w:t>
      </w:r>
      <w:r w:rsidRPr="00AC4931">
        <w:rPr>
          <w:rFonts w:ascii="Arial" w:eastAsia="宋体" w:hAnsi="Arial" w:cs="Arial"/>
          <w:color w:val="000000"/>
          <w:spacing w:val="11"/>
          <w:kern w:val="0"/>
          <w:sz w:val="17"/>
          <w:szCs w:val="17"/>
        </w:rPr>
        <w:t> </w:t>
      </w:r>
      <w:r w:rsidRPr="00AC4931">
        <w:rPr>
          <w:rFonts w:ascii="Arial" w:eastAsia="宋体" w:hAnsi="Arial" w:cs="Arial"/>
          <w:color w:val="000000"/>
          <w:kern w:val="0"/>
          <w:sz w:val="17"/>
          <w:szCs w:val="17"/>
        </w:rPr>
        <w:t>period</w:t>
      </w:r>
      <w:r w:rsidRPr="00AC4931">
        <w:rPr>
          <w:rFonts w:ascii="Arial" w:eastAsia="宋体" w:hAnsi="Arial" w:cs="Arial"/>
          <w:color w:val="000000"/>
          <w:spacing w:val="11"/>
          <w:kern w:val="0"/>
          <w:sz w:val="17"/>
          <w:szCs w:val="17"/>
        </w:rPr>
        <w:t> </w:t>
      </w:r>
      <w:r w:rsidRPr="00AC4931">
        <w:rPr>
          <w:rFonts w:ascii="Arial" w:eastAsia="宋体" w:hAnsi="Arial" w:cs="Arial"/>
          <w:color w:val="000000"/>
          <w:kern w:val="0"/>
          <w:sz w:val="17"/>
          <w:szCs w:val="17"/>
        </w:rPr>
        <w:t>that</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registrant</w:t>
      </w:r>
      <w:r w:rsidRPr="00AC4931">
        <w:rPr>
          <w:rFonts w:ascii="Arial" w:eastAsia="宋体" w:hAnsi="Arial" w:cs="Arial"/>
          <w:color w:val="000000"/>
          <w:spacing w:val="15"/>
          <w:kern w:val="0"/>
          <w:sz w:val="17"/>
          <w:szCs w:val="17"/>
        </w:rPr>
        <w:t> </w:t>
      </w:r>
      <w:r w:rsidRPr="00AC4931">
        <w:rPr>
          <w:rFonts w:ascii="Arial" w:eastAsia="宋体" w:hAnsi="Arial" w:cs="Arial"/>
          <w:color w:val="000000"/>
          <w:kern w:val="0"/>
          <w:sz w:val="17"/>
          <w:szCs w:val="17"/>
        </w:rPr>
        <w:t>was</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requir</w:t>
      </w:r>
      <w:r w:rsidRPr="00AC4931">
        <w:rPr>
          <w:rFonts w:ascii="Arial" w:eastAsia="宋体" w:hAnsi="Arial" w:cs="Arial"/>
          <w:color w:val="000000"/>
          <w:spacing w:val="-1"/>
          <w:kern w:val="0"/>
          <w:sz w:val="17"/>
          <w:szCs w:val="17"/>
        </w:rPr>
        <w:t>e</w:t>
      </w:r>
      <w:r w:rsidRPr="00AC4931">
        <w:rPr>
          <w:rFonts w:ascii="Arial" w:eastAsia="宋体" w:hAnsi="Arial" w:cs="Arial"/>
          <w:color w:val="000000"/>
          <w:kern w:val="0"/>
          <w:sz w:val="17"/>
          <w:szCs w:val="17"/>
        </w:rPr>
        <w:t>d</w:t>
      </w:r>
      <w:r w:rsidRPr="00AC4931">
        <w:rPr>
          <w:rFonts w:ascii="Arial" w:eastAsia="宋体" w:hAnsi="Arial" w:cs="Arial"/>
          <w:color w:val="000000"/>
          <w:spacing w:val="14"/>
          <w:kern w:val="0"/>
          <w:sz w:val="17"/>
          <w:szCs w:val="17"/>
        </w:rPr>
        <w:t> </w:t>
      </w:r>
      <w:r w:rsidRPr="00AC4931">
        <w:rPr>
          <w:rFonts w:ascii="Arial" w:eastAsia="宋体" w:hAnsi="Arial" w:cs="Arial"/>
          <w:color w:val="000000"/>
          <w:kern w:val="0"/>
          <w:sz w:val="17"/>
          <w:szCs w:val="17"/>
        </w:rPr>
        <w:t>to</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file</w:t>
      </w:r>
      <w:r w:rsidRPr="00AC4931">
        <w:rPr>
          <w:rFonts w:ascii="Arial" w:eastAsia="宋体" w:hAnsi="Arial" w:cs="Arial"/>
          <w:color w:val="000000"/>
          <w:spacing w:val="6"/>
          <w:kern w:val="0"/>
          <w:sz w:val="17"/>
          <w:szCs w:val="17"/>
        </w:rPr>
        <w:t> </w:t>
      </w:r>
      <w:r w:rsidRPr="00AC4931">
        <w:rPr>
          <w:rFonts w:ascii="Arial" w:eastAsia="宋体" w:hAnsi="Arial" w:cs="Arial"/>
          <w:color w:val="000000"/>
          <w:spacing w:val="-1"/>
          <w:kern w:val="0"/>
          <w:sz w:val="17"/>
          <w:szCs w:val="17"/>
        </w:rPr>
        <w:t>s</w:t>
      </w:r>
      <w:r w:rsidRPr="00AC4931">
        <w:rPr>
          <w:rFonts w:ascii="Arial" w:eastAsia="宋体" w:hAnsi="Arial" w:cs="Arial"/>
          <w:color w:val="000000"/>
          <w:kern w:val="0"/>
          <w:sz w:val="17"/>
          <w:szCs w:val="17"/>
        </w:rPr>
        <w:t>uch</w:t>
      </w:r>
      <w:r w:rsidRPr="00AC4931">
        <w:rPr>
          <w:rFonts w:ascii="Arial" w:eastAsia="宋体" w:hAnsi="Arial" w:cs="Arial"/>
          <w:color w:val="000000"/>
          <w:spacing w:val="8"/>
          <w:kern w:val="0"/>
          <w:sz w:val="17"/>
          <w:szCs w:val="17"/>
        </w:rPr>
        <w:t> </w:t>
      </w:r>
      <w:r w:rsidRPr="00AC4931">
        <w:rPr>
          <w:rFonts w:ascii="Arial" w:eastAsia="宋体" w:hAnsi="Arial" w:cs="Arial"/>
          <w:color w:val="000000"/>
          <w:spacing w:val="-7"/>
          <w:kern w:val="0"/>
          <w:sz w:val="17"/>
          <w:szCs w:val="17"/>
        </w:rPr>
        <w:t>r</w:t>
      </w:r>
      <w:r w:rsidRPr="00AC4931">
        <w:rPr>
          <w:rFonts w:ascii="Arial" w:eastAsia="宋体" w:hAnsi="Arial" w:cs="Arial"/>
          <w:color w:val="000000"/>
          <w:kern w:val="0"/>
          <w:sz w:val="17"/>
          <w:szCs w:val="17"/>
        </w:rPr>
        <w:t>eports); and</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(2)</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has</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been</w:t>
      </w:r>
      <w:r w:rsidRPr="00AC4931">
        <w:rPr>
          <w:rFonts w:ascii="Arial" w:eastAsia="宋体" w:hAnsi="Arial" w:cs="Arial"/>
          <w:color w:val="000000"/>
          <w:spacing w:val="8"/>
          <w:kern w:val="0"/>
          <w:sz w:val="17"/>
          <w:szCs w:val="17"/>
        </w:rPr>
        <w:t> </w:t>
      </w:r>
      <w:r w:rsidRPr="00AC4931">
        <w:rPr>
          <w:rFonts w:ascii="Arial" w:eastAsia="宋体" w:hAnsi="Arial" w:cs="Arial"/>
          <w:color w:val="000000"/>
          <w:spacing w:val="-1"/>
          <w:kern w:val="0"/>
          <w:sz w:val="17"/>
          <w:szCs w:val="17"/>
        </w:rPr>
        <w:t>s</w:t>
      </w:r>
      <w:r w:rsidRPr="00AC4931">
        <w:rPr>
          <w:rFonts w:ascii="Arial" w:eastAsia="宋体" w:hAnsi="Arial" w:cs="Arial"/>
          <w:color w:val="000000"/>
          <w:kern w:val="0"/>
          <w:sz w:val="17"/>
          <w:szCs w:val="17"/>
        </w:rPr>
        <w:t>ubject</w:t>
      </w:r>
      <w:r w:rsidRPr="00AC4931">
        <w:rPr>
          <w:rFonts w:ascii="Arial" w:eastAsia="宋体" w:hAnsi="Arial" w:cs="Arial"/>
          <w:color w:val="000000"/>
          <w:spacing w:val="11"/>
          <w:kern w:val="0"/>
          <w:sz w:val="17"/>
          <w:szCs w:val="17"/>
        </w:rPr>
        <w:t> </w:t>
      </w:r>
      <w:r w:rsidRPr="00AC4931">
        <w:rPr>
          <w:rFonts w:ascii="Arial" w:eastAsia="宋体" w:hAnsi="Arial" w:cs="Arial"/>
          <w:color w:val="000000"/>
          <w:kern w:val="0"/>
          <w:sz w:val="17"/>
          <w:szCs w:val="17"/>
        </w:rPr>
        <w:t>to</w:t>
      </w:r>
      <w:r w:rsidRPr="00AC4931">
        <w:rPr>
          <w:rFonts w:ascii="Arial" w:eastAsia="宋体" w:hAnsi="Arial" w:cs="Arial"/>
          <w:color w:val="000000"/>
          <w:spacing w:val="4"/>
          <w:kern w:val="0"/>
          <w:sz w:val="17"/>
          <w:szCs w:val="17"/>
        </w:rPr>
        <w:t> </w:t>
      </w:r>
      <w:r w:rsidRPr="00AC4931">
        <w:rPr>
          <w:rFonts w:ascii="Arial" w:eastAsia="宋体" w:hAnsi="Arial" w:cs="Arial"/>
          <w:color w:val="000000"/>
          <w:spacing w:val="-1"/>
          <w:kern w:val="0"/>
          <w:sz w:val="17"/>
          <w:szCs w:val="17"/>
        </w:rPr>
        <w:t>s</w:t>
      </w:r>
      <w:r w:rsidRPr="00AC4931">
        <w:rPr>
          <w:rFonts w:ascii="Arial" w:eastAsia="宋体" w:hAnsi="Arial" w:cs="Arial"/>
          <w:color w:val="000000"/>
          <w:kern w:val="0"/>
          <w:sz w:val="17"/>
          <w:szCs w:val="17"/>
        </w:rPr>
        <w:t>uch</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filing</w:t>
      </w:r>
      <w:r w:rsidRPr="00AC4931">
        <w:rPr>
          <w:rFonts w:ascii="Arial" w:eastAsia="宋体" w:hAnsi="Arial" w:cs="Arial"/>
          <w:color w:val="000000"/>
          <w:spacing w:val="9"/>
          <w:kern w:val="0"/>
          <w:sz w:val="17"/>
          <w:szCs w:val="17"/>
        </w:rPr>
        <w:t> </w:t>
      </w:r>
      <w:r w:rsidRPr="00AC4931">
        <w:rPr>
          <w:rFonts w:ascii="Arial" w:eastAsia="宋体" w:hAnsi="Arial" w:cs="Arial"/>
          <w:color w:val="000000"/>
          <w:kern w:val="0"/>
          <w:sz w:val="17"/>
          <w:szCs w:val="17"/>
        </w:rPr>
        <w:t>requirements</w:t>
      </w:r>
      <w:r w:rsidRPr="00AC4931">
        <w:rPr>
          <w:rFonts w:ascii="Arial" w:eastAsia="宋体" w:hAnsi="Arial" w:cs="Arial"/>
          <w:color w:val="000000"/>
          <w:spacing w:val="20"/>
          <w:kern w:val="0"/>
          <w:sz w:val="17"/>
          <w:szCs w:val="17"/>
        </w:rPr>
        <w:t> </w:t>
      </w:r>
      <w:r w:rsidRPr="00AC4931">
        <w:rPr>
          <w:rFonts w:ascii="Arial" w:eastAsia="宋体" w:hAnsi="Arial" w:cs="Arial"/>
          <w:color w:val="000000"/>
          <w:kern w:val="0"/>
          <w:sz w:val="17"/>
          <w:szCs w:val="17"/>
        </w:rPr>
        <w:t>for</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past</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90</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days.    Yes:  </w:t>
      </w:r>
      <w:r w:rsidRPr="00AC4931">
        <w:rPr>
          <w:rFonts w:ascii="Segoe UI Symbol" w:eastAsia="宋体" w:hAnsi="Segoe UI Symbol" w:cs="Arial"/>
          <w:color w:val="000000"/>
          <w:kern w:val="0"/>
          <w:sz w:val="17"/>
          <w:szCs w:val="17"/>
        </w:rPr>
        <w:t>☒</w:t>
      </w:r>
      <w:r w:rsidRPr="00AC4931">
        <w:rPr>
          <w:rFonts w:ascii="Arial" w:eastAsia="宋体" w:hAnsi="Arial" w:cs="Arial"/>
          <w:color w:val="000000"/>
          <w:kern w:val="0"/>
          <w:sz w:val="17"/>
          <w:szCs w:val="17"/>
        </w:rPr>
        <w:t>   </w:t>
      </w:r>
      <w:r w:rsidRPr="00AC4931">
        <w:rPr>
          <w:rFonts w:ascii="Arial" w:eastAsia="宋体" w:hAnsi="Arial" w:cs="Arial"/>
          <w:color w:val="000000"/>
          <w:spacing w:val="-1"/>
          <w:kern w:val="0"/>
          <w:sz w:val="17"/>
          <w:szCs w:val="17"/>
        </w:rPr>
        <w:t>N</w:t>
      </w:r>
      <w:r w:rsidRPr="00AC4931">
        <w:rPr>
          <w:rFonts w:ascii="Arial" w:eastAsia="宋体" w:hAnsi="Arial" w:cs="Arial"/>
          <w:color w:val="000000"/>
          <w:kern w:val="0"/>
          <w:sz w:val="17"/>
          <w:szCs w:val="17"/>
        </w:rPr>
        <w:t>o:   </w:t>
      </w:r>
      <w:r w:rsidRPr="00AC4931">
        <w:rPr>
          <w:rFonts w:ascii="Segoe UI Symbol" w:eastAsia="宋体" w:hAnsi="Segoe UI Symbol" w:cs="Arial"/>
          <w:color w:val="000000"/>
          <w:kern w:val="0"/>
          <w:sz w:val="17"/>
          <w:szCs w:val="17"/>
        </w:rPr>
        <w:t>☐</w:t>
      </w:r>
    </w:p>
    <w:p w14:paraId="7F42628D"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30CBC10C" w14:textId="77777777" w:rsidR="00AC4931" w:rsidRPr="00AC4931" w:rsidRDefault="00AC4931" w:rsidP="00AC4931">
      <w:pPr>
        <w:widowControl/>
        <w:rPr>
          <w:rFonts w:ascii="Arial" w:eastAsia="宋体" w:hAnsi="Arial" w:cs="Arial" w:hint="eastAsia"/>
          <w:color w:val="000000"/>
          <w:kern w:val="0"/>
          <w:sz w:val="17"/>
          <w:szCs w:val="17"/>
        </w:rPr>
      </w:pPr>
      <w:r w:rsidRPr="00AC4931">
        <w:rPr>
          <w:rFonts w:ascii="Arial" w:eastAsia="宋体" w:hAnsi="Arial" w:cs="Arial"/>
          <w:color w:val="000000"/>
          <w:kern w:val="0"/>
          <w:sz w:val="17"/>
          <w:szCs w:val="17"/>
        </w:rPr>
        <w:t>Ind</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ca</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e</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by</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check</w:t>
      </w:r>
      <w:r w:rsidRPr="00AC4931">
        <w:rPr>
          <w:rFonts w:ascii="Arial" w:eastAsia="宋体" w:hAnsi="Arial" w:cs="Arial"/>
          <w:color w:val="000000"/>
          <w:spacing w:val="10"/>
          <w:kern w:val="0"/>
          <w:sz w:val="17"/>
          <w:szCs w:val="17"/>
        </w:rPr>
        <w:t> </w:t>
      </w:r>
      <w:r w:rsidRPr="00AC4931">
        <w:rPr>
          <w:rFonts w:ascii="Arial" w:eastAsia="宋体" w:hAnsi="Arial" w:cs="Arial"/>
          <w:color w:val="000000"/>
          <w:kern w:val="0"/>
          <w:sz w:val="17"/>
          <w:szCs w:val="17"/>
        </w:rPr>
        <w:t>mark</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wheth</w:t>
      </w:r>
      <w:r w:rsidRPr="00AC4931">
        <w:rPr>
          <w:rFonts w:ascii="Arial" w:eastAsia="宋体" w:hAnsi="Arial" w:cs="Arial"/>
          <w:color w:val="000000"/>
          <w:spacing w:val="-1"/>
          <w:kern w:val="0"/>
          <w:sz w:val="17"/>
          <w:szCs w:val="17"/>
        </w:rPr>
        <w:t>e</w:t>
      </w:r>
      <w:r w:rsidRPr="00AC4931">
        <w:rPr>
          <w:rFonts w:ascii="Arial" w:eastAsia="宋体" w:hAnsi="Arial" w:cs="Arial"/>
          <w:color w:val="000000"/>
          <w:kern w:val="0"/>
          <w:sz w:val="17"/>
          <w:szCs w:val="17"/>
        </w:rPr>
        <w:t>r</w:t>
      </w:r>
      <w:r w:rsidRPr="00AC4931">
        <w:rPr>
          <w:rFonts w:ascii="Arial" w:eastAsia="宋体" w:hAnsi="Arial" w:cs="Arial"/>
          <w:color w:val="000000"/>
          <w:spacing w:val="14"/>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registrant</w:t>
      </w:r>
      <w:r w:rsidRPr="00AC4931">
        <w:rPr>
          <w:rFonts w:ascii="Arial" w:eastAsia="宋体" w:hAnsi="Arial" w:cs="Arial"/>
          <w:color w:val="000000"/>
          <w:spacing w:val="15"/>
          <w:kern w:val="0"/>
          <w:sz w:val="17"/>
          <w:szCs w:val="17"/>
        </w:rPr>
        <w:t> </w:t>
      </w:r>
      <w:r w:rsidRPr="00AC4931">
        <w:rPr>
          <w:rFonts w:ascii="Arial" w:eastAsia="宋体" w:hAnsi="Arial" w:cs="Arial"/>
          <w:color w:val="000000"/>
          <w:kern w:val="0"/>
          <w:sz w:val="17"/>
          <w:szCs w:val="17"/>
        </w:rPr>
        <w:t>has</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submi</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ted</w:t>
      </w:r>
      <w:r w:rsidRPr="00AC4931">
        <w:rPr>
          <w:rFonts w:ascii="Arial" w:eastAsia="宋体" w:hAnsi="Arial" w:cs="Arial"/>
          <w:color w:val="000000"/>
          <w:spacing w:val="13"/>
          <w:kern w:val="0"/>
          <w:sz w:val="17"/>
          <w:szCs w:val="17"/>
        </w:rPr>
        <w:t> </w:t>
      </w:r>
      <w:r w:rsidRPr="00AC4931">
        <w:rPr>
          <w:rFonts w:ascii="Arial" w:eastAsia="宋体" w:hAnsi="Arial" w:cs="Arial"/>
          <w:color w:val="000000"/>
          <w:kern w:val="0"/>
          <w:sz w:val="17"/>
          <w:szCs w:val="17"/>
        </w:rPr>
        <w:t>e</w:t>
      </w:r>
      <w:r w:rsidRPr="00AC4931">
        <w:rPr>
          <w:rFonts w:ascii="Arial" w:eastAsia="宋体" w:hAnsi="Arial" w:cs="Arial"/>
          <w:color w:val="000000"/>
          <w:spacing w:val="-2"/>
          <w:kern w:val="0"/>
          <w:sz w:val="17"/>
          <w:szCs w:val="17"/>
        </w:rPr>
        <w:t>l</w:t>
      </w:r>
      <w:r w:rsidRPr="00AC4931">
        <w:rPr>
          <w:rFonts w:ascii="Arial" w:eastAsia="宋体" w:hAnsi="Arial" w:cs="Arial"/>
          <w:color w:val="000000"/>
          <w:kern w:val="0"/>
          <w:sz w:val="17"/>
          <w:szCs w:val="17"/>
        </w:rPr>
        <w:t>ectronically</w:t>
      </w:r>
      <w:r w:rsidRPr="00AC4931">
        <w:rPr>
          <w:rFonts w:ascii="Arial" w:eastAsia="宋体" w:hAnsi="Arial" w:cs="Arial"/>
          <w:color w:val="000000"/>
          <w:spacing w:val="21"/>
          <w:kern w:val="0"/>
          <w:sz w:val="17"/>
          <w:szCs w:val="17"/>
        </w:rPr>
        <w:t> </w:t>
      </w:r>
      <w:r w:rsidRPr="00AC4931">
        <w:rPr>
          <w:rFonts w:ascii="Arial" w:eastAsia="宋体" w:hAnsi="Arial" w:cs="Arial"/>
          <w:color w:val="000000"/>
          <w:kern w:val="0"/>
          <w:sz w:val="17"/>
          <w:szCs w:val="17"/>
        </w:rPr>
        <w:t>every Interactive</w:t>
      </w:r>
      <w:r w:rsidRPr="00AC4931">
        <w:rPr>
          <w:rFonts w:ascii="Arial" w:eastAsia="宋体" w:hAnsi="Arial" w:cs="Arial"/>
          <w:color w:val="000000"/>
          <w:spacing w:val="16"/>
          <w:kern w:val="0"/>
          <w:sz w:val="17"/>
          <w:szCs w:val="17"/>
        </w:rPr>
        <w:t> </w:t>
      </w:r>
      <w:r w:rsidRPr="00AC4931">
        <w:rPr>
          <w:rFonts w:ascii="Arial" w:eastAsia="宋体" w:hAnsi="Arial" w:cs="Arial"/>
          <w:color w:val="000000"/>
          <w:kern w:val="0"/>
          <w:sz w:val="17"/>
          <w:szCs w:val="17"/>
        </w:rPr>
        <w:t>Da</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a</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Fi</w:t>
      </w:r>
      <w:r w:rsidRPr="00AC4931">
        <w:rPr>
          <w:rFonts w:ascii="Arial" w:eastAsia="宋体" w:hAnsi="Arial" w:cs="Arial"/>
          <w:color w:val="000000"/>
          <w:spacing w:val="1"/>
          <w:kern w:val="0"/>
          <w:sz w:val="17"/>
          <w:szCs w:val="17"/>
        </w:rPr>
        <w:t>l</w:t>
      </w:r>
      <w:r w:rsidRPr="00AC4931">
        <w:rPr>
          <w:rFonts w:ascii="Arial" w:eastAsia="宋体" w:hAnsi="Arial" w:cs="Arial"/>
          <w:color w:val="000000"/>
          <w:kern w:val="0"/>
          <w:sz w:val="17"/>
          <w:szCs w:val="17"/>
        </w:rPr>
        <w:t>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requ</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red</w:t>
      </w:r>
      <w:r w:rsidRPr="00AC4931">
        <w:rPr>
          <w:rFonts w:ascii="Arial" w:eastAsia="宋体" w:hAnsi="Arial" w:cs="Arial"/>
          <w:color w:val="000000"/>
          <w:spacing w:val="13"/>
          <w:kern w:val="0"/>
          <w:sz w:val="17"/>
          <w:szCs w:val="17"/>
        </w:rPr>
        <w:t> </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o</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be</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submitted</w:t>
      </w:r>
      <w:r w:rsidRPr="00AC4931">
        <w:rPr>
          <w:rFonts w:ascii="Arial" w:eastAsia="宋体" w:hAnsi="Arial" w:cs="Arial"/>
          <w:color w:val="000000"/>
          <w:spacing w:val="16"/>
          <w:kern w:val="0"/>
          <w:sz w:val="17"/>
          <w:szCs w:val="17"/>
        </w:rPr>
        <w:t> </w:t>
      </w:r>
      <w:r w:rsidRPr="00AC4931">
        <w:rPr>
          <w:rFonts w:ascii="Arial" w:eastAsia="宋体" w:hAnsi="Arial" w:cs="Arial"/>
          <w:color w:val="000000"/>
          <w:kern w:val="0"/>
          <w:sz w:val="17"/>
          <w:szCs w:val="17"/>
        </w:rPr>
        <w:t>pursuant</w:t>
      </w:r>
      <w:r w:rsidRPr="00AC4931">
        <w:rPr>
          <w:rFonts w:ascii="Arial" w:eastAsia="宋体" w:hAnsi="Arial" w:cs="Arial"/>
          <w:color w:val="000000"/>
          <w:spacing w:val="13"/>
          <w:kern w:val="0"/>
          <w:sz w:val="17"/>
          <w:szCs w:val="17"/>
        </w:rPr>
        <w:t> </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o</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Ru</w:t>
      </w:r>
      <w:r w:rsidRPr="00AC4931">
        <w:rPr>
          <w:rFonts w:ascii="Arial" w:eastAsia="宋体" w:hAnsi="Arial" w:cs="Arial"/>
          <w:color w:val="000000"/>
          <w:spacing w:val="1"/>
          <w:kern w:val="0"/>
          <w:sz w:val="17"/>
          <w:szCs w:val="17"/>
        </w:rPr>
        <w:t>l</w:t>
      </w:r>
      <w:r w:rsidRPr="00AC4931">
        <w:rPr>
          <w:rFonts w:ascii="Arial" w:eastAsia="宋体" w:hAnsi="Arial" w:cs="Arial"/>
          <w:color w:val="000000"/>
          <w:kern w:val="0"/>
          <w:sz w:val="17"/>
          <w:szCs w:val="17"/>
        </w:rPr>
        <w:t>e</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405</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3"/>
          <w:kern w:val="0"/>
          <w:sz w:val="17"/>
          <w:szCs w:val="17"/>
        </w:rPr>
        <w:t> </w:t>
      </w:r>
      <w:r w:rsidRPr="00AC4931">
        <w:rPr>
          <w:rFonts w:ascii="Arial" w:eastAsia="宋体" w:hAnsi="Arial" w:cs="Arial"/>
          <w:color w:val="000000"/>
          <w:spacing w:val="1"/>
          <w:kern w:val="0"/>
          <w:sz w:val="17"/>
          <w:szCs w:val="17"/>
        </w:rPr>
        <w:t>R</w:t>
      </w:r>
      <w:r w:rsidRPr="00AC4931">
        <w:rPr>
          <w:rFonts w:ascii="Arial" w:eastAsia="宋体" w:hAnsi="Arial" w:cs="Arial"/>
          <w:color w:val="000000"/>
          <w:spacing w:val="-1"/>
          <w:kern w:val="0"/>
          <w:sz w:val="17"/>
          <w:szCs w:val="17"/>
        </w:rPr>
        <w:t>e</w:t>
      </w:r>
      <w:r w:rsidRPr="00AC4931">
        <w:rPr>
          <w:rFonts w:ascii="Arial" w:eastAsia="宋体" w:hAnsi="Arial" w:cs="Arial"/>
          <w:color w:val="000000"/>
          <w:kern w:val="0"/>
          <w:sz w:val="17"/>
          <w:szCs w:val="17"/>
        </w:rPr>
        <w:t>gu</w:t>
      </w:r>
      <w:r w:rsidRPr="00AC4931">
        <w:rPr>
          <w:rFonts w:ascii="Arial" w:eastAsia="宋体" w:hAnsi="Arial" w:cs="Arial"/>
          <w:color w:val="000000"/>
          <w:spacing w:val="1"/>
          <w:kern w:val="0"/>
          <w:sz w:val="17"/>
          <w:szCs w:val="17"/>
        </w:rPr>
        <w:t>l</w:t>
      </w:r>
      <w:r w:rsidRPr="00AC4931">
        <w:rPr>
          <w:rFonts w:ascii="Arial" w:eastAsia="宋体" w:hAnsi="Arial" w:cs="Arial"/>
          <w:color w:val="000000"/>
          <w:kern w:val="0"/>
          <w:sz w:val="17"/>
          <w:szCs w:val="17"/>
        </w:rPr>
        <w:t>a</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ion</w:t>
      </w:r>
      <w:r w:rsidRPr="00AC4931">
        <w:rPr>
          <w:rFonts w:ascii="Arial" w:eastAsia="宋体" w:hAnsi="Arial" w:cs="Arial"/>
          <w:color w:val="000000"/>
          <w:spacing w:val="17"/>
          <w:kern w:val="0"/>
          <w:sz w:val="17"/>
          <w:szCs w:val="17"/>
        </w:rPr>
        <w:t> </w:t>
      </w:r>
      <w:r w:rsidRPr="00AC4931">
        <w:rPr>
          <w:rFonts w:ascii="Arial" w:eastAsia="宋体" w:hAnsi="Arial" w:cs="Arial"/>
          <w:color w:val="000000"/>
          <w:kern w:val="0"/>
          <w:sz w:val="17"/>
          <w:szCs w:val="17"/>
        </w:rPr>
        <w:t>S-T</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232.405</w:t>
      </w:r>
      <w:r w:rsidRPr="00AC4931">
        <w:rPr>
          <w:rFonts w:ascii="Arial" w:eastAsia="宋体" w:hAnsi="Arial" w:cs="Arial"/>
          <w:color w:val="000000"/>
          <w:spacing w:val="13"/>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th</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s</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chapter)</w:t>
      </w:r>
      <w:r w:rsidRPr="00AC4931">
        <w:rPr>
          <w:rFonts w:ascii="Arial" w:eastAsia="宋体" w:hAnsi="Arial" w:cs="Arial"/>
          <w:color w:val="000000"/>
          <w:spacing w:val="13"/>
          <w:kern w:val="0"/>
          <w:sz w:val="17"/>
          <w:szCs w:val="17"/>
        </w:rPr>
        <w:t> </w:t>
      </w:r>
      <w:r w:rsidRPr="00AC4931">
        <w:rPr>
          <w:rFonts w:ascii="Arial" w:eastAsia="宋体" w:hAnsi="Arial" w:cs="Arial"/>
          <w:color w:val="000000"/>
          <w:kern w:val="0"/>
          <w:sz w:val="17"/>
          <w:szCs w:val="17"/>
        </w:rPr>
        <w:t>d</w:t>
      </w:r>
      <w:r w:rsidRPr="00AC4931">
        <w:rPr>
          <w:rFonts w:ascii="Arial" w:eastAsia="宋体" w:hAnsi="Arial" w:cs="Arial"/>
          <w:color w:val="000000"/>
          <w:spacing w:val="-5"/>
          <w:kern w:val="0"/>
          <w:sz w:val="17"/>
          <w:szCs w:val="17"/>
        </w:rPr>
        <w:t>u</w:t>
      </w:r>
      <w:r w:rsidRPr="00AC4931">
        <w:rPr>
          <w:rFonts w:ascii="Arial" w:eastAsia="宋体" w:hAnsi="Arial" w:cs="Arial"/>
          <w:color w:val="000000"/>
          <w:kern w:val="0"/>
          <w:sz w:val="17"/>
          <w:szCs w:val="17"/>
        </w:rPr>
        <w:t>ring the</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preceding</w:t>
      </w:r>
      <w:r w:rsidRPr="00AC4931">
        <w:rPr>
          <w:rFonts w:ascii="Arial" w:eastAsia="宋体" w:hAnsi="Arial" w:cs="Arial"/>
          <w:color w:val="000000"/>
          <w:spacing w:val="16"/>
          <w:kern w:val="0"/>
          <w:sz w:val="17"/>
          <w:szCs w:val="17"/>
        </w:rPr>
        <w:t> </w:t>
      </w:r>
      <w:r w:rsidRPr="00AC4931">
        <w:rPr>
          <w:rFonts w:ascii="Arial" w:eastAsia="宋体" w:hAnsi="Arial" w:cs="Arial"/>
          <w:color w:val="000000"/>
          <w:kern w:val="0"/>
          <w:sz w:val="17"/>
          <w:szCs w:val="17"/>
        </w:rPr>
        <w:t>12</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months</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(or</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for</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such</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shorter</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period</w:t>
      </w:r>
      <w:r w:rsidRPr="00AC4931">
        <w:rPr>
          <w:rFonts w:ascii="Arial" w:eastAsia="宋体" w:hAnsi="Arial" w:cs="Arial"/>
          <w:color w:val="000000"/>
          <w:spacing w:val="10"/>
          <w:kern w:val="0"/>
          <w:sz w:val="17"/>
          <w:szCs w:val="17"/>
        </w:rPr>
        <w:t> </w:t>
      </w:r>
      <w:r w:rsidRPr="00AC4931">
        <w:rPr>
          <w:rFonts w:ascii="Arial" w:eastAsia="宋体" w:hAnsi="Arial" w:cs="Arial"/>
          <w:color w:val="000000"/>
          <w:kern w:val="0"/>
          <w:sz w:val="17"/>
          <w:szCs w:val="17"/>
        </w:rPr>
        <w:t>that</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registrant</w:t>
      </w:r>
      <w:r w:rsidRPr="00AC4931">
        <w:rPr>
          <w:rFonts w:ascii="Arial" w:eastAsia="宋体" w:hAnsi="Arial" w:cs="Arial"/>
          <w:color w:val="000000"/>
          <w:spacing w:val="17"/>
          <w:kern w:val="0"/>
          <w:sz w:val="17"/>
          <w:szCs w:val="17"/>
        </w:rPr>
        <w:t> </w:t>
      </w:r>
      <w:r w:rsidRPr="00AC4931">
        <w:rPr>
          <w:rFonts w:ascii="Arial" w:eastAsia="宋体" w:hAnsi="Arial" w:cs="Arial"/>
          <w:color w:val="000000"/>
          <w:kern w:val="0"/>
          <w:sz w:val="17"/>
          <w:szCs w:val="17"/>
        </w:rPr>
        <w:t>was</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required</w:t>
      </w:r>
      <w:r w:rsidRPr="00AC4931">
        <w:rPr>
          <w:rFonts w:ascii="Arial" w:eastAsia="宋体" w:hAnsi="Arial" w:cs="Arial"/>
          <w:color w:val="000000"/>
          <w:spacing w:val="14"/>
          <w:kern w:val="0"/>
          <w:sz w:val="17"/>
          <w:szCs w:val="17"/>
        </w:rPr>
        <w:t> </w:t>
      </w:r>
      <w:r w:rsidRPr="00AC4931">
        <w:rPr>
          <w:rFonts w:ascii="Arial" w:eastAsia="宋体" w:hAnsi="Arial" w:cs="Arial"/>
          <w:color w:val="000000"/>
          <w:kern w:val="0"/>
          <w:sz w:val="17"/>
          <w:szCs w:val="17"/>
        </w:rPr>
        <w:t>to</w:t>
      </w:r>
      <w:r w:rsidRPr="00AC4931">
        <w:rPr>
          <w:rFonts w:ascii="Arial" w:eastAsia="宋体" w:hAnsi="Arial" w:cs="Arial"/>
          <w:color w:val="000000"/>
          <w:spacing w:val="3"/>
          <w:kern w:val="0"/>
          <w:sz w:val="17"/>
          <w:szCs w:val="17"/>
        </w:rPr>
        <w:t> </w:t>
      </w:r>
      <w:r w:rsidRPr="00AC4931">
        <w:rPr>
          <w:rFonts w:ascii="Arial" w:eastAsia="宋体" w:hAnsi="Arial" w:cs="Arial"/>
          <w:color w:val="000000"/>
          <w:kern w:val="0"/>
          <w:sz w:val="17"/>
          <w:szCs w:val="17"/>
        </w:rPr>
        <w:t>submit</w:t>
      </w:r>
      <w:r w:rsidRPr="00AC4931">
        <w:rPr>
          <w:rFonts w:ascii="Arial" w:eastAsia="宋体" w:hAnsi="Arial" w:cs="Arial"/>
          <w:color w:val="000000"/>
          <w:spacing w:val="11"/>
          <w:kern w:val="0"/>
          <w:sz w:val="17"/>
          <w:szCs w:val="17"/>
        </w:rPr>
        <w:t> </w:t>
      </w:r>
      <w:r w:rsidRPr="00AC4931">
        <w:rPr>
          <w:rFonts w:ascii="Arial" w:eastAsia="宋体" w:hAnsi="Arial" w:cs="Arial"/>
          <w:color w:val="000000"/>
          <w:kern w:val="0"/>
          <w:sz w:val="17"/>
          <w:szCs w:val="17"/>
        </w:rPr>
        <w:t>such files).    Yes:   </w:t>
      </w:r>
      <w:r w:rsidRPr="00AC4931">
        <w:rPr>
          <w:rFonts w:ascii="Segoe UI Symbol" w:eastAsia="宋体" w:hAnsi="Segoe UI Symbol" w:cs="Arial"/>
          <w:color w:val="000000"/>
          <w:kern w:val="0"/>
          <w:sz w:val="17"/>
          <w:szCs w:val="17"/>
        </w:rPr>
        <w:t>☒</w:t>
      </w:r>
      <w:r w:rsidRPr="00AC4931">
        <w:rPr>
          <w:rFonts w:ascii="Arial" w:eastAsia="宋体" w:hAnsi="Arial" w:cs="Arial"/>
          <w:color w:val="000000"/>
          <w:kern w:val="0"/>
          <w:sz w:val="17"/>
          <w:szCs w:val="17"/>
        </w:rPr>
        <w:t>   </w:t>
      </w:r>
      <w:r w:rsidRPr="00AC4931">
        <w:rPr>
          <w:rFonts w:ascii="Arial" w:eastAsia="宋体" w:hAnsi="Arial" w:cs="Arial"/>
          <w:color w:val="000000"/>
          <w:spacing w:val="-1"/>
          <w:kern w:val="0"/>
          <w:sz w:val="17"/>
          <w:szCs w:val="17"/>
        </w:rPr>
        <w:t>N</w:t>
      </w:r>
      <w:r w:rsidRPr="00AC4931">
        <w:rPr>
          <w:rFonts w:ascii="Arial" w:eastAsia="宋体" w:hAnsi="Arial" w:cs="Arial"/>
          <w:color w:val="000000"/>
          <w:kern w:val="0"/>
          <w:sz w:val="17"/>
          <w:szCs w:val="17"/>
        </w:rPr>
        <w:t>o:   </w:t>
      </w:r>
      <w:r w:rsidRPr="00AC4931">
        <w:rPr>
          <w:rFonts w:ascii="Segoe UI Symbol" w:eastAsia="宋体" w:hAnsi="Segoe UI Symbol" w:cs="Arial"/>
          <w:color w:val="000000"/>
          <w:kern w:val="0"/>
          <w:sz w:val="17"/>
          <w:szCs w:val="17"/>
        </w:rPr>
        <w:t>☐</w:t>
      </w:r>
    </w:p>
    <w:p w14:paraId="13B9ACB9"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5523F3FF" w14:textId="77777777" w:rsidR="00AC4931" w:rsidRPr="00AC4931" w:rsidRDefault="00AC4931" w:rsidP="00AC4931">
      <w:pPr>
        <w:widowControl/>
        <w:rPr>
          <w:rFonts w:ascii="Arial" w:eastAsia="宋体" w:hAnsi="Arial" w:cs="Arial" w:hint="eastAsia"/>
          <w:color w:val="000000"/>
          <w:kern w:val="0"/>
          <w:sz w:val="17"/>
          <w:szCs w:val="17"/>
        </w:rPr>
      </w:pPr>
      <w:r w:rsidRPr="00AC4931">
        <w:rPr>
          <w:rFonts w:ascii="Arial" w:eastAsia="宋体" w:hAnsi="Arial" w:cs="Arial"/>
          <w:color w:val="000000"/>
          <w:kern w:val="0"/>
          <w:sz w:val="17"/>
          <w:szCs w:val="17"/>
        </w:rPr>
        <w:t>Indi</w:t>
      </w:r>
      <w:r w:rsidRPr="00AC4931">
        <w:rPr>
          <w:rFonts w:ascii="Arial" w:eastAsia="宋体" w:hAnsi="Arial" w:cs="Arial"/>
          <w:color w:val="000000"/>
          <w:spacing w:val="-1"/>
          <w:kern w:val="0"/>
          <w:sz w:val="17"/>
          <w:szCs w:val="17"/>
        </w:rPr>
        <w:t>c</w:t>
      </w:r>
      <w:r w:rsidRPr="00AC4931">
        <w:rPr>
          <w:rFonts w:ascii="Arial" w:eastAsia="宋体" w:hAnsi="Arial" w:cs="Arial"/>
          <w:color w:val="000000"/>
          <w:kern w:val="0"/>
          <w:sz w:val="17"/>
          <w:szCs w:val="17"/>
        </w:rPr>
        <w:t>ate</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by</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check</w:t>
      </w:r>
      <w:r w:rsidRPr="00AC4931">
        <w:rPr>
          <w:rFonts w:ascii="Arial" w:eastAsia="宋体" w:hAnsi="Arial" w:cs="Arial"/>
          <w:color w:val="000000"/>
          <w:spacing w:val="10"/>
          <w:kern w:val="0"/>
          <w:sz w:val="17"/>
          <w:szCs w:val="17"/>
        </w:rPr>
        <w:t> </w:t>
      </w:r>
      <w:r w:rsidRPr="00AC4931">
        <w:rPr>
          <w:rFonts w:ascii="Arial" w:eastAsia="宋体" w:hAnsi="Arial" w:cs="Arial"/>
          <w:color w:val="000000"/>
          <w:kern w:val="0"/>
          <w:sz w:val="17"/>
          <w:szCs w:val="17"/>
        </w:rPr>
        <w:t>mark</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wheth</w:t>
      </w:r>
      <w:r w:rsidRPr="00AC4931">
        <w:rPr>
          <w:rFonts w:ascii="Arial" w:eastAsia="宋体" w:hAnsi="Arial" w:cs="Arial"/>
          <w:color w:val="000000"/>
          <w:spacing w:val="-1"/>
          <w:kern w:val="0"/>
          <w:sz w:val="17"/>
          <w:szCs w:val="17"/>
        </w:rPr>
        <w:t>e</w:t>
      </w:r>
      <w:r w:rsidRPr="00AC4931">
        <w:rPr>
          <w:rFonts w:ascii="Arial" w:eastAsia="宋体" w:hAnsi="Arial" w:cs="Arial"/>
          <w:color w:val="000000"/>
          <w:kern w:val="0"/>
          <w:sz w:val="17"/>
          <w:szCs w:val="17"/>
        </w:rPr>
        <w:t>r</w:t>
      </w:r>
      <w:r w:rsidRPr="00AC4931">
        <w:rPr>
          <w:rFonts w:ascii="Arial" w:eastAsia="宋体" w:hAnsi="Arial" w:cs="Arial"/>
          <w:color w:val="000000"/>
          <w:spacing w:val="13"/>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regis</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rant</w:t>
      </w:r>
      <w:r w:rsidRPr="00AC4931">
        <w:rPr>
          <w:rFonts w:ascii="Arial" w:eastAsia="宋体" w:hAnsi="Arial" w:cs="Arial"/>
          <w:color w:val="000000"/>
          <w:spacing w:val="15"/>
          <w:kern w:val="0"/>
          <w:sz w:val="17"/>
          <w:szCs w:val="17"/>
        </w:rPr>
        <w:t> </w:t>
      </w:r>
      <w:r w:rsidRPr="00AC4931">
        <w:rPr>
          <w:rFonts w:ascii="Arial" w:eastAsia="宋体" w:hAnsi="Arial" w:cs="Arial"/>
          <w:color w:val="000000"/>
          <w:kern w:val="0"/>
          <w:sz w:val="17"/>
          <w:szCs w:val="17"/>
        </w:rPr>
        <w:t>is</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a</w:t>
      </w:r>
      <w:r w:rsidRPr="00AC4931">
        <w:rPr>
          <w:rFonts w:ascii="Arial" w:eastAsia="宋体" w:hAnsi="Arial" w:cs="Arial"/>
          <w:color w:val="000000"/>
          <w:spacing w:val="2"/>
          <w:kern w:val="0"/>
          <w:sz w:val="17"/>
          <w:szCs w:val="17"/>
        </w:rPr>
        <w:t> </w:t>
      </w:r>
      <w:r w:rsidRPr="00AC4931">
        <w:rPr>
          <w:rFonts w:ascii="Arial" w:eastAsia="宋体" w:hAnsi="Arial" w:cs="Arial"/>
          <w:color w:val="000000"/>
          <w:kern w:val="0"/>
          <w:sz w:val="17"/>
          <w:szCs w:val="17"/>
        </w:rPr>
        <w:t>large</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accelerated</w:t>
      </w:r>
      <w:r w:rsidRPr="00AC4931">
        <w:rPr>
          <w:rFonts w:ascii="Arial" w:eastAsia="宋体" w:hAnsi="Arial" w:cs="Arial"/>
          <w:color w:val="000000"/>
          <w:spacing w:val="17"/>
          <w:kern w:val="0"/>
          <w:sz w:val="17"/>
          <w:szCs w:val="17"/>
        </w:rPr>
        <w:t> </w:t>
      </w:r>
      <w:r w:rsidRPr="00AC4931">
        <w:rPr>
          <w:rFonts w:ascii="Arial" w:eastAsia="宋体" w:hAnsi="Arial" w:cs="Arial"/>
          <w:color w:val="000000"/>
          <w:kern w:val="0"/>
          <w:sz w:val="17"/>
          <w:szCs w:val="17"/>
        </w:rPr>
        <w:t>filer,</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an</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accele</w:t>
      </w:r>
      <w:r w:rsidRPr="00AC4931">
        <w:rPr>
          <w:rFonts w:ascii="Arial" w:eastAsia="宋体" w:hAnsi="Arial" w:cs="Arial"/>
          <w:color w:val="000000"/>
          <w:spacing w:val="-1"/>
          <w:kern w:val="0"/>
          <w:sz w:val="17"/>
          <w:szCs w:val="17"/>
        </w:rPr>
        <w:t>r</w:t>
      </w:r>
      <w:r w:rsidRPr="00AC4931">
        <w:rPr>
          <w:rFonts w:ascii="Arial" w:eastAsia="宋体" w:hAnsi="Arial" w:cs="Arial"/>
          <w:color w:val="000000"/>
          <w:kern w:val="0"/>
          <w:sz w:val="17"/>
          <w:szCs w:val="17"/>
        </w:rPr>
        <w:t>ated</w:t>
      </w:r>
      <w:r w:rsidRPr="00AC4931">
        <w:rPr>
          <w:rFonts w:ascii="Arial" w:eastAsia="宋体" w:hAnsi="Arial" w:cs="Arial"/>
          <w:color w:val="000000"/>
          <w:spacing w:val="18"/>
          <w:kern w:val="0"/>
          <w:sz w:val="17"/>
          <w:szCs w:val="17"/>
        </w:rPr>
        <w:t> </w:t>
      </w:r>
      <w:r w:rsidRPr="00AC4931">
        <w:rPr>
          <w:rFonts w:ascii="Arial" w:eastAsia="宋体" w:hAnsi="Arial" w:cs="Arial"/>
          <w:color w:val="000000"/>
          <w:kern w:val="0"/>
          <w:sz w:val="17"/>
          <w:szCs w:val="17"/>
        </w:rPr>
        <w:t>filer,</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a</w:t>
      </w:r>
      <w:r w:rsidRPr="00AC4931">
        <w:rPr>
          <w:rFonts w:ascii="Arial" w:eastAsia="宋体" w:hAnsi="Arial" w:cs="Arial"/>
          <w:color w:val="000000"/>
          <w:spacing w:val="3"/>
          <w:kern w:val="0"/>
          <w:sz w:val="17"/>
          <w:szCs w:val="17"/>
        </w:rPr>
        <w:t> </w:t>
      </w:r>
      <w:r w:rsidRPr="00AC4931">
        <w:rPr>
          <w:rFonts w:ascii="Arial" w:eastAsia="宋体" w:hAnsi="Arial" w:cs="Arial"/>
          <w:color w:val="000000"/>
          <w:kern w:val="0"/>
          <w:sz w:val="17"/>
          <w:szCs w:val="17"/>
        </w:rPr>
        <w:t>non-accelerated</w:t>
      </w:r>
      <w:r w:rsidRPr="00AC4931">
        <w:rPr>
          <w:rFonts w:ascii="Arial" w:eastAsia="宋体" w:hAnsi="Arial" w:cs="Arial"/>
          <w:color w:val="000000"/>
          <w:spacing w:val="26"/>
          <w:kern w:val="0"/>
          <w:sz w:val="17"/>
          <w:szCs w:val="17"/>
        </w:rPr>
        <w:t> </w:t>
      </w:r>
      <w:r w:rsidRPr="00AC4931">
        <w:rPr>
          <w:rFonts w:ascii="Arial" w:eastAsia="宋体" w:hAnsi="Arial" w:cs="Arial"/>
          <w:color w:val="000000"/>
          <w:kern w:val="0"/>
          <w:sz w:val="17"/>
          <w:szCs w:val="17"/>
        </w:rPr>
        <w:t>filer,</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smaller r</w:t>
      </w:r>
      <w:r w:rsidRPr="00AC4931">
        <w:rPr>
          <w:rFonts w:ascii="Arial" w:eastAsia="宋体" w:hAnsi="Arial" w:cs="Arial"/>
          <w:color w:val="000000"/>
          <w:spacing w:val="-1"/>
          <w:kern w:val="0"/>
          <w:sz w:val="17"/>
          <w:szCs w:val="17"/>
        </w:rPr>
        <w:t>e</w:t>
      </w:r>
      <w:r w:rsidRPr="00AC4931">
        <w:rPr>
          <w:rFonts w:ascii="Arial" w:eastAsia="宋体" w:hAnsi="Arial" w:cs="Arial"/>
          <w:color w:val="000000"/>
          <w:kern w:val="0"/>
          <w:sz w:val="17"/>
          <w:szCs w:val="17"/>
        </w:rPr>
        <w:t>porting</w:t>
      </w:r>
      <w:r w:rsidRPr="00AC4931">
        <w:rPr>
          <w:rFonts w:ascii="Arial" w:eastAsia="宋体" w:hAnsi="Arial" w:cs="Arial"/>
          <w:color w:val="000000"/>
          <w:spacing w:val="15"/>
          <w:kern w:val="0"/>
          <w:sz w:val="17"/>
          <w:szCs w:val="17"/>
        </w:rPr>
        <w:t> </w:t>
      </w:r>
      <w:r w:rsidRPr="00AC4931">
        <w:rPr>
          <w:rFonts w:ascii="Arial" w:eastAsia="宋体" w:hAnsi="Arial" w:cs="Arial"/>
          <w:color w:val="000000"/>
          <w:kern w:val="0"/>
          <w:sz w:val="17"/>
          <w:szCs w:val="17"/>
        </w:rPr>
        <w:t>company or an emerging growth company.</w:t>
      </w:r>
      <w:r w:rsidRPr="00AC4931">
        <w:rPr>
          <w:rFonts w:ascii="Arial" w:eastAsia="宋体" w:hAnsi="Arial" w:cs="Arial"/>
          <w:color w:val="000000"/>
          <w:spacing w:val="16"/>
          <w:kern w:val="0"/>
          <w:sz w:val="17"/>
          <w:szCs w:val="17"/>
        </w:rPr>
        <w:t> </w:t>
      </w:r>
      <w:r w:rsidRPr="00AC4931">
        <w:rPr>
          <w:rFonts w:ascii="Arial" w:eastAsia="宋体" w:hAnsi="Arial" w:cs="Arial"/>
          <w:color w:val="000000"/>
          <w:kern w:val="0"/>
          <w:sz w:val="17"/>
          <w:szCs w:val="17"/>
        </w:rPr>
        <w:t>See</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definitions</w:t>
      </w:r>
      <w:r w:rsidRPr="00AC4931">
        <w:rPr>
          <w:rFonts w:ascii="Arial" w:eastAsia="宋体" w:hAnsi="Arial" w:cs="Arial"/>
          <w:color w:val="000000"/>
          <w:spacing w:val="16"/>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“large</w:t>
      </w:r>
      <w:r w:rsidRPr="00AC4931">
        <w:rPr>
          <w:rFonts w:ascii="Arial" w:eastAsia="宋体" w:hAnsi="Arial" w:cs="Arial"/>
          <w:color w:val="000000"/>
          <w:spacing w:val="9"/>
          <w:kern w:val="0"/>
          <w:sz w:val="17"/>
          <w:szCs w:val="17"/>
        </w:rPr>
        <w:t> </w:t>
      </w:r>
      <w:r w:rsidRPr="00AC4931">
        <w:rPr>
          <w:rFonts w:ascii="Arial" w:eastAsia="宋体" w:hAnsi="Arial" w:cs="Arial"/>
          <w:color w:val="000000"/>
          <w:kern w:val="0"/>
          <w:sz w:val="17"/>
          <w:szCs w:val="17"/>
        </w:rPr>
        <w:t>accelerated</w:t>
      </w:r>
      <w:r w:rsidRPr="00AC4931">
        <w:rPr>
          <w:rFonts w:ascii="Arial" w:eastAsia="宋体" w:hAnsi="Arial" w:cs="Arial"/>
          <w:color w:val="000000"/>
          <w:spacing w:val="17"/>
          <w:kern w:val="0"/>
          <w:sz w:val="17"/>
          <w:szCs w:val="17"/>
        </w:rPr>
        <w:t> </w:t>
      </w:r>
      <w:r w:rsidRPr="00AC4931">
        <w:rPr>
          <w:rFonts w:ascii="Arial" w:eastAsia="宋体" w:hAnsi="Arial" w:cs="Arial"/>
          <w:color w:val="000000"/>
          <w:kern w:val="0"/>
          <w:sz w:val="17"/>
          <w:szCs w:val="17"/>
        </w:rPr>
        <w:t>filer,”</w:t>
      </w:r>
      <w:r w:rsidRPr="00AC4931">
        <w:rPr>
          <w:rFonts w:ascii="Arial" w:eastAsia="宋体" w:hAnsi="Arial" w:cs="Arial"/>
          <w:color w:val="000000"/>
          <w:spacing w:val="9"/>
          <w:kern w:val="0"/>
          <w:sz w:val="17"/>
          <w:szCs w:val="17"/>
        </w:rPr>
        <w:t> </w:t>
      </w:r>
      <w:r w:rsidRPr="00AC4931">
        <w:rPr>
          <w:rFonts w:ascii="Arial" w:eastAsia="宋体" w:hAnsi="Arial" w:cs="Arial"/>
          <w:color w:val="000000"/>
          <w:kern w:val="0"/>
          <w:sz w:val="17"/>
          <w:szCs w:val="17"/>
        </w:rPr>
        <w:t>“accelerated</w:t>
      </w:r>
      <w:r w:rsidRPr="00AC4931">
        <w:rPr>
          <w:rFonts w:ascii="Arial" w:eastAsia="宋体" w:hAnsi="Arial" w:cs="Arial"/>
          <w:color w:val="000000"/>
          <w:spacing w:val="21"/>
          <w:kern w:val="0"/>
          <w:sz w:val="17"/>
          <w:szCs w:val="17"/>
        </w:rPr>
        <w:t> </w:t>
      </w:r>
      <w:r w:rsidRPr="00AC4931">
        <w:rPr>
          <w:rFonts w:ascii="Arial" w:eastAsia="宋体" w:hAnsi="Arial" w:cs="Arial"/>
          <w:color w:val="000000"/>
          <w:kern w:val="0"/>
          <w:sz w:val="17"/>
          <w:szCs w:val="17"/>
        </w:rPr>
        <w:t>filer,”</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“smal</w:t>
      </w:r>
      <w:r w:rsidRPr="00AC4931">
        <w:rPr>
          <w:rFonts w:ascii="Arial" w:eastAsia="宋体" w:hAnsi="Arial" w:cs="Arial"/>
          <w:color w:val="000000"/>
          <w:spacing w:val="1"/>
          <w:kern w:val="0"/>
          <w:sz w:val="17"/>
          <w:szCs w:val="17"/>
        </w:rPr>
        <w:t>l</w:t>
      </w:r>
      <w:r w:rsidRPr="00AC4931">
        <w:rPr>
          <w:rFonts w:ascii="Arial" w:eastAsia="宋体" w:hAnsi="Arial" w:cs="Arial"/>
          <w:color w:val="000000"/>
          <w:kern w:val="0"/>
          <w:sz w:val="17"/>
          <w:szCs w:val="17"/>
        </w:rPr>
        <w:t>er</w:t>
      </w:r>
      <w:r w:rsidRPr="00AC4931">
        <w:rPr>
          <w:rFonts w:ascii="Arial" w:eastAsia="宋体" w:hAnsi="Arial" w:cs="Arial"/>
          <w:color w:val="000000"/>
          <w:spacing w:val="14"/>
          <w:kern w:val="0"/>
          <w:sz w:val="17"/>
          <w:szCs w:val="17"/>
        </w:rPr>
        <w:t> </w:t>
      </w:r>
      <w:r w:rsidRPr="00AC4931">
        <w:rPr>
          <w:rFonts w:ascii="Arial" w:eastAsia="宋体" w:hAnsi="Arial" w:cs="Arial"/>
          <w:color w:val="000000"/>
          <w:kern w:val="0"/>
          <w:sz w:val="17"/>
          <w:szCs w:val="17"/>
        </w:rPr>
        <w:t>reporting</w:t>
      </w:r>
      <w:r w:rsidRPr="00AC4931">
        <w:rPr>
          <w:rFonts w:ascii="Arial" w:eastAsia="宋体" w:hAnsi="Arial" w:cs="Arial"/>
          <w:color w:val="000000"/>
          <w:spacing w:val="15"/>
          <w:kern w:val="0"/>
          <w:sz w:val="17"/>
          <w:szCs w:val="17"/>
        </w:rPr>
        <w:t> </w:t>
      </w:r>
      <w:r w:rsidRPr="00AC4931">
        <w:rPr>
          <w:rFonts w:ascii="Arial" w:eastAsia="宋体" w:hAnsi="Arial" w:cs="Arial"/>
          <w:color w:val="000000"/>
          <w:kern w:val="0"/>
          <w:sz w:val="17"/>
          <w:szCs w:val="17"/>
        </w:rPr>
        <w:t>company” and “emerging growth company”</w:t>
      </w:r>
      <w:r w:rsidRPr="00AC4931">
        <w:rPr>
          <w:rFonts w:ascii="Arial" w:eastAsia="宋体" w:hAnsi="Arial" w:cs="Arial"/>
          <w:color w:val="000000"/>
          <w:spacing w:val="16"/>
          <w:kern w:val="0"/>
          <w:sz w:val="17"/>
          <w:szCs w:val="17"/>
        </w:rPr>
        <w:t> </w:t>
      </w:r>
      <w:r w:rsidRPr="00AC4931">
        <w:rPr>
          <w:rFonts w:ascii="Arial" w:eastAsia="宋体" w:hAnsi="Arial" w:cs="Arial"/>
          <w:color w:val="000000"/>
          <w:kern w:val="0"/>
          <w:sz w:val="17"/>
          <w:szCs w:val="17"/>
        </w:rPr>
        <w:t>in</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Ru</w:t>
      </w:r>
      <w:r w:rsidRPr="00AC4931">
        <w:rPr>
          <w:rFonts w:ascii="Arial" w:eastAsia="宋体" w:hAnsi="Arial" w:cs="Arial"/>
          <w:color w:val="000000"/>
          <w:spacing w:val="-3"/>
          <w:kern w:val="0"/>
          <w:sz w:val="17"/>
          <w:szCs w:val="17"/>
        </w:rPr>
        <w:t>l</w:t>
      </w:r>
      <w:r w:rsidRPr="00AC4931">
        <w:rPr>
          <w:rFonts w:ascii="Arial" w:eastAsia="宋体" w:hAnsi="Arial" w:cs="Arial"/>
          <w:color w:val="000000"/>
          <w:kern w:val="0"/>
          <w:sz w:val="17"/>
          <w:szCs w:val="17"/>
        </w:rPr>
        <w:t>e</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12b-2 of</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Exchange</w:t>
      </w:r>
      <w:r w:rsidRPr="00AC4931">
        <w:rPr>
          <w:rFonts w:ascii="Arial" w:eastAsia="宋体" w:hAnsi="Arial" w:cs="Arial"/>
          <w:color w:val="000000"/>
          <w:spacing w:val="16"/>
          <w:kern w:val="0"/>
          <w:sz w:val="17"/>
          <w:szCs w:val="17"/>
        </w:rPr>
        <w:t> </w:t>
      </w:r>
      <w:r w:rsidRPr="00AC4931">
        <w:rPr>
          <w:rFonts w:ascii="Arial" w:eastAsia="宋体" w:hAnsi="Arial" w:cs="Arial"/>
          <w:color w:val="000000"/>
          <w:kern w:val="0"/>
          <w:sz w:val="17"/>
          <w:szCs w:val="17"/>
        </w:rPr>
        <w:t>Act.</w:t>
      </w:r>
    </w:p>
    <w:p w14:paraId="5F545FB7" w14:textId="77777777" w:rsidR="00AC4931" w:rsidRPr="00AC4931" w:rsidRDefault="00AC4931" w:rsidP="00AC4931">
      <w:pPr>
        <w:widowControl/>
        <w:jc w:val="left"/>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3828"/>
        <w:gridCol w:w="170"/>
        <w:gridCol w:w="11318"/>
        <w:gridCol w:w="235"/>
        <w:gridCol w:w="4494"/>
        <w:gridCol w:w="170"/>
        <w:gridCol w:w="399"/>
      </w:tblGrid>
      <w:tr w:rsidR="00AC4931" w:rsidRPr="00AC4931" w14:paraId="407B24A6" w14:textId="77777777" w:rsidTr="00AC4931">
        <w:trPr>
          <w:trHeight w:val="200"/>
        </w:trPr>
        <w:tc>
          <w:tcPr>
            <w:tcW w:w="3838" w:type="dxa"/>
            <w:hideMark/>
          </w:tcPr>
          <w:p w14:paraId="42E8E6C4" w14:textId="77777777" w:rsidR="00AC4931" w:rsidRPr="00AC4931" w:rsidRDefault="00AC4931" w:rsidP="00AC4931">
            <w:pPr>
              <w:widowControl/>
              <w:spacing w:after="40"/>
              <w:jc w:val="left"/>
              <w:rPr>
                <w:rFonts w:ascii="Arial" w:eastAsia="宋体" w:hAnsi="Arial" w:cs="Arial" w:hint="eastAsia"/>
                <w:kern w:val="0"/>
                <w:sz w:val="17"/>
                <w:szCs w:val="17"/>
              </w:rPr>
            </w:pPr>
            <w:r w:rsidRPr="00AC4931">
              <w:rPr>
                <w:rFonts w:ascii="Arial" w:eastAsia="宋体" w:hAnsi="Arial" w:cs="Arial"/>
                <w:kern w:val="0"/>
                <w:sz w:val="17"/>
                <w:szCs w:val="17"/>
              </w:rPr>
              <w:t>Large accelerated filer</w:t>
            </w:r>
          </w:p>
        </w:tc>
        <w:tc>
          <w:tcPr>
            <w:tcW w:w="132" w:type="dxa"/>
            <w:hideMark/>
          </w:tcPr>
          <w:p w14:paraId="7BE9CDA2" w14:textId="77777777" w:rsidR="00AC4931" w:rsidRPr="00AC4931" w:rsidRDefault="00AC4931" w:rsidP="00AC4931">
            <w:pPr>
              <w:widowControl/>
              <w:spacing w:after="40"/>
              <w:jc w:val="left"/>
              <w:rPr>
                <w:rFonts w:ascii="Arial" w:eastAsia="宋体" w:hAnsi="Arial" w:cs="Arial"/>
                <w:kern w:val="0"/>
                <w:sz w:val="17"/>
                <w:szCs w:val="17"/>
              </w:rPr>
            </w:pPr>
            <w:r w:rsidRPr="00AC4931">
              <w:rPr>
                <w:rFonts w:ascii="Arial" w:eastAsia="宋体" w:hAnsi="Arial" w:cs="Arial"/>
                <w:kern w:val="0"/>
                <w:sz w:val="17"/>
                <w:szCs w:val="17"/>
              </w:rPr>
              <w:t> </w:t>
            </w:r>
          </w:p>
        </w:tc>
        <w:tc>
          <w:tcPr>
            <w:tcW w:w="11371" w:type="dxa"/>
            <w:hideMark/>
          </w:tcPr>
          <w:p w14:paraId="5382B749" w14:textId="77777777" w:rsidR="00AC4931" w:rsidRPr="00AC4931" w:rsidRDefault="00AC4931" w:rsidP="00AC4931">
            <w:pPr>
              <w:widowControl/>
              <w:spacing w:after="40"/>
              <w:jc w:val="left"/>
              <w:rPr>
                <w:rFonts w:ascii="Segoe UI Symbol" w:eastAsia="宋体" w:hAnsi="Segoe UI Symbol" w:cs="宋体"/>
                <w:kern w:val="0"/>
                <w:sz w:val="17"/>
                <w:szCs w:val="17"/>
              </w:rPr>
            </w:pPr>
            <w:r w:rsidRPr="00AC4931">
              <w:rPr>
                <w:rFonts w:ascii="Segoe UI Symbol" w:eastAsia="宋体" w:hAnsi="Segoe UI Symbol" w:cs="宋体"/>
                <w:kern w:val="0"/>
                <w:sz w:val="17"/>
                <w:szCs w:val="17"/>
              </w:rPr>
              <w:t>☒</w:t>
            </w:r>
          </w:p>
        </w:tc>
        <w:tc>
          <w:tcPr>
            <w:tcW w:w="235" w:type="dxa"/>
            <w:hideMark/>
          </w:tcPr>
          <w:p w14:paraId="58BE5A0A" w14:textId="77777777" w:rsidR="00AC4931" w:rsidRPr="00AC4931" w:rsidRDefault="00AC4931" w:rsidP="00AC4931">
            <w:pPr>
              <w:widowControl/>
              <w:spacing w:after="40"/>
              <w:jc w:val="left"/>
              <w:rPr>
                <w:rFonts w:ascii="Arial" w:eastAsia="宋体" w:hAnsi="Arial" w:cs="Arial"/>
                <w:kern w:val="0"/>
                <w:sz w:val="17"/>
                <w:szCs w:val="17"/>
              </w:rPr>
            </w:pPr>
            <w:r w:rsidRPr="00AC4931">
              <w:rPr>
                <w:rFonts w:ascii="Arial" w:eastAsia="宋体" w:hAnsi="Arial" w:cs="Arial"/>
                <w:kern w:val="0"/>
                <w:sz w:val="17"/>
                <w:szCs w:val="17"/>
              </w:rPr>
              <w:t>  </w:t>
            </w:r>
          </w:p>
        </w:tc>
        <w:tc>
          <w:tcPr>
            <w:tcW w:w="4506" w:type="dxa"/>
            <w:hideMark/>
          </w:tcPr>
          <w:p w14:paraId="19910867" w14:textId="77777777" w:rsidR="00AC4931" w:rsidRPr="00AC4931" w:rsidRDefault="00AC4931" w:rsidP="00AC4931">
            <w:pPr>
              <w:widowControl/>
              <w:spacing w:after="40"/>
              <w:jc w:val="left"/>
              <w:rPr>
                <w:rFonts w:ascii="Arial" w:eastAsia="宋体" w:hAnsi="Arial" w:cs="Arial"/>
                <w:kern w:val="0"/>
                <w:sz w:val="17"/>
                <w:szCs w:val="17"/>
              </w:rPr>
            </w:pPr>
            <w:r w:rsidRPr="00AC4931">
              <w:rPr>
                <w:rFonts w:ascii="Arial" w:eastAsia="宋体" w:hAnsi="Arial" w:cs="Arial"/>
                <w:kern w:val="0"/>
                <w:sz w:val="17"/>
                <w:szCs w:val="17"/>
              </w:rPr>
              <w:t>Accelerated filer</w:t>
            </w:r>
          </w:p>
        </w:tc>
        <w:tc>
          <w:tcPr>
            <w:tcW w:w="132" w:type="dxa"/>
            <w:hideMark/>
          </w:tcPr>
          <w:p w14:paraId="6BFC17EE" w14:textId="77777777" w:rsidR="00AC4931" w:rsidRPr="00AC4931" w:rsidRDefault="00AC4931" w:rsidP="00AC4931">
            <w:pPr>
              <w:widowControl/>
              <w:spacing w:after="40"/>
              <w:jc w:val="left"/>
              <w:rPr>
                <w:rFonts w:ascii="Arial" w:eastAsia="宋体" w:hAnsi="Arial" w:cs="Arial"/>
                <w:kern w:val="0"/>
                <w:sz w:val="17"/>
                <w:szCs w:val="17"/>
              </w:rPr>
            </w:pPr>
            <w:r w:rsidRPr="00AC4931">
              <w:rPr>
                <w:rFonts w:ascii="Arial" w:eastAsia="宋体" w:hAnsi="Arial" w:cs="Arial"/>
                <w:kern w:val="0"/>
                <w:sz w:val="17"/>
                <w:szCs w:val="17"/>
              </w:rPr>
              <w:t> </w:t>
            </w:r>
          </w:p>
        </w:tc>
        <w:tc>
          <w:tcPr>
            <w:tcW w:w="400" w:type="dxa"/>
            <w:hideMark/>
          </w:tcPr>
          <w:p w14:paraId="412EEE5C" w14:textId="77777777" w:rsidR="00AC4931" w:rsidRPr="00AC4931" w:rsidRDefault="00AC4931" w:rsidP="00AC4931">
            <w:pPr>
              <w:widowControl/>
              <w:spacing w:after="40"/>
              <w:jc w:val="left"/>
              <w:rPr>
                <w:rFonts w:ascii="Segoe UI Symbol" w:eastAsia="宋体" w:hAnsi="Segoe UI Symbol" w:cs="宋体"/>
                <w:kern w:val="0"/>
                <w:sz w:val="17"/>
                <w:szCs w:val="17"/>
              </w:rPr>
            </w:pPr>
            <w:r w:rsidRPr="00AC4931">
              <w:rPr>
                <w:rFonts w:ascii="Segoe UI Symbol" w:eastAsia="宋体" w:hAnsi="Segoe UI Symbol" w:cs="宋体"/>
                <w:kern w:val="0"/>
                <w:sz w:val="17"/>
                <w:szCs w:val="17"/>
              </w:rPr>
              <w:t>☐</w:t>
            </w:r>
          </w:p>
        </w:tc>
      </w:tr>
      <w:tr w:rsidR="00AC4931" w:rsidRPr="00AC4931" w14:paraId="3539A0D5" w14:textId="77777777" w:rsidTr="00AC4931">
        <w:tc>
          <w:tcPr>
            <w:tcW w:w="3838" w:type="dxa"/>
            <w:hideMark/>
          </w:tcPr>
          <w:p w14:paraId="4F39DD5B" w14:textId="77777777" w:rsidR="00AC4931" w:rsidRPr="00AC4931" w:rsidRDefault="00AC4931" w:rsidP="00AC4931">
            <w:pPr>
              <w:widowControl/>
              <w:spacing w:after="40"/>
              <w:jc w:val="left"/>
              <w:rPr>
                <w:rFonts w:ascii="Arial" w:eastAsia="宋体" w:hAnsi="Arial" w:cs="Arial"/>
                <w:kern w:val="0"/>
                <w:sz w:val="17"/>
                <w:szCs w:val="17"/>
              </w:rPr>
            </w:pPr>
            <w:r w:rsidRPr="00AC4931">
              <w:rPr>
                <w:rFonts w:ascii="Arial" w:eastAsia="宋体" w:hAnsi="Arial" w:cs="Arial"/>
                <w:kern w:val="0"/>
                <w:sz w:val="17"/>
                <w:szCs w:val="17"/>
              </w:rPr>
              <w:t>Non-accelerated filer</w:t>
            </w:r>
          </w:p>
        </w:tc>
        <w:tc>
          <w:tcPr>
            <w:tcW w:w="132" w:type="dxa"/>
            <w:hideMark/>
          </w:tcPr>
          <w:p w14:paraId="79EDB8DB" w14:textId="77777777" w:rsidR="00AC4931" w:rsidRPr="00AC4931" w:rsidRDefault="00AC4931" w:rsidP="00AC4931">
            <w:pPr>
              <w:widowControl/>
              <w:spacing w:after="40"/>
              <w:jc w:val="left"/>
              <w:rPr>
                <w:rFonts w:ascii="Arial" w:eastAsia="宋体" w:hAnsi="Arial" w:cs="Arial"/>
                <w:kern w:val="0"/>
                <w:sz w:val="17"/>
                <w:szCs w:val="17"/>
              </w:rPr>
            </w:pPr>
            <w:r w:rsidRPr="00AC4931">
              <w:rPr>
                <w:rFonts w:ascii="Arial" w:eastAsia="宋体" w:hAnsi="Arial" w:cs="Arial"/>
                <w:kern w:val="0"/>
                <w:sz w:val="17"/>
                <w:szCs w:val="17"/>
              </w:rPr>
              <w:t> </w:t>
            </w:r>
          </w:p>
        </w:tc>
        <w:tc>
          <w:tcPr>
            <w:tcW w:w="11371" w:type="dxa"/>
            <w:hideMark/>
          </w:tcPr>
          <w:p w14:paraId="2FD9B0BB" w14:textId="77777777" w:rsidR="00AC4931" w:rsidRPr="00AC4931" w:rsidRDefault="00AC4931" w:rsidP="00AC4931">
            <w:pPr>
              <w:widowControl/>
              <w:spacing w:after="40"/>
              <w:jc w:val="left"/>
              <w:rPr>
                <w:rFonts w:ascii="Segoe UI Symbol" w:eastAsia="宋体" w:hAnsi="Segoe UI Symbol" w:cs="宋体"/>
                <w:kern w:val="0"/>
                <w:sz w:val="17"/>
                <w:szCs w:val="17"/>
              </w:rPr>
            </w:pPr>
            <w:r w:rsidRPr="00AC4931">
              <w:rPr>
                <w:rFonts w:ascii="Segoe UI Symbol" w:eastAsia="宋体" w:hAnsi="Segoe UI Symbol" w:cs="宋体"/>
                <w:kern w:val="0"/>
                <w:sz w:val="17"/>
                <w:szCs w:val="17"/>
              </w:rPr>
              <w:t>☐</w:t>
            </w:r>
          </w:p>
        </w:tc>
        <w:tc>
          <w:tcPr>
            <w:tcW w:w="235" w:type="dxa"/>
            <w:hideMark/>
          </w:tcPr>
          <w:p w14:paraId="4D5DC37C" w14:textId="77777777" w:rsidR="00AC4931" w:rsidRPr="00AC4931" w:rsidRDefault="00AC4931" w:rsidP="00AC4931">
            <w:pPr>
              <w:widowControl/>
              <w:spacing w:after="40"/>
              <w:jc w:val="left"/>
              <w:rPr>
                <w:rFonts w:ascii="Arial" w:eastAsia="宋体" w:hAnsi="Arial" w:cs="Arial"/>
                <w:kern w:val="0"/>
                <w:sz w:val="17"/>
                <w:szCs w:val="17"/>
              </w:rPr>
            </w:pPr>
            <w:r w:rsidRPr="00AC4931">
              <w:rPr>
                <w:rFonts w:ascii="Arial" w:eastAsia="宋体" w:hAnsi="Arial" w:cs="Arial"/>
                <w:kern w:val="0"/>
                <w:sz w:val="17"/>
                <w:szCs w:val="17"/>
              </w:rPr>
              <w:t>  </w:t>
            </w:r>
          </w:p>
        </w:tc>
        <w:tc>
          <w:tcPr>
            <w:tcW w:w="4506" w:type="dxa"/>
            <w:hideMark/>
          </w:tcPr>
          <w:p w14:paraId="212145D0" w14:textId="77777777" w:rsidR="00AC4931" w:rsidRPr="00AC4931" w:rsidRDefault="00AC4931" w:rsidP="00AC4931">
            <w:pPr>
              <w:widowControl/>
              <w:spacing w:after="40"/>
              <w:jc w:val="left"/>
              <w:rPr>
                <w:rFonts w:ascii="Arial" w:eastAsia="宋体" w:hAnsi="Arial" w:cs="Arial"/>
                <w:kern w:val="0"/>
                <w:sz w:val="17"/>
                <w:szCs w:val="17"/>
              </w:rPr>
            </w:pPr>
            <w:r w:rsidRPr="00AC4931">
              <w:rPr>
                <w:rFonts w:ascii="Arial" w:eastAsia="宋体" w:hAnsi="Arial" w:cs="Arial"/>
                <w:kern w:val="0"/>
                <w:sz w:val="17"/>
                <w:szCs w:val="17"/>
              </w:rPr>
              <w:t>Smaller reporting company</w:t>
            </w:r>
          </w:p>
        </w:tc>
        <w:tc>
          <w:tcPr>
            <w:tcW w:w="132" w:type="dxa"/>
            <w:hideMark/>
          </w:tcPr>
          <w:p w14:paraId="14800745" w14:textId="77777777" w:rsidR="00AC4931" w:rsidRPr="00AC4931" w:rsidRDefault="00AC4931" w:rsidP="00AC4931">
            <w:pPr>
              <w:widowControl/>
              <w:spacing w:after="40"/>
              <w:jc w:val="left"/>
              <w:rPr>
                <w:rFonts w:ascii="Arial" w:eastAsia="宋体" w:hAnsi="Arial" w:cs="Arial"/>
                <w:kern w:val="0"/>
                <w:sz w:val="17"/>
                <w:szCs w:val="17"/>
              </w:rPr>
            </w:pPr>
            <w:r w:rsidRPr="00AC4931">
              <w:rPr>
                <w:rFonts w:ascii="Arial" w:eastAsia="宋体" w:hAnsi="Arial" w:cs="Arial"/>
                <w:kern w:val="0"/>
                <w:sz w:val="17"/>
                <w:szCs w:val="17"/>
              </w:rPr>
              <w:t> </w:t>
            </w:r>
          </w:p>
        </w:tc>
        <w:tc>
          <w:tcPr>
            <w:tcW w:w="400" w:type="dxa"/>
            <w:hideMark/>
          </w:tcPr>
          <w:p w14:paraId="0EA39938" w14:textId="77777777" w:rsidR="00AC4931" w:rsidRPr="00AC4931" w:rsidRDefault="00AC4931" w:rsidP="00AC4931">
            <w:pPr>
              <w:widowControl/>
              <w:spacing w:after="40"/>
              <w:jc w:val="left"/>
              <w:rPr>
                <w:rFonts w:ascii="Segoe UI Symbol" w:eastAsia="宋体" w:hAnsi="Segoe UI Symbol" w:cs="宋体"/>
                <w:kern w:val="0"/>
                <w:sz w:val="17"/>
                <w:szCs w:val="17"/>
              </w:rPr>
            </w:pPr>
            <w:r w:rsidRPr="00AC4931">
              <w:rPr>
                <w:rFonts w:ascii="Segoe UI Symbol" w:eastAsia="宋体" w:hAnsi="Segoe UI Symbol" w:cs="宋体"/>
                <w:kern w:val="0"/>
                <w:sz w:val="17"/>
                <w:szCs w:val="17"/>
              </w:rPr>
              <w:t>☐</w:t>
            </w:r>
          </w:p>
        </w:tc>
      </w:tr>
      <w:tr w:rsidR="00AC4931" w:rsidRPr="00AC4931" w14:paraId="22800791" w14:textId="77777777" w:rsidTr="00AC4931">
        <w:tc>
          <w:tcPr>
            <w:tcW w:w="3838" w:type="dxa"/>
            <w:hideMark/>
          </w:tcPr>
          <w:p w14:paraId="7EDBDAA6" w14:textId="77777777" w:rsidR="00AC4931" w:rsidRPr="00AC4931" w:rsidRDefault="00AC4931" w:rsidP="00AC4931">
            <w:pPr>
              <w:widowControl/>
              <w:jc w:val="left"/>
              <w:rPr>
                <w:rFonts w:ascii="Arial" w:eastAsia="宋体" w:hAnsi="Arial" w:cs="Arial"/>
                <w:kern w:val="0"/>
                <w:sz w:val="17"/>
                <w:szCs w:val="17"/>
              </w:rPr>
            </w:pPr>
            <w:r w:rsidRPr="00AC4931">
              <w:rPr>
                <w:rFonts w:ascii="Arial" w:eastAsia="宋体" w:hAnsi="Arial" w:cs="Arial"/>
                <w:kern w:val="0"/>
                <w:sz w:val="17"/>
                <w:szCs w:val="17"/>
              </w:rPr>
              <w:t>Emerging growth company</w:t>
            </w:r>
          </w:p>
        </w:tc>
        <w:tc>
          <w:tcPr>
            <w:tcW w:w="132" w:type="dxa"/>
            <w:hideMark/>
          </w:tcPr>
          <w:p w14:paraId="53601940" w14:textId="77777777" w:rsidR="00AC4931" w:rsidRPr="00AC4931" w:rsidRDefault="00AC4931" w:rsidP="00AC4931">
            <w:pPr>
              <w:widowControl/>
              <w:jc w:val="left"/>
              <w:rPr>
                <w:rFonts w:ascii="宋体" w:eastAsia="宋体" w:hAnsi="宋体" w:cs="宋体"/>
                <w:kern w:val="0"/>
                <w:sz w:val="17"/>
                <w:szCs w:val="17"/>
              </w:rPr>
            </w:pPr>
            <w:r w:rsidRPr="00AC4931">
              <w:rPr>
                <w:rFonts w:ascii="宋体" w:eastAsia="宋体" w:hAnsi="宋体" w:cs="宋体"/>
                <w:kern w:val="0"/>
                <w:sz w:val="17"/>
                <w:szCs w:val="17"/>
              </w:rPr>
              <w:t> </w:t>
            </w:r>
          </w:p>
        </w:tc>
        <w:tc>
          <w:tcPr>
            <w:tcW w:w="11371" w:type="dxa"/>
            <w:hideMark/>
          </w:tcPr>
          <w:p w14:paraId="28B58B56" w14:textId="77777777" w:rsidR="00AC4931" w:rsidRPr="00AC4931" w:rsidRDefault="00AC4931" w:rsidP="00AC4931">
            <w:pPr>
              <w:widowControl/>
              <w:jc w:val="left"/>
              <w:rPr>
                <w:rFonts w:ascii="Segoe UI Symbol" w:eastAsia="宋体" w:hAnsi="Segoe UI Symbol" w:cs="宋体"/>
                <w:kern w:val="0"/>
                <w:sz w:val="17"/>
                <w:szCs w:val="17"/>
              </w:rPr>
            </w:pPr>
            <w:r w:rsidRPr="00AC4931">
              <w:rPr>
                <w:rFonts w:ascii="Segoe UI Symbol" w:eastAsia="宋体" w:hAnsi="Segoe UI Symbol" w:cs="宋体"/>
                <w:kern w:val="0"/>
                <w:sz w:val="17"/>
                <w:szCs w:val="17"/>
              </w:rPr>
              <w:t>☐</w:t>
            </w:r>
          </w:p>
        </w:tc>
        <w:tc>
          <w:tcPr>
            <w:tcW w:w="235" w:type="dxa"/>
            <w:hideMark/>
          </w:tcPr>
          <w:p w14:paraId="57AF28F9" w14:textId="77777777" w:rsidR="00AC4931" w:rsidRPr="00AC4931" w:rsidRDefault="00AC4931" w:rsidP="00AC4931">
            <w:pPr>
              <w:widowControl/>
              <w:jc w:val="left"/>
              <w:rPr>
                <w:rFonts w:ascii="宋体" w:eastAsia="宋体" w:hAnsi="宋体" w:cs="宋体"/>
                <w:kern w:val="0"/>
                <w:sz w:val="17"/>
                <w:szCs w:val="17"/>
              </w:rPr>
            </w:pPr>
            <w:r w:rsidRPr="00AC4931">
              <w:rPr>
                <w:rFonts w:ascii="宋体" w:eastAsia="宋体" w:hAnsi="宋体" w:cs="宋体"/>
                <w:kern w:val="0"/>
                <w:sz w:val="17"/>
                <w:szCs w:val="17"/>
              </w:rPr>
              <w:t> </w:t>
            </w:r>
          </w:p>
        </w:tc>
        <w:tc>
          <w:tcPr>
            <w:tcW w:w="4506" w:type="dxa"/>
            <w:hideMark/>
          </w:tcPr>
          <w:p w14:paraId="75C3C447" w14:textId="77777777" w:rsidR="00AC4931" w:rsidRPr="00AC4931" w:rsidRDefault="00AC4931" w:rsidP="00AC4931">
            <w:pPr>
              <w:widowControl/>
              <w:jc w:val="left"/>
              <w:rPr>
                <w:rFonts w:ascii="宋体" w:eastAsia="宋体" w:hAnsi="宋体" w:cs="宋体"/>
                <w:kern w:val="0"/>
                <w:sz w:val="17"/>
                <w:szCs w:val="17"/>
              </w:rPr>
            </w:pPr>
            <w:r w:rsidRPr="00AC4931">
              <w:rPr>
                <w:rFonts w:ascii="宋体" w:eastAsia="宋体" w:hAnsi="宋体" w:cs="宋体"/>
                <w:kern w:val="0"/>
                <w:sz w:val="17"/>
                <w:szCs w:val="17"/>
              </w:rPr>
              <w:t> </w:t>
            </w:r>
          </w:p>
        </w:tc>
        <w:tc>
          <w:tcPr>
            <w:tcW w:w="132" w:type="dxa"/>
            <w:hideMark/>
          </w:tcPr>
          <w:p w14:paraId="724DC03E" w14:textId="77777777" w:rsidR="00AC4931" w:rsidRPr="00AC4931" w:rsidRDefault="00AC4931" w:rsidP="00AC4931">
            <w:pPr>
              <w:widowControl/>
              <w:jc w:val="left"/>
              <w:rPr>
                <w:rFonts w:ascii="宋体" w:eastAsia="宋体" w:hAnsi="宋体" w:cs="宋体"/>
                <w:kern w:val="0"/>
                <w:sz w:val="17"/>
                <w:szCs w:val="17"/>
              </w:rPr>
            </w:pPr>
            <w:r w:rsidRPr="00AC4931">
              <w:rPr>
                <w:rFonts w:ascii="宋体" w:eastAsia="宋体" w:hAnsi="宋体" w:cs="宋体"/>
                <w:kern w:val="0"/>
                <w:sz w:val="17"/>
                <w:szCs w:val="17"/>
              </w:rPr>
              <w:t> </w:t>
            </w:r>
          </w:p>
        </w:tc>
        <w:tc>
          <w:tcPr>
            <w:tcW w:w="400" w:type="dxa"/>
            <w:hideMark/>
          </w:tcPr>
          <w:p w14:paraId="2BD4EC75" w14:textId="77777777" w:rsidR="00AC4931" w:rsidRPr="00AC4931" w:rsidRDefault="00AC4931" w:rsidP="00AC4931">
            <w:pPr>
              <w:widowControl/>
              <w:jc w:val="left"/>
              <w:rPr>
                <w:rFonts w:ascii="Times New Roman" w:eastAsia="宋体" w:hAnsi="Times New Roman" w:cs="Times New Roman"/>
                <w:kern w:val="0"/>
                <w:sz w:val="17"/>
                <w:szCs w:val="17"/>
              </w:rPr>
            </w:pPr>
            <w:r w:rsidRPr="00AC4931">
              <w:rPr>
                <w:rFonts w:ascii="Times New Roman" w:eastAsia="宋体" w:hAnsi="Times New Roman" w:cs="Times New Roman"/>
                <w:kern w:val="0"/>
                <w:sz w:val="17"/>
                <w:szCs w:val="17"/>
              </w:rPr>
              <w:t> </w:t>
            </w:r>
          </w:p>
        </w:tc>
      </w:tr>
    </w:tbl>
    <w:p w14:paraId="24AF0EF5"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6ADD9934" w14:textId="77777777" w:rsidR="00AC4931" w:rsidRPr="00AC4931" w:rsidRDefault="00AC4931" w:rsidP="00AC4931">
      <w:pPr>
        <w:widowControl/>
        <w:rPr>
          <w:rFonts w:ascii="Arial" w:eastAsia="宋体" w:hAnsi="Arial" w:cs="Arial" w:hint="eastAsia"/>
          <w:color w:val="000000"/>
          <w:kern w:val="0"/>
          <w:sz w:val="17"/>
          <w:szCs w:val="17"/>
        </w:rPr>
      </w:pPr>
      <w:r w:rsidRPr="00AC4931">
        <w:rPr>
          <w:rFonts w:ascii="Arial" w:eastAsia="宋体" w:hAnsi="Arial" w:cs="Arial"/>
          <w:color w:val="000000"/>
          <w:kern w:val="0"/>
          <w:sz w:val="17"/>
          <w:szCs w:val="17"/>
        </w:rPr>
        <w:t>If an emerging growth company, indicate by check mark if the registrant has elected not to use the extended transition period for complying with any new or revised financial accounting standards pursuant to Section 13(a) of the Exchange Act. </w:t>
      </w:r>
      <w:r w:rsidRPr="00AC4931">
        <w:rPr>
          <w:rFonts w:ascii="Segoe UI Symbol" w:eastAsia="宋体" w:hAnsi="Segoe UI Symbol" w:cs="Arial"/>
          <w:color w:val="000000"/>
          <w:kern w:val="0"/>
          <w:sz w:val="17"/>
          <w:szCs w:val="17"/>
        </w:rPr>
        <w:t>☐</w:t>
      </w:r>
    </w:p>
    <w:p w14:paraId="524B55AD" w14:textId="77777777" w:rsidR="00AC4931" w:rsidRPr="00AC4931" w:rsidRDefault="00AC4931" w:rsidP="00AC4931">
      <w:pPr>
        <w:widowControl/>
        <w:rPr>
          <w:rFonts w:ascii="微软雅黑" w:eastAsia="微软雅黑" w:hAnsi="微软雅黑" w:cs="宋体"/>
          <w:color w:val="000000"/>
          <w:kern w:val="0"/>
          <w:sz w:val="17"/>
          <w:szCs w:val="17"/>
        </w:rPr>
      </w:pPr>
      <w:r w:rsidRPr="00AC4931">
        <w:rPr>
          <w:rFonts w:ascii="微软雅黑" w:eastAsia="微软雅黑" w:hAnsi="微软雅黑" w:cs="宋体" w:hint="eastAsia"/>
          <w:color w:val="000000"/>
          <w:kern w:val="0"/>
          <w:sz w:val="17"/>
          <w:szCs w:val="17"/>
        </w:rPr>
        <w:t> </w:t>
      </w:r>
    </w:p>
    <w:p w14:paraId="2F22BC5E" w14:textId="77777777" w:rsidR="00AC4931" w:rsidRPr="00AC4931" w:rsidRDefault="00AC4931" w:rsidP="00AC4931">
      <w:pPr>
        <w:widowControl/>
        <w:rPr>
          <w:rFonts w:ascii="Arial" w:eastAsia="宋体" w:hAnsi="Arial" w:cs="Arial" w:hint="eastAsia"/>
          <w:color w:val="000000"/>
          <w:kern w:val="0"/>
          <w:sz w:val="17"/>
          <w:szCs w:val="17"/>
        </w:rPr>
      </w:pPr>
      <w:r w:rsidRPr="00AC4931">
        <w:rPr>
          <w:rFonts w:ascii="Arial" w:eastAsia="宋体" w:hAnsi="Arial" w:cs="Arial"/>
          <w:color w:val="000000"/>
          <w:kern w:val="0"/>
          <w:sz w:val="17"/>
          <w:szCs w:val="17"/>
        </w:rPr>
        <w:t>Indicate by check mark whether the registrant has filed a report on and attestation to its management</w:t>
      </w:r>
      <w:r w:rsidRPr="00AC4931">
        <w:rPr>
          <w:rFonts w:ascii="Arial" w:eastAsia="宋体" w:hAnsi="Arial" w:cs="Arial"/>
          <w:color w:val="000000"/>
          <w:spacing w:val="6"/>
          <w:kern w:val="0"/>
          <w:sz w:val="17"/>
          <w:szCs w:val="17"/>
        </w:rPr>
        <w:t>’s assessment of the effectiveness of its internal control over financial reporting under Section 404(b) of the Sarbanes-Oxley Act (15 U.S.C. 7262 (b)) by the registered public accounting firm that prepared or issued its audit report.</w:t>
      </w:r>
      <w:r w:rsidRPr="00AC4931">
        <w:rPr>
          <w:rFonts w:ascii="Arial" w:eastAsia="宋体" w:hAnsi="Arial" w:cs="Arial"/>
          <w:color w:val="000000"/>
          <w:kern w:val="0"/>
          <w:sz w:val="17"/>
          <w:szCs w:val="17"/>
        </w:rPr>
        <w:t> </w:t>
      </w:r>
      <w:r w:rsidRPr="00AC4931">
        <w:rPr>
          <w:rFonts w:ascii="Segoe UI Symbol" w:eastAsia="宋体" w:hAnsi="Segoe UI Symbol" w:cs="Arial"/>
          <w:color w:val="000000"/>
          <w:kern w:val="0"/>
          <w:sz w:val="17"/>
          <w:szCs w:val="17"/>
        </w:rPr>
        <w:t>☒</w:t>
      </w:r>
    </w:p>
    <w:p w14:paraId="62A138EA"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5E114FE2" w14:textId="77777777" w:rsidR="00AC4931" w:rsidRPr="00AC4931" w:rsidRDefault="00AC4931" w:rsidP="00AC4931">
      <w:pPr>
        <w:widowControl/>
        <w:rPr>
          <w:rFonts w:ascii="Arial" w:eastAsia="宋体" w:hAnsi="Arial" w:cs="Arial" w:hint="eastAsia"/>
          <w:color w:val="000000"/>
          <w:kern w:val="0"/>
          <w:sz w:val="17"/>
          <w:szCs w:val="17"/>
        </w:rPr>
      </w:pPr>
      <w:r w:rsidRPr="00AC4931">
        <w:rPr>
          <w:rFonts w:ascii="Arial" w:eastAsia="宋体" w:hAnsi="Arial" w:cs="Arial"/>
          <w:color w:val="000000"/>
          <w:kern w:val="0"/>
          <w:sz w:val="17"/>
          <w:szCs w:val="17"/>
        </w:rPr>
        <w:t>I</w:t>
      </w:r>
      <w:r w:rsidRPr="00AC4931">
        <w:rPr>
          <w:rFonts w:ascii="Arial" w:eastAsia="宋体" w:hAnsi="Arial" w:cs="Arial"/>
          <w:color w:val="000000"/>
          <w:spacing w:val="-1"/>
          <w:kern w:val="0"/>
          <w:sz w:val="17"/>
          <w:szCs w:val="17"/>
        </w:rPr>
        <w:t>nd</w:t>
      </w:r>
      <w:r w:rsidRPr="00AC4931">
        <w:rPr>
          <w:rFonts w:ascii="Arial" w:eastAsia="宋体" w:hAnsi="Arial" w:cs="Arial"/>
          <w:color w:val="000000"/>
          <w:spacing w:val="1"/>
          <w:kern w:val="0"/>
          <w:sz w:val="17"/>
          <w:szCs w:val="17"/>
        </w:rPr>
        <w:t>i</w:t>
      </w:r>
      <w:r w:rsidRPr="00AC4931">
        <w:rPr>
          <w:rFonts w:ascii="Arial" w:eastAsia="宋体" w:hAnsi="Arial" w:cs="Arial"/>
          <w:color w:val="000000"/>
          <w:spacing w:val="-1"/>
          <w:kern w:val="0"/>
          <w:sz w:val="17"/>
          <w:szCs w:val="17"/>
        </w:rPr>
        <w:t>ca</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e</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by</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check</w:t>
      </w:r>
      <w:r w:rsidRPr="00AC4931">
        <w:rPr>
          <w:rFonts w:ascii="Arial" w:eastAsia="宋体" w:hAnsi="Arial" w:cs="Arial"/>
          <w:color w:val="000000"/>
          <w:spacing w:val="10"/>
          <w:kern w:val="0"/>
          <w:sz w:val="17"/>
          <w:szCs w:val="17"/>
        </w:rPr>
        <w:t> </w:t>
      </w:r>
      <w:r w:rsidRPr="00AC4931">
        <w:rPr>
          <w:rFonts w:ascii="Arial" w:eastAsia="宋体" w:hAnsi="Arial" w:cs="Arial"/>
          <w:color w:val="000000"/>
          <w:kern w:val="0"/>
          <w:sz w:val="17"/>
          <w:szCs w:val="17"/>
        </w:rPr>
        <w:t>mark</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wheth</w:t>
      </w:r>
      <w:r w:rsidRPr="00AC4931">
        <w:rPr>
          <w:rFonts w:ascii="Arial" w:eastAsia="宋体" w:hAnsi="Arial" w:cs="Arial"/>
          <w:color w:val="000000"/>
          <w:spacing w:val="-1"/>
          <w:kern w:val="0"/>
          <w:sz w:val="17"/>
          <w:szCs w:val="17"/>
        </w:rPr>
        <w:t>e</w:t>
      </w:r>
      <w:r w:rsidRPr="00AC4931">
        <w:rPr>
          <w:rFonts w:ascii="Arial" w:eastAsia="宋体" w:hAnsi="Arial" w:cs="Arial"/>
          <w:color w:val="000000"/>
          <w:kern w:val="0"/>
          <w:sz w:val="17"/>
          <w:szCs w:val="17"/>
        </w:rPr>
        <w:t>r</w:t>
      </w:r>
      <w:r w:rsidRPr="00AC4931">
        <w:rPr>
          <w:rFonts w:ascii="Arial" w:eastAsia="宋体" w:hAnsi="Arial" w:cs="Arial"/>
          <w:color w:val="000000"/>
          <w:spacing w:val="13"/>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r</w:t>
      </w:r>
      <w:r w:rsidRPr="00AC4931">
        <w:rPr>
          <w:rFonts w:ascii="Arial" w:eastAsia="宋体" w:hAnsi="Arial" w:cs="Arial"/>
          <w:color w:val="000000"/>
          <w:spacing w:val="-3"/>
          <w:kern w:val="0"/>
          <w:sz w:val="17"/>
          <w:szCs w:val="17"/>
        </w:rPr>
        <w:t>e</w:t>
      </w:r>
      <w:r w:rsidRPr="00AC4931">
        <w:rPr>
          <w:rFonts w:ascii="Arial" w:eastAsia="宋体" w:hAnsi="Arial" w:cs="Arial"/>
          <w:color w:val="000000"/>
          <w:kern w:val="0"/>
          <w:sz w:val="17"/>
          <w:szCs w:val="17"/>
        </w:rPr>
        <w:t>gistrant</w:t>
      </w:r>
      <w:r w:rsidRPr="00AC4931">
        <w:rPr>
          <w:rFonts w:ascii="Arial" w:eastAsia="宋体" w:hAnsi="Arial" w:cs="Arial"/>
          <w:color w:val="000000"/>
          <w:spacing w:val="15"/>
          <w:kern w:val="0"/>
          <w:sz w:val="17"/>
          <w:szCs w:val="17"/>
        </w:rPr>
        <w:t> </w:t>
      </w:r>
      <w:r w:rsidRPr="00AC4931">
        <w:rPr>
          <w:rFonts w:ascii="Arial" w:eastAsia="宋体" w:hAnsi="Arial" w:cs="Arial"/>
          <w:color w:val="000000"/>
          <w:kern w:val="0"/>
          <w:sz w:val="17"/>
          <w:szCs w:val="17"/>
        </w:rPr>
        <w:t>is</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a</w:t>
      </w:r>
      <w:r w:rsidRPr="00AC4931">
        <w:rPr>
          <w:rFonts w:ascii="Arial" w:eastAsia="宋体" w:hAnsi="Arial" w:cs="Arial"/>
          <w:color w:val="000000"/>
          <w:spacing w:val="2"/>
          <w:kern w:val="0"/>
          <w:sz w:val="17"/>
          <w:szCs w:val="17"/>
        </w:rPr>
        <w:t> </w:t>
      </w:r>
      <w:r w:rsidRPr="00AC4931">
        <w:rPr>
          <w:rFonts w:ascii="Arial" w:eastAsia="宋体" w:hAnsi="Arial" w:cs="Arial"/>
          <w:color w:val="000000"/>
          <w:kern w:val="0"/>
          <w:sz w:val="17"/>
          <w:szCs w:val="17"/>
        </w:rPr>
        <w:t>shell</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compa</w:t>
      </w:r>
      <w:r w:rsidRPr="00AC4931">
        <w:rPr>
          <w:rFonts w:ascii="Arial" w:eastAsia="宋体" w:hAnsi="Arial" w:cs="Arial"/>
          <w:color w:val="000000"/>
          <w:spacing w:val="-2"/>
          <w:kern w:val="0"/>
          <w:sz w:val="17"/>
          <w:szCs w:val="17"/>
        </w:rPr>
        <w:t>n</w:t>
      </w:r>
      <w:r w:rsidRPr="00AC4931">
        <w:rPr>
          <w:rFonts w:ascii="Arial" w:eastAsia="宋体" w:hAnsi="Arial" w:cs="Arial"/>
          <w:color w:val="000000"/>
          <w:kern w:val="0"/>
          <w:sz w:val="17"/>
          <w:szCs w:val="17"/>
        </w:rPr>
        <w:t>y</w:t>
      </w:r>
      <w:r w:rsidRPr="00AC4931">
        <w:rPr>
          <w:rFonts w:ascii="Arial" w:eastAsia="宋体" w:hAnsi="Arial" w:cs="Arial"/>
          <w:color w:val="000000"/>
          <w:spacing w:val="16"/>
          <w:kern w:val="0"/>
          <w:sz w:val="17"/>
          <w:szCs w:val="17"/>
        </w:rPr>
        <w:t> </w:t>
      </w:r>
      <w:r w:rsidRPr="00AC4931">
        <w:rPr>
          <w:rFonts w:ascii="Arial" w:eastAsia="宋体" w:hAnsi="Arial" w:cs="Arial"/>
          <w:color w:val="000000"/>
          <w:kern w:val="0"/>
          <w:sz w:val="17"/>
          <w:szCs w:val="17"/>
        </w:rPr>
        <w:t>(as</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defined</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in</w:t>
      </w:r>
      <w:r w:rsidRPr="00AC4931">
        <w:rPr>
          <w:rFonts w:ascii="Arial" w:eastAsia="宋体" w:hAnsi="Arial" w:cs="Arial"/>
          <w:color w:val="000000"/>
          <w:spacing w:val="3"/>
          <w:kern w:val="0"/>
          <w:sz w:val="17"/>
          <w:szCs w:val="17"/>
        </w:rPr>
        <w:t> </w:t>
      </w:r>
      <w:r w:rsidRPr="00AC4931">
        <w:rPr>
          <w:rFonts w:ascii="Arial" w:eastAsia="宋体" w:hAnsi="Arial" w:cs="Arial"/>
          <w:color w:val="000000"/>
          <w:kern w:val="0"/>
          <w:sz w:val="17"/>
          <w:szCs w:val="17"/>
        </w:rPr>
        <w:t>Rule</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12b-2</w:t>
      </w:r>
      <w:r w:rsidRPr="00AC4931">
        <w:rPr>
          <w:rFonts w:ascii="Arial" w:eastAsia="宋体" w:hAnsi="Arial" w:cs="Arial"/>
          <w:color w:val="000000"/>
          <w:spacing w:val="9"/>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Act).    Yes:  </w:t>
      </w:r>
      <w:r w:rsidRPr="00AC4931">
        <w:rPr>
          <w:rFonts w:ascii="Segoe UI Symbol" w:eastAsia="宋体" w:hAnsi="Segoe UI Symbol" w:cs="Arial"/>
          <w:color w:val="000000"/>
          <w:kern w:val="0"/>
          <w:sz w:val="17"/>
          <w:szCs w:val="17"/>
        </w:rPr>
        <w:t>☐</w:t>
      </w:r>
      <w:r w:rsidRPr="00AC4931">
        <w:rPr>
          <w:rFonts w:ascii="Arial" w:eastAsia="宋体" w:hAnsi="Arial" w:cs="Arial"/>
          <w:color w:val="000000"/>
          <w:kern w:val="0"/>
          <w:sz w:val="17"/>
          <w:szCs w:val="17"/>
        </w:rPr>
        <w:t>   </w:t>
      </w:r>
      <w:r w:rsidRPr="00AC4931">
        <w:rPr>
          <w:rFonts w:ascii="Arial" w:eastAsia="宋体" w:hAnsi="Arial" w:cs="Arial"/>
          <w:color w:val="000000"/>
          <w:spacing w:val="-1"/>
          <w:kern w:val="0"/>
          <w:sz w:val="17"/>
          <w:szCs w:val="17"/>
        </w:rPr>
        <w:t>No</w:t>
      </w:r>
      <w:r w:rsidRPr="00AC4931">
        <w:rPr>
          <w:rFonts w:ascii="Arial" w:eastAsia="宋体" w:hAnsi="Arial" w:cs="Arial"/>
          <w:color w:val="000000"/>
          <w:kern w:val="0"/>
          <w:sz w:val="17"/>
          <w:szCs w:val="17"/>
        </w:rPr>
        <w:t>:  </w:t>
      </w:r>
      <w:r w:rsidRPr="00AC4931">
        <w:rPr>
          <w:rFonts w:ascii="Segoe UI Symbol" w:eastAsia="宋体" w:hAnsi="Segoe UI Symbol" w:cs="Arial"/>
          <w:color w:val="000000"/>
          <w:kern w:val="0"/>
          <w:sz w:val="17"/>
          <w:szCs w:val="17"/>
        </w:rPr>
        <w:t>☒</w:t>
      </w:r>
    </w:p>
    <w:p w14:paraId="59327A00"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007F373B" w14:textId="77777777" w:rsidR="00AC4931" w:rsidRPr="00AC4931" w:rsidRDefault="00AC4931" w:rsidP="00AC4931">
      <w:pPr>
        <w:widowControl/>
        <w:rPr>
          <w:rFonts w:ascii="Arial" w:eastAsia="宋体" w:hAnsi="Arial" w:cs="Arial" w:hint="eastAsia"/>
          <w:color w:val="000000"/>
          <w:kern w:val="0"/>
          <w:sz w:val="17"/>
          <w:szCs w:val="17"/>
        </w:rPr>
      </w:pPr>
      <w:r w:rsidRPr="00AC4931">
        <w:rPr>
          <w:rFonts w:ascii="Arial" w:eastAsia="宋体" w:hAnsi="Arial" w:cs="Arial"/>
          <w:color w:val="000000"/>
          <w:kern w:val="0"/>
          <w:sz w:val="17"/>
          <w:szCs w:val="17"/>
        </w:rPr>
        <w:t>The</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aggrega</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e</w:t>
      </w:r>
      <w:r w:rsidRPr="00AC4931">
        <w:rPr>
          <w:rFonts w:ascii="Arial" w:eastAsia="宋体" w:hAnsi="Arial" w:cs="Arial"/>
          <w:color w:val="000000"/>
          <w:spacing w:val="15"/>
          <w:kern w:val="0"/>
          <w:sz w:val="17"/>
          <w:szCs w:val="17"/>
        </w:rPr>
        <w:t> </w:t>
      </w:r>
      <w:r w:rsidRPr="00AC4931">
        <w:rPr>
          <w:rFonts w:ascii="Arial" w:eastAsia="宋体" w:hAnsi="Arial" w:cs="Arial"/>
          <w:color w:val="000000"/>
          <w:kern w:val="0"/>
          <w:sz w:val="17"/>
          <w:szCs w:val="17"/>
        </w:rPr>
        <w:t>market</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value</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voting</w:t>
      </w:r>
      <w:r w:rsidRPr="00AC4931">
        <w:rPr>
          <w:rFonts w:ascii="Arial" w:eastAsia="宋体" w:hAnsi="Arial" w:cs="Arial"/>
          <w:color w:val="000000"/>
          <w:spacing w:val="11"/>
          <w:kern w:val="0"/>
          <w:sz w:val="17"/>
          <w:szCs w:val="17"/>
        </w:rPr>
        <w:t> </w:t>
      </w:r>
      <w:r w:rsidRPr="00AC4931">
        <w:rPr>
          <w:rFonts w:ascii="Arial" w:eastAsia="宋体" w:hAnsi="Arial" w:cs="Arial"/>
          <w:color w:val="000000"/>
          <w:spacing w:val="-1"/>
          <w:kern w:val="0"/>
          <w:sz w:val="17"/>
          <w:szCs w:val="17"/>
        </w:rPr>
        <w:t>a</w:t>
      </w:r>
      <w:r w:rsidRPr="00AC4931">
        <w:rPr>
          <w:rFonts w:ascii="Arial" w:eastAsia="宋体" w:hAnsi="Arial" w:cs="Arial"/>
          <w:color w:val="000000"/>
          <w:kern w:val="0"/>
          <w:sz w:val="17"/>
          <w:szCs w:val="17"/>
        </w:rPr>
        <w:t>nd</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non-vo</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ing</w:t>
      </w:r>
      <w:r w:rsidRPr="00AC4931">
        <w:rPr>
          <w:rFonts w:ascii="Arial" w:eastAsia="宋体" w:hAnsi="Arial" w:cs="Arial"/>
          <w:color w:val="000000"/>
          <w:spacing w:val="17"/>
          <w:kern w:val="0"/>
          <w:sz w:val="17"/>
          <w:szCs w:val="17"/>
        </w:rPr>
        <w:t> </w:t>
      </w:r>
      <w:r w:rsidRPr="00AC4931">
        <w:rPr>
          <w:rFonts w:ascii="Arial" w:eastAsia="宋体" w:hAnsi="Arial" w:cs="Arial"/>
          <w:color w:val="000000"/>
          <w:kern w:val="0"/>
          <w:sz w:val="17"/>
          <w:szCs w:val="17"/>
        </w:rPr>
        <w:t>common</w:t>
      </w:r>
      <w:r w:rsidRPr="00AC4931">
        <w:rPr>
          <w:rFonts w:ascii="Arial" w:eastAsia="宋体" w:hAnsi="Arial" w:cs="Arial"/>
          <w:color w:val="000000"/>
          <w:spacing w:val="13"/>
          <w:kern w:val="0"/>
          <w:sz w:val="17"/>
          <w:szCs w:val="17"/>
        </w:rPr>
        <w:t> </w:t>
      </w:r>
      <w:r w:rsidRPr="00AC4931">
        <w:rPr>
          <w:rFonts w:ascii="Arial" w:eastAsia="宋体" w:hAnsi="Arial" w:cs="Arial"/>
          <w:color w:val="000000"/>
          <w:kern w:val="0"/>
          <w:sz w:val="17"/>
          <w:szCs w:val="17"/>
        </w:rPr>
        <w:t>equi</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y</w:t>
      </w:r>
      <w:r w:rsidRPr="00AC4931">
        <w:rPr>
          <w:rFonts w:ascii="Arial" w:eastAsia="宋体" w:hAnsi="Arial" w:cs="Arial"/>
          <w:color w:val="000000"/>
          <w:spacing w:val="10"/>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3"/>
          <w:kern w:val="0"/>
          <w:sz w:val="17"/>
          <w:szCs w:val="17"/>
        </w:rPr>
        <w:t> </w:t>
      </w:r>
      <w:r w:rsidRPr="00AC4931">
        <w:rPr>
          <w:rFonts w:ascii="Arial" w:eastAsia="宋体" w:hAnsi="Arial" w:cs="Arial"/>
          <w:color w:val="000000"/>
          <w:kern w:val="0"/>
          <w:sz w:val="17"/>
          <w:szCs w:val="17"/>
        </w:rPr>
        <w:t>Auto</w:t>
      </w:r>
      <w:r w:rsidRPr="00AC4931">
        <w:rPr>
          <w:rFonts w:ascii="Arial" w:eastAsia="宋体" w:hAnsi="Arial" w:cs="Arial"/>
          <w:color w:val="000000"/>
          <w:spacing w:val="1"/>
          <w:kern w:val="0"/>
          <w:sz w:val="17"/>
          <w:szCs w:val="17"/>
        </w:rPr>
        <w:t>l</w:t>
      </w:r>
      <w:r w:rsidRPr="00AC4931">
        <w:rPr>
          <w:rFonts w:ascii="Arial" w:eastAsia="宋体" w:hAnsi="Arial" w:cs="Arial"/>
          <w:color w:val="000000"/>
          <w:kern w:val="0"/>
          <w:sz w:val="17"/>
          <w:szCs w:val="17"/>
        </w:rPr>
        <w:t>iv,</w:t>
      </w:r>
      <w:r w:rsidRPr="00AC4931">
        <w:rPr>
          <w:rFonts w:ascii="Arial" w:eastAsia="宋体" w:hAnsi="Arial" w:cs="Arial"/>
          <w:color w:val="000000"/>
          <w:spacing w:val="14"/>
          <w:kern w:val="0"/>
          <w:sz w:val="17"/>
          <w:szCs w:val="17"/>
        </w:rPr>
        <w:t> </w:t>
      </w:r>
      <w:r w:rsidRPr="00AC4931">
        <w:rPr>
          <w:rFonts w:ascii="Arial" w:eastAsia="宋体" w:hAnsi="Arial" w:cs="Arial"/>
          <w:color w:val="000000"/>
          <w:kern w:val="0"/>
          <w:sz w:val="17"/>
          <w:szCs w:val="17"/>
        </w:rPr>
        <w:t>Inc.</w:t>
      </w:r>
      <w:r w:rsidRPr="00AC4931">
        <w:rPr>
          <w:rFonts w:ascii="Arial" w:eastAsia="宋体" w:hAnsi="Arial" w:cs="Arial"/>
          <w:color w:val="000000"/>
          <w:spacing w:val="7"/>
          <w:kern w:val="0"/>
          <w:sz w:val="17"/>
          <w:szCs w:val="17"/>
        </w:rPr>
        <w:t> </w:t>
      </w:r>
      <w:r w:rsidRPr="00AC4931">
        <w:rPr>
          <w:rFonts w:ascii="Arial" w:eastAsia="宋体" w:hAnsi="Arial" w:cs="Arial"/>
          <w:color w:val="000000"/>
          <w:kern w:val="0"/>
          <w:sz w:val="17"/>
          <w:szCs w:val="17"/>
        </w:rPr>
        <w:t>he</w:t>
      </w:r>
      <w:r w:rsidRPr="00AC4931">
        <w:rPr>
          <w:rFonts w:ascii="Arial" w:eastAsia="宋体" w:hAnsi="Arial" w:cs="Arial"/>
          <w:color w:val="000000"/>
          <w:spacing w:val="1"/>
          <w:kern w:val="0"/>
          <w:sz w:val="17"/>
          <w:szCs w:val="17"/>
        </w:rPr>
        <w:t>l</w:t>
      </w:r>
      <w:r w:rsidRPr="00AC4931">
        <w:rPr>
          <w:rFonts w:ascii="Arial" w:eastAsia="宋体" w:hAnsi="Arial" w:cs="Arial"/>
          <w:color w:val="000000"/>
          <w:kern w:val="0"/>
          <w:sz w:val="17"/>
          <w:szCs w:val="17"/>
        </w:rPr>
        <w:t>d</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by</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non-aff</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lia</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es</w:t>
      </w:r>
      <w:r w:rsidRPr="00AC4931">
        <w:rPr>
          <w:rFonts w:ascii="Arial" w:eastAsia="宋体" w:hAnsi="Arial" w:cs="Arial"/>
          <w:color w:val="000000"/>
          <w:spacing w:val="21"/>
          <w:kern w:val="0"/>
          <w:sz w:val="17"/>
          <w:szCs w:val="17"/>
        </w:rPr>
        <w:t> </w:t>
      </w:r>
      <w:r w:rsidRPr="00AC4931">
        <w:rPr>
          <w:rFonts w:ascii="Arial" w:eastAsia="宋体" w:hAnsi="Arial" w:cs="Arial"/>
          <w:color w:val="000000"/>
          <w:kern w:val="0"/>
          <w:sz w:val="17"/>
          <w:szCs w:val="17"/>
        </w:rPr>
        <w:t>as</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5"/>
          <w:kern w:val="0"/>
          <w:sz w:val="17"/>
          <w:szCs w:val="17"/>
        </w:rPr>
        <w:t> </w:t>
      </w:r>
      <w:r w:rsidRPr="00AC4931">
        <w:rPr>
          <w:rFonts w:ascii="Arial" w:eastAsia="宋体" w:hAnsi="Arial" w:cs="Arial"/>
          <w:color w:val="000000"/>
          <w:spacing w:val="1"/>
          <w:kern w:val="0"/>
          <w:sz w:val="17"/>
          <w:szCs w:val="17"/>
        </w:rPr>
        <w:t>l</w:t>
      </w:r>
      <w:r w:rsidRPr="00AC4931">
        <w:rPr>
          <w:rFonts w:ascii="Arial" w:eastAsia="宋体" w:hAnsi="Arial" w:cs="Arial"/>
          <w:color w:val="000000"/>
          <w:kern w:val="0"/>
          <w:sz w:val="17"/>
          <w:szCs w:val="17"/>
        </w:rPr>
        <w:t>ast</w:t>
      </w:r>
      <w:r w:rsidRPr="00AC4931">
        <w:rPr>
          <w:rFonts w:ascii="Arial" w:eastAsia="宋体" w:hAnsi="Arial" w:cs="Arial"/>
          <w:color w:val="000000"/>
          <w:spacing w:val="6"/>
          <w:kern w:val="0"/>
          <w:sz w:val="17"/>
          <w:szCs w:val="17"/>
        </w:rPr>
        <w:t> </w:t>
      </w:r>
      <w:r w:rsidRPr="00AC4931">
        <w:rPr>
          <w:rFonts w:ascii="Arial" w:eastAsia="宋体" w:hAnsi="Arial" w:cs="Arial"/>
          <w:color w:val="000000"/>
          <w:kern w:val="0"/>
          <w:sz w:val="17"/>
          <w:szCs w:val="17"/>
        </w:rPr>
        <w:t>b</w:t>
      </w:r>
      <w:r w:rsidRPr="00AC4931">
        <w:rPr>
          <w:rFonts w:ascii="Arial" w:eastAsia="宋体" w:hAnsi="Arial" w:cs="Arial"/>
          <w:color w:val="000000"/>
          <w:spacing w:val="-7"/>
          <w:kern w:val="0"/>
          <w:sz w:val="17"/>
          <w:szCs w:val="17"/>
        </w:rPr>
        <w:t>u</w:t>
      </w:r>
      <w:r w:rsidRPr="00AC4931">
        <w:rPr>
          <w:rFonts w:ascii="Arial" w:eastAsia="宋体" w:hAnsi="Arial" w:cs="Arial"/>
          <w:color w:val="000000"/>
          <w:kern w:val="0"/>
          <w:sz w:val="17"/>
          <w:szCs w:val="17"/>
        </w:rPr>
        <w:t>sine</w:t>
      </w:r>
      <w:r w:rsidRPr="00AC4931">
        <w:rPr>
          <w:rFonts w:ascii="Arial" w:eastAsia="宋体" w:hAnsi="Arial" w:cs="Arial"/>
          <w:color w:val="000000"/>
          <w:spacing w:val="-1"/>
          <w:kern w:val="0"/>
          <w:sz w:val="17"/>
          <w:szCs w:val="17"/>
        </w:rPr>
        <w:t>s</w:t>
      </w:r>
      <w:r w:rsidRPr="00AC4931">
        <w:rPr>
          <w:rFonts w:ascii="Arial" w:eastAsia="宋体" w:hAnsi="Arial" w:cs="Arial"/>
          <w:color w:val="000000"/>
          <w:kern w:val="0"/>
          <w:sz w:val="17"/>
          <w:szCs w:val="17"/>
        </w:rPr>
        <w:t>s day</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the</w:t>
      </w:r>
      <w:r w:rsidRPr="00AC4931">
        <w:rPr>
          <w:rFonts w:ascii="Arial" w:eastAsia="宋体" w:hAnsi="Arial" w:cs="Arial"/>
          <w:color w:val="000000"/>
          <w:spacing w:val="5"/>
          <w:kern w:val="0"/>
          <w:sz w:val="17"/>
          <w:szCs w:val="17"/>
        </w:rPr>
        <w:t> </w:t>
      </w:r>
      <w:r w:rsidRPr="00AC4931">
        <w:rPr>
          <w:rFonts w:ascii="Arial" w:eastAsia="宋体" w:hAnsi="Arial" w:cs="Arial"/>
          <w:color w:val="000000"/>
          <w:kern w:val="0"/>
          <w:sz w:val="17"/>
          <w:szCs w:val="17"/>
        </w:rPr>
        <w:t>second</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fiscal</w:t>
      </w:r>
      <w:r w:rsidRPr="00AC4931">
        <w:rPr>
          <w:rFonts w:ascii="Arial" w:eastAsia="宋体" w:hAnsi="Arial" w:cs="Arial"/>
          <w:color w:val="000000"/>
          <w:spacing w:val="9"/>
          <w:kern w:val="0"/>
          <w:sz w:val="17"/>
          <w:szCs w:val="17"/>
        </w:rPr>
        <w:t> </w:t>
      </w:r>
      <w:r w:rsidRPr="00AC4931">
        <w:rPr>
          <w:rFonts w:ascii="Arial" w:eastAsia="宋体" w:hAnsi="Arial" w:cs="Arial"/>
          <w:color w:val="000000"/>
          <w:kern w:val="0"/>
          <w:sz w:val="17"/>
          <w:szCs w:val="17"/>
        </w:rPr>
        <w:t>quar</w:t>
      </w:r>
      <w:r w:rsidRPr="00AC4931">
        <w:rPr>
          <w:rFonts w:ascii="Arial" w:eastAsia="宋体" w:hAnsi="Arial" w:cs="Arial"/>
          <w:color w:val="000000"/>
          <w:spacing w:val="1"/>
          <w:kern w:val="0"/>
          <w:sz w:val="17"/>
          <w:szCs w:val="17"/>
        </w:rPr>
        <w:t>t</w:t>
      </w:r>
      <w:r w:rsidRPr="00AC4931">
        <w:rPr>
          <w:rFonts w:ascii="Arial" w:eastAsia="宋体" w:hAnsi="Arial" w:cs="Arial"/>
          <w:color w:val="000000"/>
          <w:spacing w:val="-1"/>
          <w:kern w:val="0"/>
          <w:sz w:val="17"/>
          <w:szCs w:val="17"/>
        </w:rPr>
        <w:t>e</w:t>
      </w:r>
      <w:r w:rsidRPr="00AC4931">
        <w:rPr>
          <w:rFonts w:ascii="Arial" w:eastAsia="宋体" w:hAnsi="Arial" w:cs="Arial"/>
          <w:color w:val="000000"/>
          <w:kern w:val="0"/>
          <w:sz w:val="17"/>
          <w:szCs w:val="17"/>
        </w:rPr>
        <w:t>r</w:t>
      </w:r>
      <w:r w:rsidRPr="00AC4931">
        <w:rPr>
          <w:rFonts w:ascii="Arial" w:eastAsia="宋体" w:hAnsi="Arial" w:cs="Arial"/>
          <w:color w:val="000000"/>
          <w:spacing w:val="12"/>
          <w:kern w:val="0"/>
          <w:sz w:val="17"/>
          <w:szCs w:val="17"/>
        </w:rPr>
        <w:t> </w:t>
      </w:r>
      <w:r w:rsidRPr="00AC4931">
        <w:rPr>
          <w:rFonts w:ascii="Arial" w:eastAsia="宋体" w:hAnsi="Arial" w:cs="Arial"/>
          <w:color w:val="000000"/>
          <w:kern w:val="0"/>
          <w:sz w:val="17"/>
          <w:szCs w:val="17"/>
        </w:rPr>
        <w:t>of</w:t>
      </w:r>
      <w:r w:rsidRPr="00AC4931">
        <w:rPr>
          <w:rFonts w:ascii="Arial" w:eastAsia="宋体" w:hAnsi="Arial" w:cs="Arial"/>
          <w:color w:val="000000"/>
          <w:spacing w:val="3"/>
          <w:kern w:val="0"/>
          <w:sz w:val="17"/>
          <w:szCs w:val="17"/>
        </w:rPr>
        <w:t> </w:t>
      </w:r>
      <w:r w:rsidRPr="00AC4931">
        <w:rPr>
          <w:rFonts w:ascii="Arial" w:eastAsia="宋体" w:hAnsi="Arial" w:cs="Arial"/>
          <w:color w:val="000000"/>
          <w:kern w:val="0"/>
          <w:sz w:val="17"/>
          <w:szCs w:val="17"/>
        </w:rPr>
        <w:t>2020</w:t>
      </w:r>
      <w:r w:rsidRPr="00AC4931">
        <w:rPr>
          <w:rFonts w:ascii="Arial" w:eastAsia="宋体" w:hAnsi="Arial" w:cs="Arial"/>
          <w:color w:val="000000"/>
          <w:spacing w:val="8"/>
          <w:kern w:val="0"/>
          <w:sz w:val="17"/>
          <w:szCs w:val="17"/>
        </w:rPr>
        <w:t> </w:t>
      </w:r>
      <w:r w:rsidRPr="00AC4931">
        <w:rPr>
          <w:rFonts w:ascii="Arial" w:eastAsia="宋体" w:hAnsi="Arial" w:cs="Arial"/>
          <w:color w:val="000000"/>
          <w:kern w:val="0"/>
          <w:sz w:val="17"/>
          <w:szCs w:val="17"/>
        </w:rPr>
        <w:t>amounted</w:t>
      </w:r>
      <w:r w:rsidRPr="00AC4931">
        <w:rPr>
          <w:rFonts w:ascii="Arial" w:eastAsia="宋体" w:hAnsi="Arial" w:cs="Arial"/>
          <w:color w:val="000000"/>
          <w:spacing w:val="17"/>
          <w:kern w:val="0"/>
          <w:sz w:val="17"/>
          <w:szCs w:val="17"/>
        </w:rPr>
        <w:t> </w:t>
      </w:r>
      <w:r w:rsidRPr="00AC4931">
        <w:rPr>
          <w:rFonts w:ascii="Arial" w:eastAsia="宋体" w:hAnsi="Arial" w:cs="Arial"/>
          <w:color w:val="000000"/>
          <w:spacing w:val="1"/>
          <w:kern w:val="0"/>
          <w:sz w:val="17"/>
          <w:szCs w:val="17"/>
        </w:rPr>
        <w:t>t</w:t>
      </w:r>
      <w:r w:rsidRPr="00AC4931">
        <w:rPr>
          <w:rFonts w:ascii="Arial" w:eastAsia="宋体" w:hAnsi="Arial" w:cs="Arial"/>
          <w:color w:val="000000"/>
          <w:kern w:val="0"/>
          <w:sz w:val="17"/>
          <w:szCs w:val="17"/>
        </w:rPr>
        <w:t>o</w:t>
      </w:r>
      <w:r w:rsidRPr="00AC4931">
        <w:rPr>
          <w:rFonts w:ascii="Arial" w:eastAsia="宋体" w:hAnsi="Arial" w:cs="Arial"/>
          <w:color w:val="000000"/>
          <w:spacing w:val="4"/>
          <w:kern w:val="0"/>
          <w:sz w:val="17"/>
          <w:szCs w:val="17"/>
        </w:rPr>
        <w:t> </w:t>
      </w:r>
      <w:r w:rsidRPr="00AC4931">
        <w:rPr>
          <w:rFonts w:ascii="Arial" w:eastAsia="宋体" w:hAnsi="Arial" w:cs="Arial"/>
          <w:color w:val="000000"/>
          <w:kern w:val="0"/>
          <w:sz w:val="17"/>
          <w:szCs w:val="17"/>
        </w:rPr>
        <w:t>$5,634</w:t>
      </w:r>
      <w:r w:rsidRPr="00AC4931">
        <w:rPr>
          <w:rFonts w:ascii="Arial" w:eastAsia="宋体" w:hAnsi="Arial" w:cs="Arial"/>
          <w:color w:val="000000"/>
          <w:spacing w:val="11"/>
          <w:kern w:val="0"/>
          <w:sz w:val="17"/>
          <w:szCs w:val="17"/>
        </w:rPr>
        <w:t> </w:t>
      </w:r>
      <w:r w:rsidRPr="00AC4931">
        <w:rPr>
          <w:rFonts w:ascii="Arial" w:eastAsia="宋体" w:hAnsi="Arial" w:cs="Arial"/>
          <w:color w:val="000000"/>
          <w:kern w:val="0"/>
          <w:sz w:val="17"/>
          <w:szCs w:val="17"/>
        </w:rPr>
        <w:t>m</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ll</w:t>
      </w:r>
      <w:r w:rsidRPr="00AC4931">
        <w:rPr>
          <w:rFonts w:ascii="Arial" w:eastAsia="宋体" w:hAnsi="Arial" w:cs="Arial"/>
          <w:color w:val="000000"/>
          <w:spacing w:val="1"/>
          <w:kern w:val="0"/>
          <w:sz w:val="17"/>
          <w:szCs w:val="17"/>
        </w:rPr>
        <w:t>i</w:t>
      </w:r>
      <w:r w:rsidRPr="00AC4931">
        <w:rPr>
          <w:rFonts w:ascii="Arial" w:eastAsia="宋体" w:hAnsi="Arial" w:cs="Arial"/>
          <w:color w:val="000000"/>
          <w:kern w:val="0"/>
          <w:sz w:val="17"/>
          <w:szCs w:val="17"/>
        </w:rPr>
        <w:t>on.</w:t>
      </w:r>
    </w:p>
    <w:p w14:paraId="2B76951F"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7F439310" w14:textId="77777777" w:rsidR="00AC4931" w:rsidRPr="00AC4931" w:rsidRDefault="00AC4931" w:rsidP="00AC4931">
      <w:pPr>
        <w:widowControl/>
        <w:rPr>
          <w:rFonts w:ascii="Arial" w:eastAsia="宋体" w:hAnsi="Arial" w:cs="Arial" w:hint="eastAsia"/>
          <w:color w:val="000000"/>
          <w:spacing w:val="-1"/>
          <w:kern w:val="0"/>
          <w:sz w:val="17"/>
          <w:szCs w:val="17"/>
        </w:rPr>
      </w:pPr>
      <w:r w:rsidRPr="00AC4931">
        <w:rPr>
          <w:rFonts w:ascii="Arial" w:eastAsia="宋体" w:hAnsi="Arial" w:cs="Arial"/>
          <w:color w:val="000000"/>
          <w:spacing w:val="-1"/>
          <w:kern w:val="0"/>
          <w:sz w:val="17"/>
          <w:szCs w:val="17"/>
        </w:rPr>
        <w:t>Number</w:t>
      </w:r>
      <w:r w:rsidRPr="00AC4931">
        <w:rPr>
          <w:rFonts w:ascii="Arial" w:eastAsia="宋体" w:hAnsi="Arial" w:cs="Arial"/>
          <w:color w:val="000000"/>
          <w:spacing w:val="13"/>
          <w:kern w:val="0"/>
          <w:sz w:val="17"/>
          <w:szCs w:val="17"/>
        </w:rPr>
        <w:t> </w:t>
      </w:r>
      <w:r w:rsidRPr="00AC4931">
        <w:rPr>
          <w:rFonts w:ascii="Arial" w:eastAsia="宋体" w:hAnsi="Arial" w:cs="Arial"/>
          <w:color w:val="000000"/>
          <w:spacing w:val="-1"/>
          <w:kern w:val="0"/>
          <w:sz w:val="17"/>
          <w:szCs w:val="17"/>
        </w:rPr>
        <w:t>of</w:t>
      </w:r>
      <w:r w:rsidRPr="00AC4931">
        <w:rPr>
          <w:rFonts w:ascii="Arial" w:eastAsia="宋体" w:hAnsi="Arial" w:cs="Arial"/>
          <w:color w:val="000000"/>
          <w:spacing w:val="3"/>
          <w:kern w:val="0"/>
          <w:sz w:val="17"/>
          <w:szCs w:val="17"/>
        </w:rPr>
        <w:t> </w:t>
      </w:r>
      <w:r w:rsidRPr="00AC4931">
        <w:rPr>
          <w:rFonts w:ascii="Arial" w:eastAsia="宋体" w:hAnsi="Arial" w:cs="Arial"/>
          <w:color w:val="000000"/>
          <w:spacing w:val="-1"/>
          <w:kern w:val="0"/>
          <w:sz w:val="17"/>
          <w:szCs w:val="17"/>
        </w:rPr>
        <w:t>shares</w:t>
      </w:r>
      <w:r w:rsidRPr="00AC4931">
        <w:rPr>
          <w:rFonts w:ascii="Arial" w:eastAsia="宋体" w:hAnsi="Arial" w:cs="Arial"/>
          <w:color w:val="000000"/>
          <w:spacing w:val="10"/>
          <w:kern w:val="0"/>
          <w:sz w:val="17"/>
          <w:szCs w:val="17"/>
        </w:rPr>
        <w:t> </w:t>
      </w:r>
      <w:r w:rsidRPr="00AC4931">
        <w:rPr>
          <w:rFonts w:ascii="Arial" w:eastAsia="宋体" w:hAnsi="Arial" w:cs="Arial"/>
          <w:color w:val="000000"/>
          <w:spacing w:val="-1"/>
          <w:kern w:val="0"/>
          <w:sz w:val="17"/>
          <w:szCs w:val="17"/>
        </w:rPr>
        <w:t>of</w:t>
      </w:r>
      <w:r w:rsidRPr="00AC4931">
        <w:rPr>
          <w:rFonts w:ascii="Arial" w:eastAsia="宋体" w:hAnsi="Arial" w:cs="Arial"/>
          <w:color w:val="000000"/>
          <w:spacing w:val="4"/>
          <w:kern w:val="0"/>
          <w:sz w:val="17"/>
          <w:szCs w:val="17"/>
        </w:rPr>
        <w:t> </w:t>
      </w:r>
      <w:r w:rsidRPr="00AC4931">
        <w:rPr>
          <w:rFonts w:ascii="Arial" w:eastAsia="宋体" w:hAnsi="Arial" w:cs="Arial"/>
          <w:color w:val="000000"/>
          <w:spacing w:val="-1"/>
          <w:kern w:val="0"/>
          <w:sz w:val="17"/>
          <w:szCs w:val="17"/>
        </w:rPr>
        <w:t>Common</w:t>
      </w:r>
      <w:r w:rsidRPr="00AC4931">
        <w:rPr>
          <w:rFonts w:ascii="Arial" w:eastAsia="宋体" w:hAnsi="Arial" w:cs="Arial"/>
          <w:color w:val="000000"/>
          <w:spacing w:val="15"/>
          <w:kern w:val="0"/>
          <w:sz w:val="17"/>
          <w:szCs w:val="17"/>
        </w:rPr>
        <w:t> </w:t>
      </w:r>
      <w:r w:rsidRPr="00AC4931">
        <w:rPr>
          <w:rFonts w:ascii="Arial" w:eastAsia="宋体" w:hAnsi="Arial" w:cs="Arial"/>
          <w:color w:val="000000"/>
          <w:spacing w:val="-1"/>
          <w:kern w:val="0"/>
          <w:sz w:val="17"/>
          <w:szCs w:val="17"/>
        </w:rPr>
        <w:t>Stock</w:t>
      </w:r>
      <w:r w:rsidRPr="00AC4931">
        <w:rPr>
          <w:rFonts w:ascii="Arial" w:eastAsia="宋体" w:hAnsi="Arial" w:cs="Arial"/>
          <w:color w:val="000000"/>
          <w:spacing w:val="9"/>
          <w:kern w:val="0"/>
          <w:sz w:val="17"/>
          <w:szCs w:val="17"/>
        </w:rPr>
        <w:t> </w:t>
      </w:r>
      <w:r w:rsidRPr="00AC4931">
        <w:rPr>
          <w:rFonts w:ascii="Arial" w:eastAsia="宋体" w:hAnsi="Arial" w:cs="Arial"/>
          <w:color w:val="000000"/>
          <w:spacing w:val="-1"/>
          <w:kern w:val="0"/>
          <w:sz w:val="17"/>
          <w:szCs w:val="17"/>
        </w:rPr>
        <w:t>outs</w:t>
      </w:r>
      <w:r w:rsidRPr="00AC4931">
        <w:rPr>
          <w:rFonts w:ascii="Arial" w:eastAsia="宋体" w:hAnsi="Arial" w:cs="Arial"/>
          <w:color w:val="000000"/>
          <w:spacing w:val="1"/>
          <w:kern w:val="0"/>
          <w:sz w:val="17"/>
          <w:szCs w:val="17"/>
        </w:rPr>
        <w:t>t</w:t>
      </w:r>
      <w:r w:rsidRPr="00AC4931">
        <w:rPr>
          <w:rFonts w:ascii="Arial" w:eastAsia="宋体" w:hAnsi="Arial" w:cs="Arial"/>
          <w:color w:val="000000"/>
          <w:spacing w:val="-1"/>
          <w:kern w:val="0"/>
          <w:sz w:val="17"/>
          <w:szCs w:val="17"/>
        </w:rPr>
        <w:t>and</w:t>
      </w:r>
      <w:r w:rsidRPr="00AC4931">
        <w:rPr>
          <w:rFonts w:ascii="Arial" w:eastAsia="宋体" w:hAnsi="Arial" w:cs="Arial"/>
          <w:color w:val="000000"/>
          <w:spacing w:val="1"/>
          <w:kern w:val="0"/>
          <w:sz w:val="17"/>
          <w:szCs w:val="17"/>
        </w:rPr>
        <w:t>i</w:t>
      </w:r>
      <w:r w:rsidRPr="00AC4931">
        <w:rPr>
          <w:rFonts w:ascii="Arial" w:eastAsia="宋体" w:hAnsi="Arial" w:cs="Arial"/>
          <w:color w:val="000000"/>
          <w:spacing w:val="-1"/>
          <w:kern w:val="0"/>
          <w:sz w:val="17"/>
          <w:szCs w:val="17"/>
        </w:rPr>
        <w:t>ng</w:t>
      </w:r>
      <w:r w:rsidRPr="00AC4931">
        <w:rPr>
          <w:rFonts w:ascii="Arial" w:eastAsia="宋体" w:hAnsi="Arial" w:cs="Arial"/>
          <w:color w:val="000000"/>
          <w:spacing w:val="19"/>
          <w:kern w:val="0"/>
          <w:sz w:val="17"/>
          <w:szCs w:val="17"/>
        </w:rPr>
        <w:t> </w:t>
      </w:r>
      <w:r w:rsidRPr="00AC4931">
        <w:rPr>
          <w:rFonts w:ascii="Arial" w:eastAsia="宋体" w:hAnsi="Arial" w:cs="Arial"/>
          <w:color w:val="000000"/>
          <w:spacing w:val="-1"/>
          <w:kern w:val="0"/>
          <w:sz w:val="17"/>
          <w:szCs w:val="17"/>
        </w:rPr>
        <w:t>as</w:t>
      </w:r>
      <w:r w:rsidRPr="00AC4931">
        <w:rPr>
          <w:rFonts w:ascii="Arial" w:eastAsia="宋体" w:hAnsi="Arial" w:cs="Arial"/>
          <w:color w:val="000000"/>
          <w:spacing w:val="3"/>
          <w:kern w:val="0"/>
          <w:sz w:val="17"/>
          <w:szCs w:val="17"/>
        </w:rPr>
        <w:t> </w:t>
      </w:r>
      <w:r w:rsidRPr="00AC4931">
        <w:rPr>
          <w:rFonts w:ascii="Arial" w:eastAsia="宋体" w:hAnsi="Arial" w:cs="Arial"/>
          <w:color w:val="000000"/>
          <w:spacing w:val="-1"/>
          <w:kern w:val="0"/>
          <w:sz w:val="17"/>
          <w:szCs w:val="17"/>
        </w:rPr>
        <w:t>of</w:t>
      </w:r>
      <w:r w:rsidRPr="00AC4931">
        <w:rPr>
          <w:rFonts w:ascii="Arial" w:eastAsia="宋体" w:hAnsi="Arial" w:cs="Arial"/>
          <w:color w:val="000000"/>
          <w:spacing w:val="4"/>
          <w:kern w:val="0"/>
          <w:sz w:val="17"/>
          <w:szCs w:val="17"/>
        </w:rPr>
        <w:t> </w:t>
      </w:r>
      <w:r w:rsidRPr="00AC4931">
        <w:rPr>
          <w:rFonts w:ascii="Arial" w:eastAsia="宋体" w:hAnsi="Arial" w:cs="Arial"/>
          <w:color w:val="000000"/>
          <w:spacing w:val="-1"/>
          <w:kern w:val="0"/>
          <w:sz w:val="17"/>
          <w:szCs w:val="17"/>
        </w:rPr>
        <w:t>February</w:t>
      </w:r>
      <w:r w:rsidRPr="00AC4931">
        <w:rPr>
          <w:rFonts w:ascii="Arial" w:eastAsia="宋体" w:hAnsi="Arial" w:cs="Arial"/>
          <w:color w:val="000000"/>
          <w:spacing w:val="14"/>
          <w:kern w:val="0"/>
          <w:sz w:val="17"/>
          <w:szCs w:val="17"/>
        </w:rPr>
        <w:t> </w:t>
      </w:r>
      <w:r w:rsidRPr="00AC4931">
        <w:rPr>
          <w:rFonts w:ascii="Arial" w:eastAsia="宋体" w:hAnsi="Arial" w:cs="Arial"/>
          <w:color w:val="000000"/>
          <w:spacing w:val="-1"/>
          <w:kern w:val="0"/>
          <w:sz w:val="17"/>
          <w:szCs w:val="17"/>
        </w:rPr>
        <w:t>10,</w:t>
      </w:r>
      <w:r w:rsidRPr="00AC4931">
        <w:rPr>
          <w:rFonts w:ascii="Arial" w:eastAsia="宋体" w:hAnsi="Arial" w:cs="Arial"/>
          <w:color w:val="000000"/>
          <w:spacing w:val="5"/>
          <w:kern w:val="0"/>
          <w:sz w:val="17"/>
          <w:szCs w:val="17"/>
        </w:rPr>
        <w:t> </w:t>
      </w:r>
      <w:r w:rsidRPr="00AC4931">
        <w:rPr>
          <w:rFonts w:ascii="Arial" w:eastAsia="宋体" w:hAnsi="Arial" w:cs="Arial"/>
          <w:color w:val="000000"/>
          <w:spacing w:val="-1"/>
          <w:kern w:val="0"/>
          <w:sz w:val="17"/>
          <w:szCs w:val="17"/>
        </w:rPr>
        <w:t>2021:</w:t>
      </w:r>
      <w:r w:rsidRPr="00AC4931">
        <w:rPr>
          <w:rFonts w:ascii="Arial" w:eastAsia="宋体" w:hAnsi="Arial" w:cs="Arial"/>
          <w:color w:val="000000"/>
          <w:spacing w:val="10"/>
          <w:kern w:val="0"/>
          <w:sz w:val="17"/>
          <w:szCs w:val="17"/>
        </w:rPr>
        <w:t> </w:t>
      </w:r>
      <w:r w:rsidRPr="00AC4931">
        <w:rPr>
          <w:rFonts w:ascii="Arial" w:eastAsia="宋体" w:hAnsi="Arial" w:cs="Arial"/>
          <w:color w:val="000000"/>
          <w:spacing w:val="-1"/>
          <w:kern w:val="0"/>
          <w:sz w:val="17"/>
          <w:szCs w:val="17"/>
        </w:rPr>
        <w:t>87,362,501.</w:t>
      </w:r>
    </w:p>
    <w:p w14:paraId="5E6DB91F" w14:textId="77777777" w:rsidR="00AC4931" w:rsidRPr="00AC4931" w:rsidRDefault="00AC4931" w:rsidP="00AC4931">
      <w:pPr>
        <w:widowControl/>
        <w:jc w:val="center"/>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p w14:paraId="3263B680" w14:textId="77777777" w:rsidR="00AC4931" w:rsidRPr="00AC4931" w:rsidRDefault="00AC4931" w:rsidP="00AC4931">
      <w:pPr>
        <w:widowControl/>
        <w:jc w:val="center"/>
        <w:rPr>
          <w:rFonts w:ascii="Arial" w:eastAsia="宋体" w:hAnsi="Arial" w:cs="Arial" w:hint="eastAsia"/>
          <w:b/>
          <w:bCs/>
          <w:kern w:val="0"/>
          <w:sz w:val="17"/>
          <w:szCs w:val="17"/>
        </w:rPr>
      </w:pPr>
      <w:r w:rsidRPr="00AC4931">
        <w:rPr>
          <w:rFonts w:ascii="Arial" w:eastAsia="宋体" w:hAnsi="Arial" w:cs="Arial"/>
          <w:b/>
          <w:bCs/>
          <w:kern w:val="0"/>
          <w:sz w:val="17"/>
          <w:szCs w:val="17"/>
        </w:rPr>
        <w:t>D</w:t>
      </w:r>
      <w:r w:rsidRPr="00AC4931">
        <w:rPr>
          <w:rFonts w:ascii="Arial" w:eastAsia="宋体" w:hAnsi="Arial" w:cs="Arial"/>
          <w:b/>
          <w:bCs/>
          <w:spacing w:val="-1"/>
          <w:kern w:val="0"/>
          <w:sz w:val="17"/>
          <w:szCs w:val="17"/>
        </w:rPr>
        <w:t>O</w:t>
      </w:r>
      <w:r w:rsidRPr="00AC4931">
        <w:rPr>
          <w:rFonts w:ascii="Arial" w:eastAsia="宋体" w:hAnsi="Arial" w:cs="Arial"/>
          <w:b/>
          <w:bCs/>
          <w:kern w:val="0"/>
          <w:sz w:val="17"/>
          <w:szCs w:val="17"/>
        </w:rPr>
        <w:t>CUMENTS</w:t>
      </w:r>
      <w:r w:rsidRPr="00AC4931">
        <w:rPr>
          <w:rFonts w:ascii="Arial" w:eastAsia="宋体" w:hAnsi="Arial" w:cs="Arial"/>
          <w:b/>
          <w:bCs/>
          <w:spacing w:val="25"/>
          <w:kern w:val="0"/>
          <w:sz w:val="17"/>
          <w:szCs w:val="17"/>
        </w:rPr>
        <w:t> </w:t>
      </w:r>
      <w:r w:rsidRPr="00AC4931">
        <w:rPr>
          <w:rFonts w:ascii="Arial" w:eastAsia="宋体" w:hAnsi="Arial" w:cs="Arial"/>
          <w:b/>
          <w:bCs/>
          <w:kern w:val="0"/>
          <w:sz w:val="17"/>
          <w:szCs w:val="17"/>
        </w:rPr>
        <w:t>INC</w:t>
      </w:r>
      <w:r w:rsidRPr="00AC4931">
        <w:rPr>
          <w:rFonts w:ascii="Arial" w:eastAsia="宋体" w:hAnsi="Arial" w:cs="Arial"/>
          <w:b/>
          <w:bCs/>
          <w:spacing w:val="-1"/>
          <w:kern w:val="0"/>
          <w:sz w:val="17"/>
          <w:szCs w:val="17"/>
        </w:rPr>
        <w:t>O</w:t>
      </w:r>
      <w:r w:rsidRPr="00AC4931">
        <w:rPr>
          <w:rFonts w:ascii="Arial" w:eastAsia="宋体" w:hAnsi="Arial" w:cs="Arial"/>
          <w:b/>
          <w:bCs/>
          <w:kern w:val="0"/>
          <w:sz w:val="17"/>
          <w:szCs w:val="17"/>
        </w:rPr>
        <w:t>R</w:t>
      </w:r>
      <w:r w:rsidRPr="00AC4931">
        <w:rPr>
          <w:rFonts w:ascii="Arial" w:eastAsia="宋体" w:hAnsi="Arial" w:cs="Arial"/>
          <w:b/>
          <w:bCs/>
          <w:spacing w:val="-1"/>
          <w:kern w:val="0"/>
          <w:sz w:val="17"/>
          <w:szCs w:val="17"/>
        </w:rPr>
        <w:t>P</w:t>
      </w:r>
      <w:r w:rsidRPr="00AC4931">
        <w:rPr>
          <w:rFonts w:ascii="Arial" w:eastAsia="宋体" w:hAnsi="Arial" w:cs="Arial"/>
          <w:b/>
          <w:bCs/>
          <w:kern w:val="0"/>
          <w:sz w:val="17"/>
          <w:szCs w:val="17"/>
        </w:rPr>
        <w:t>ORATED</w:t>
      </w:r>
      <w:r w:rsidRPr="00AC4931">
        <w:rPr>
          <w:rFonts w:ascii="Arial" w:eastAsia="宋体" w:hAnsi="Arial" w:cs="Arial"/>
          <w:b/>
          <w:bCs/>
          <w:spacing w:val="32"/>
          <w:kern w:val="0"/>
          <w:sz w:val="17"/>
          <w:szCs w:val="17"/>
        </w:rPr>
        <w:t> </w:t>
      </w:r>
      <w:r w:rsidRPr="00AC4931">
        <w:rPr>
          <w:rFonts w:ascii="Arial" w:eastAsia="宋体" w:hAnsi="Arial" w:cs="Arial"/>
          <w:b/>
          <w:bCs/>
          <w:kern w:val="0"/>
          <w:sz w:val="17"/>
          <w:szCs w:val="17"/>
        </w:rPr>
        <w:t>BY</w:t>
      </w:r>
      <w:r w:rsidRPr="00AC4931">
        <w:rPr>
          <w:rFonts w:ascii="Arial" w:eastAsia="宋体" w:hAnsi="Arial" w:cs="Arial"/>
          <w:b/>
          <w:bCs/>
          <w:spacing w:val="6"/>
          <w:kern w:val="0"/>
          <w:sz w:val="17"/>
          <w:szCs w:val="17"/>
        </w:rPr>
        <w:t> </w:t>
      </w:r>
      <w:r w:rsidRPr="00AC4931">
        <w:rPr>
          <w:rFonts w:ascii="Arial" w:eastAsia="宋体" w:hAnsi="Arial" w:cs="Arial"/>
          <w:b/>
          <w:bCs/>
          <w:kern w:val="0"/>
          <w:sz w:val="17"/>
          <w:szCs w:val="17"/>
        </w:rPr>
        <w:t>REFERENCE</w:t>
      </w:r>
    </w:p>
    <w:p w14:paraId="365D16F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p w14:paraId="2C4763CA" w14:textId="77777777" w:rsidR="00AC4931" w:rsidRPr="00AC4931" w:rsidRDefault="00AC4931" w:rsidP="00AC4931">
      <w:pPr>
        <w:widowControl/>
        <w:rPr>
          <w:rFonts w:ascii="Arial" w:eastAsia="宋体" w:hAnsi="Arial" w:cs="Arial"/>
          <w:kern w:val="0"/>
          <w:sz w:val="17"/>
          <w:szCs w:val="17"/>
        </w:rPr>
      </w:pPr>
      <w:r w:rsidRPr="00AC4931">
        <w:rPr>
          <w:rFonts w:ascii="Arial" w:eastAsia="宋体" w:hAnsi="Arial" w:cs="Arial"/>
          <w:kern w:val="0"/>
          <w:sz w:val="17"/>
          <w:szCs w:val="17"/>
        </w:rPr>
        <w:lastRenderedPageBreak/>
        <w:t>Por</w:t>
      </w:r>
      <w:r w:rsidRPr="00AC4931">
        <w:rPr>
          <w:rFonts w:ascii="Arial" w:eastAsia="宋体" w:hAnsi="Arial" w:cs="Arial"/>
          <w:spacing w:val="1"/>
          <w:kern w:val="0"/>
          <w:sz w:val="17"/>
          <w:szCs w:val="17"/>
        </w:rPr>
        <w:t>t</w:t>
      </w:r>
      <w:r w:rsidRPr="00AC4931">
        <w:rPr>
          <w:rFonts w:ascii="Arial" w:eastAsia="宋体" w:hAnsi="Arial" w:cs="Arial"/>
          <w:kern w:val="0"/>
          <w:sz w:val="17"/>
          <w:szCs w:val="17"/>
        </w:rPr>
        <w:t>ions</w:t>
      </w:r>
      <w:r w:rsidRPr="00AC4931">
        <w:rPr>
          <w:rFonts w:ascii="Arial" w:eastAsia="宋体" w:hAnsi="Arial" w:cs="Arial"/>
          <w:spacing w:val="14"/>
          <w:kern w:val="0"/>
          <w:sz w:val="17"/>
          <w:szCs w:val="17"/>
        </w:rPr>
        <w:t> </w:t>
      </w:r>
      <w:r w:rsidRPr="00AC4931">
        <w:rPr>
          <w:rFonts w:ascii="Arial" w:eastAsia="宋体" w:hAnsi="Arial" w:cs="Arial"/>
          <w:kern w:val="0"/>
          <w:sz w:val="17"/>
          <w:szCs w:val="17"/>
        </w:rPr>
        <w:t>of</w:t>
      </w:r>
      <w:r w:rsidRPr="00AC4931">
        <w:rPr>
          <w:rFonts w:ascii="Arial" w:eastAsia="宋体" w:hAnsi="Arial" w:cs="Arial"/>
          <w:spacing w:val="4"/>
          <w:kern w:val="0"/>
          <w:sz w:val="17"/>
          <w:szCs w:val="17"/>
        </w:rPr>
        <w:t> </w:t>
      </w:r>
      <w:r w:rsidRPr="00AC4931">
        <w:rPr>
          <w:rFonts w:ascii="Arial" w:eastAsia="宋体" w:hAnsi="Arial" w:cs="Arial"/>
          <w:kern w:val="0"/>
          <w:sz w:val="17"/>
          <w:szCs w:val="17"/>
        </w:rPr>
        <w:t>the</w:t>
      </w:r>
      <w:r w:rsidRPr="00AC4931">
        <w:rPr>
          <w:rFonts w:ascii="Arial" w:eastAsia="宋体" w:hAnsi="Arial" w:cs="Arial"/>
          <w:spacing w:val="6"/>
          <w:kern w:val="0"/>
          <w:sz w:val="17"/>
          <w:szCs w:val="17"/>
        </w:rPr>
        <w:t> registrant’s </w:t>
      </w:r>
      <w:r w:rsidRPr="00AC4931">
        <w:rPr>
          <w:rFonts w:ascii="Arial" w:eastAsia="宋体" w:hAnsi="Arial" w:cs="Arial"/>
          <w:kern w:val="0"/>
          <w:sz w:val="17"/>
          <w:szCs w:val="17"/>
        </w:rPr>
        <w:t>defin</w:t>
      </w:r>
      <w:r w:rsidRPr="00AC4931">
        <w:rPr>
          <w:rFonts w:ascii="Arial" w:eastAsia="宋体" w:hAnsi="Arial" w:cs="Arial"/>
          <w:spacing w:val="1"/>
          <w:kern w:val="0"/>
          <w:sz w:val="17"/>
          <w:szCs w:val="17"/>
        </w:rPr>
        <w:t>i</w:t>
      </w:r>
      <w:r w:rsidRPr="00AC4931">
        <w:rPr>
          <w:rFonts w:ascii="Arial" w:eastAsia="宋体" w:hAnsi="Arial" w:cs="Arial"/>
          <w:kern w:val="0"/>
          <w:sz w:val="17"/>
          <w:szCs w:val="17"/>
        </w:rPr>
        <w:t>tive</w:t>
      </w:r>
      <w:r w:rsidRPr="00AC4931">
        <w:rPr>
          <w:rFonts w:ascii="Arial" w:eastAsia="宋体" w:hAnsi="Arial" w:cs="Arial"/>
          <w:spacing w:val="16"/>
          <w:kern w:val="0"/>
          <w:sz w:val="17"/>
          <w:szCs w:val="17"/>
        </w:rPr>
        <w:t> </w:t>
      </w:r>
      <w:r w:rsidRPr="00AC4931">
        <w:rPr>
          <w:rFonts w:ascii="Arial" w:eastAsia="宋体" w:hAnsi="Arial" w:cs="Arial"/>
          <w:kern w:val="0"/>
          <w:sz w:val="17"/>
          <w:szCs w:val="17"/>
        </w:rPr>
        <w:t>Proxy</w:t>
      </w:r>
      <w:r w:rsidRPr="00AC4931">
        <w:rPr>
          <w:rFonts w:ascii="Arial" w:eastAsia="宋体" w:hAnsi="Arial" w:cs="Arial"/>
          <w:spacing w:val="10"/>
          <w:kern w:val="0"/>
          <w:sz w:val="17"/>
          <w:szCs w:val="17"/>
        </w:rPr>
        <w:t> </w:t>
      </w:r>
      <w:r w:rsidRPr="00AC4931">
        <w:rPr>
          <w:rFonts w:ascii="Arial" w:eastAsia="宋体" w:hAnsi="Arial" w:cs="Arial"/>
          <w:kern w:val="0"/>
          <w:sz w:val="17"/>
          <w:szCs w:val="17"/>
        </w:rPr>
        <w:t>Stateme</w:t>
      </w:r>
      <w:r w:rsidRPr="00AC4931">
        <w:rPr>
          <w:rFonts w:ascii="Arial" w:eastAsia="宋体" w:hAnsi="Arial" w:cs="Arial"/>
          <w:spacing w:val="-1"/>
          <w:kern w:val="0"/>
          <w:sz w:val="17"/>
          <w:szCs w:val="17"/>
        </w:rPr>
        <w:t>n</w:t>
      </w:r>
      <w:r w:rsidRPr="00AC4931">
        <w:rPr>
          <w:rFonts w:ascii="Arial" w:eastAsia="宋体" w:hAnsi="Arial" w:cs="Arial"/>
          <w:kern w:val="0"/>
          <w:sz w:val="17"/>
          <w:szCs w:val="17"/>
        </w:rPr>
        <w:t>t</w:t>
      </w:r>
      <w:r w:rsidRPr="00AC4931">
        <w:rPr>
          <w:rFonts w:ascii="Arial" w:eastAsia="宋体" w:hAnsi="Arial" w:cs="Arial"/>
          <w:spacing w:val="16"/>
          <w:kern w:val="0"/>
          <w:sz w:val="17"/>
          <w:szCs w:val="17"/>
        </w:rPr>
        <w:t> </w:t>
      </w:r>
      <w:r w:rsidRPr="00AC4931">
        <w:rPr>
          <w:rFonts w:ascii="Arial" w:eastAsia="宋体" w:hAnsi="Arial" w:cs="Arial"/>
          <w:kern w:val="0"/>
          <w:sz w:val="17"/>
          <w:szCs w:val="17"/>
        </w:rPr>
        <w:t>for</w:t>
      </w:r>
      <w:r w:rsidRPr="00AC4931">
        <w:rPr>
          <w:rFonts w:ascii="Arial" w:eastAsia="宋体" w:hAnsi="Arial" w:cs="Arial"/>
          <w:spacing w:val="4"/>
          <w:kern w:val="0"/>
          <w:sz w:val="17"/>
          <w:szCs w:val="17"/>
        </w:rPr>
        <w:t> </w:t>
      </w:r>
      <w:r w:rsidRPr="00AC4931">
        <w:rPr>
          <w:rFonts w:ascii="Arial" w:eastAsia="宋体" w:hAnsi="Arial" w:cs="Arial"/>
          <w:spacing w:val="1"/>
          <w:kern w:val="0"/>
          <w:sz w:val="17"/>
          <w:szCs w:val="17"/>
        </w:rPr>
        <w:t>t</w:t>
      </w:r>
      <w:r w:rsidRPr="00AC4931">
        <w:rPr>
          <w:rFonts w:ascii="Arial" w:eastAsia="宋体" w:hAnsi="Arial" w:cs="Arial"/>
          <w:spacing w:val="-1"/>
          <w:kern w:val="0"/>
          <w:sz w:val="17"/>
          <w:szCs w:val="17"/>
        </w:rPr>
        <w:t>h</w:t>
      </w:r>
      <w:r w:rsidRPr="00AC4931">
        <w:rPr>
          <w:rFonts w:ascii="Arial" w:eastAsia="宋体" w:hAnsi="Arial" w:cs="Arial"/>
          <w:kern w:val="0"/>
          <w:sz w:val="17"/>
          <w:szCs w:val="17"/>
        </w:rPr>
        <w:t>e</w:t>
      </w:r>
      <w:r w:rsidRPr="00AC4931">
        <w:rPr>
          <w:rFonts w:ascii="Arial" w:eastAsia="宋体" w:hAnsi="Arial" w:cs="Arial"/>
          <w:spacing w:val="6"/>
          <w:kern w:val="0"/>
          <w:sz w:val="17"/>
          <w:szCs w:val="17"/>
        </w:rPr>
        <w:t> </w:t>
      </w:r>
      <w:r w:rsidRPr="00AC4931">
        <w:rPr>
          <w:rFonts w:ascii="Arial" w:eastAsia="宋体" w:hAnsi="Arial" w:cs="Arial"/>
          <w:kern w:val="0"/>
          <w:sz w:val="17"/>
          <w:szCs w:val="17"/>
        </w:rPr>
        <w:t>annual</w:t>
      </w:r>
      <w:r w:rsidRPr="00AC4931">
        <w:rPr>
          <w:rFonts w:ascii="Arial" w:eastAsia="宋体" w:hAnsi="Arial" w:cs="Arial"/>
          <w:spacing w:val="10"/>
          <w:kern w:val="0"/>
          <w:sz w:val="17"/>
          <w:szCs w:val="17"/>
        </w:rPr>
        <w:t> </w:t>
      </w:r>
      <w:r w:rsidRPr="00AC4931">
        <w:rPr>
          <w:rFonts w:ascii="Arial" w:eastAsia="宋体" w:hAnsi="Arial" w:cs="Arial"/>
          <w:kern w:val="0"/>
          <w:sz w:val="17"/>
          <w:szCs w:val="17"/>
        </w:rPr>
        <w:t>s</w:t>
      </w:r>
      <w:r w:rsidRPr="00AC4931">
        <w:rPr>
          <w:rFonts w:ascii="Arial" w:eastAsia="宋体" w:hAnsi="Arial" w:cs="Arial"/>
          <w:spacing w:val="1"/>
          <w:kern w:val="0"/>
          <w:sz w:val="17"/>
          <w:szCs w:val="17"/>
        </w:rPr>
        <w:t>t</w:t>
      </w:r>
      <w:r w:rsidRPr="00AC4931">
        <w:rPr>
          <w:rFonts w:ascii="Arial" w:eastAsia="宋体" w:hAnsi="Arial" w:cs="Arial"/>
          <w:kern w:val="0"/>
          <w:sz w:val="17"/>
          <w:szCs w:val="17"/>
        </w:rPr>
        <w:t>ockholders’</w:t>
      </w:r>
      <w:r w:rsidRPr="00AC4931">
        <w:rPr>
          <w:rFonts w:ascii="Arial" w:eastAsia="宋体" w:hAnsi="Arial" w:cs="Arial"/>
          <w:spacing w:val="21"/>
          <w:kern w:val="0"/>
          <w:sz w:val="17"/>
          <w:szCs w:val="17"/>
        </w:rPr>
        <w:t> </w:t>
      </w:r>
      <w:r w:rsidRPr="00AC4931">
        <w:rPr>
          <w:rFonts w:ascii="Arial" w:eastAsia="宋体" w:hAnsi="Arial" w:cs="Arial"/>
          <w:kern w:val="0"/>
          <w:sz w:val="17"/>
          <w:szCs w:val="17"/>
        </w:rPr>
        <w:t>meeting</w:t>
      </w:r>
      <w:r w:rsidRPr="00AC4931">
        <w:rPr>
          <w:rFonts w:ascii="Arial" w:eastAsia="宋体" w:hAnsi="Arial" w:cs="Arial"/>
          <w:spacing w:val="13"/>
          <w:kern w:val="0"/>
          <w:sz w:val="17"/>
          <w:szCs w:val="17"/>
        </w:rPr>
        <w:t> </w:t>
      </w:r>
      <w:r w:rsidRPr="00AC4931">
        <w:rPr>
          <w:rFonts w:ascii="Arial" w:eastAsia="宋体" w:hAnsi="Arial" w:cs="Arial"/>
          <w:kern w:val="0"/>
          <w:sz w:val="17"/>
          <w:szCs w:val="17"/>
        </w:rPr>
        <w:t>to</w:t>
      </w:r>
      <w:r w:rsidRPr="00AC4931">
        <w:rPr>
          <w:rFonts w:ascii="Arial" w:eastAsia="宋体" w:hAnsi="Arial" w:cs="Arial"/>
          <w:spacing w:val="4"/>
          <w:kern w:val="0"/>
          <w:sz w:val="17"/>
          <w:szCs w:val="17"/>
        </w:rPr>
        <w:t> </w:t>
      </w:r>
      <w:r w:rsidRPr="00AC4931">
        <w:rPr>
          <w:rFonts w:ascii="Arial" w:eastAsia="宋体" w:hAnsi="Arial" w:cs="Arial"/>
          <w:kern w:val="0"/>
          <w:sz w:val="17"/>
          <w:szCs w:val="17"/>
        </w:rPr>
        <w:t>be</w:t>
      </w:r>
      <w:r w:rsidRPr="00AC4931">
        <w:rPr>
          <w:rFonts w:ascii="Arial" w:eastAsia="宋体" w:hAnsi="Arial" w:cs="Arial"/>
          <w:spacing w:val="5"/>
          <w:kern w:val="0"/>
          <w:sz w:val="17"/>
          <w:szCs w:val="17"/>
        </w:rPr>
        <w:t> </w:t>
      </w:r>
      <w:r w:rsidRPr="00AC4931">
        <w:rPr>
          <w:rFonts w:ascii="Arial" w:eastAsia="宋体" w:hAnsi="Arial" w:cs="Arial"/>
          <w:kern w:val="0"/>
          <w:sz w:val="17"/>
          <w:szCs w:val="17"/>
        </w:rPr>
        <w:t>he</w:t>
      </w:r>
      <w:r w:rsidRPr="00AC4931">
        <w:rPr>
          <w:rFonts w:ascii="Arial" w:eastAsia="宋体" w:hAnsi="Arial" w:cs="Arial"/>
          <w:spacing w:val="1"/>
          <w:kern w:val="0"/>
          <w:sz w:val="17"/>
          <w:szCs w:val="17"/>
        </w:rPr>
        <w:t>l</w:t>
      </w:r>
      <w:r w:rsidRPr="00AC4931">
        <w:rPr>
          <w:rFonts w:ascii="Arial" w:eastAsia="宋体" w:hAnsi="Arial" w:cs="Arial"/>
          <w:kern w:val="0"/>
          <w:sz w:val="17"/>
          <w:szCs w:val="17"/>
        </w:rPr>
        <w:t>d</w:t>
      </w:r>
      <w:r w:rsidRPr="00AC4931">
        <w:rPr>
          <w:rFonts w:ascii="Arial" w:eastAsia="宋体" w:hAnsi="Arial" w:cs="Arial"/>
          <w:spacing w:val="8"/>
          <w:kern w:val="0"/>
          <w:sz w:val="17"/>
          <w:szCs w:val="17"/>
        </w:rPr>
        <w:t> </w:t>
      </w:r>
      <w:r w:rsidRPr="00AC4931">
        <w:rPr>
          <w:rFonts w:ascii="Arial" w:eastAsia="宋体" w:hAnsi="Arial" w:cs="Arial"/>
          <w:kern w:val="0"/>
          <w:sz w:val="17"/>
          <w:szCs w:val="17"/>
        </w:rPr>
        <w:t>on</w:t>
      </w:r>
      <w:r w:rsidRPr="00AC4931">
        <w:rPr>
          <w:rFonts w:ascii="Arial" w:eastAsia="宋体" w:hAnsi="Arial" w:cs="Arial"/>
          <w:spacing w:val="5"/>
          <w:kern w:val="0"/>
          <w:sz w:val="17"/>
          <w:szCs w:val="17"/>
        </w:rPr>
        <w:t> </w:t>
      </w:r>
      <w:r w:rsidRPr="00AC4931">
        <w:rPr>
          <w:rFonts w:ascii="Arial" w:eastAsia="宋体" w:hAnsi="Arial" w:cs="Arial"/>
          <w:kern w:val="0"/>
          <w:sz w:val="17"/>
          <w:szCs w:val="17"/>
        </w:rPr>
        <w:t>May</w:t>
      </w:r>
      <w:r w:rsidRPr="00AC4931">
        <w:rPr>
          <w:rFonts w:ascii="Arial" w:eastAsia="宋体" w:hAnsi="Arial" w:cs="Arial"/>
          <w:spacing w:val="8"/>
          <w:kern w:val="0"/>
          <w:sz w:val="17"/>
          <w:szCs w:val="17"/>
        </w:rPr>
        <w:t> </w:t>
      </w:r>
      <w:r w:rsidRPr="00AC4931">
        <w:rPr>
          <w:rFonts w:ascii="Arial" w:eastAsia="宋体" w:hAnsi="Arial" w:cs="Arial"/>
          <w:kern w:val="0"/>
          <w:sz w:val="17"/>
          <w:szCs w:val="17"/>
        </w:rPr>
        <w:t>12,</w:t>
      </w:r>
      <w:r w:rsidRPr="00AC4931">
        <w:rPr>
          <w:rFonts w:ascii="Arial" w:eastAsia="宋体" w:hAnsi="Arial" w:cs="Arial"/>
          <w:spacing w:val="4"/>
          <w:kern w:val="0"/>
          <w:sz w:val="17"/>
          <w:szCs w:val="17"/>
        </w:rPr>
        <w:t> </w:t>
      </w:r>
      <w:r w:rsidRPr="00AC4931">
        <w:rPr>
          <w:rFonts w:ascii="Arial" w:eastAsia="宋体" w:hAnsi="Arial" w:cs="Arial"/>
          <w:kern w:val="0"/>
          <w:sz w:val="17"/>
          <w:szCs w:val="17"/>
        </w:rPr>
        <w:t>2021,</w:t>
      </w:r>
      <w:r w:rsidRPr="00AC4931">
        <w:rPr>
          <w:rFonts w:ascii="Arial" w:eastAsia="宋体" w:hAnsi="Arial" w:cs="Arial"/>
          <w:spacing w:val="10"/>
          <w:kern w:val="0"/>
          <w:sz w:val="17"/>
          <w:szCs w:val="17"/>
        </w:rPr>
        <w:t> </w:t>
      </w:r>
      <w:r w:rsidRPr="00AC4931">
        <w:rPr>
          <w:rFonts w:ascii="Arial" w:eastAsia="宋体" w:hAnsi="Arial" w:cs="Arial"/>
          <w:kern w:val="0"/>
          <w:sz w:val="17"/>
          <w:szCs w:val="17"/>
        </w:rPr>
        <w:t>to</w:t>
      </w:r>
      <w:r w:rsidRPr="00AC4931">
        <w:rPr>
          <w:rFonts w:ascii="Arial" w:eastAsia="宋体" w:hAnsi="Arial" w:cs="Arial"/>
          <w:spacing w:val="4"/>
          <w:kern w:val="0"/>
          <w:sz w:val="17"/>
          <w:szCs w:val="17"/>
        </w:rPr>
        <w:t> </w:t>
      </w:r>
      <w:r w:rsidRPr="00AC4931">
        <w:rPr>
          <w:rFonts w:ascii="Arial" w:eastAsia="宋体" w:hAnsi="Arial" w:cs="Arial"/>
          <w:kern w:val="0"/>
          <w:sz w:val="17"/>
          <w:szCs w:val="17"/>
        </w:rPr>
        <w:t>be</w:t>
      </w:r>
      <w:r w:rsidRPr="00AC4931">
        <w:rPr>
          <w:rFonts w:ascii="Arial" w:eastAsia="宋体" w:hAnsi="Arial" w:cs="Arial"/>
          <w:spacing w:val="5"/>
          <w:kern w:val="0"/>
          <w:sz w:val="17"/>
          <w:szCs w:val="17"/>
        </w:rPr>
        <w:t> </w:t>
      </w:r>
      <w:r w:rsidRPr="00AC4931">
        <w:rPr>
          <w:rFonts w:ascii="Arial" w:eastAsia="宋体" w:hAnsi="Arial" w:cs="Arial"/>
          <w:kern w:val="0"/>
          <w:sz w:val="17"/>
          <w:szCs w:val="17"/>
        </w:rPr>
        <w:t>da</w:t>
      </w:r>
      <w:r w:rsidRPr="00AC4931">
        <w:rPr>
          <w:rFonts w:ascii="Arial" w:eastAsia="宋体" w:hAnsi="Arial" w:cs="Arial"/>
          <w:spacing w:val="1"/>
          <w:kern w:val="0"/>
          <w:sz w:val="17"/>
          <w:szCs w:val="17"/>
        </w:rPr>
        <w:t>t</w:t>
      </w:r>
      <w:r w:rsidRPr="00AC4931">
        <w:rPr>
          <w:rFonts w:ascii="Arial" w:eastAsia="宋体" w:hAnsi="Arial" w:cs="Arial"/>
          <w:spacing w:val="-1"/>
          <w:kern w:val="0"/>
          <w:sz w:val="17"/>
          <w:szCs w:val="17"/>
        </w:rPr>
        <w:t>e</w:t>
      </w:r>
      <w:r w:rsidRPr="00AC4931">
        <w:rPr>
          <w:rFonts w:ascii="Arial" w:eastAsia="宋体" w:hAnsi="Arial" w:cs="Arial"/>
          <w:kern w:val="0"/>
          <w:sz w:val="17"/>
          <w:szCs w:val="17"/>
        </w:rPr>
        <w:t>d</w:t>
      </w:r>
      <w:r w:rsidRPr="00AC4931">
        <w:rPr>
          <w:rFonts w:ascii="Arial" w:eastAsia="宋体" w:hAnsi="Arial" w:cs="Arial"/>
          <w:spacing w:val="9"/>
          <w:kern w:val="0"/>
          <w:sz w:val="17"/>
          <w:szCs w:val="17"/>
        </w:rPr>
        <w:t> </w:t>
      </w:r>
      <w:r w:rsidRPr="00AC4931">
        <w:rPr>
          <w:rFonts w:ascii="Arial" w:eastAsia="宋体" w:hAnsi="Arial" w:cs="Arial"/>
          <w:kern w:val="0"/>
          <w:sz w:val="17"/>
          <w:szCs w:val="17"/>
        </w:rPr>
        <w:t>on</w:t>
      </w:r>
      <w:r w:rsidRPr="00AC4931">
        <w:rPr>
          <w:rFonts w:ascii="Arial" w:eastAsia="宋体" w:hAnsi="Arial" w:cs="Arial"/>
          <w:spacing w:val="5"/>
          <w:kern w:val="0"/>
          <w:sz w:val="17"/>
          <w:szCs w:val="17"/>
        </w:rPr>
        <w:t> </w:t>
      </w:r>
      <w:r w:rsidRPr="00AC4931">
        <w:rPr>
          <w:rFonts w:ascii="Arial" w:eastAsia="宋体" w:hAnsi="Arial" w:cs="Arial"/>
          <w:kern w:val="0"/>
          <w:sz w:val="17"/>
          <w:szCs w:val="17"/>
        </w:rPr>
        <w:t>or around</w:t>
      </w:r>
      <w:r w:rsidRPr="00AC4931">
        <w:rPr>
          <w:rFonts w:ascii="Arial" w:eastAsia="宋体" w:hAnsi="Arial" w:cs="Arial"/>
          <w:spacing w:val="12"/>
          <w:kern w:val="0"/>
          <w:sz w:val="17"/>
          <w:szCs w:val="17"/>
        </w:rPr>
        <w:t> </w:t>
      </w:r>
      <w:r w:rsidRPr="00AC4931">
        <w:rPr>
          <w:rFonts w:ascii="Arial" w:eastAsia="宋体" w:hAnsi="Arial" w:cs="Arial"/>
          <w:kern w:val="0"/>
          <w:sz w:val="17"/>
          <w:szCs w:val="17"/>
        </w:rPr>
        <w:t>March</w:t>
      </w:r>
      <w:r w:rsidRPr="00AC4931">
        <w:rPr>
          <w:rFonts w:ascii="Arial" w:eastAsia="宋体" w:hAnsi="Arial" w:cs="Arial"/>
          <w:spacing w:val="10"/>
          <w:kern w:val="0"/>
          <w:sz w:val="17"/>
          <w:szCs w:val="17"/>
        </w:rPr>
        <w:t> </w:t>
      </w:r>
      <w:r w:rsidRPr="00AC4931">
        <w:rPr>
          <w:rFonts w:ascii="Arial" w:eastAsia="宋体" w:hAnsi="Arial" w:cs="Arial"/>
          <w:kern w:val="0"/>
          <w:sz w:val="17"/>
          <w:szCs w:val="17"/>
        </w:rPr>
        <w:t>28,</w:t>
      </w:r>
      <w:r w:rsidRPr="00AC4931">
        <w:rPr>
          <w:rFonts w:ascii="Arial" w:eastAsia="宋体" w:hAnsi="Arial" w:cs="Arial"/>
          <w:spacing w:val="5"/>
          <w:kern w:val="0"/>
          <w:sz w:val="17"/>
          <w:szCs w:val="17"/>
        </w:rPr>
        <w:t> </w:t>
      </w:r>
      <w:r w:rsidRPr="00AC4931">
        <w:rPr>
          <w:rFonts w:ascii="Arial" w:eastAsia="宋体" w:hAnsi="Arial" w:cs="Arial"/>
          <w:kern w:val="0"/>
          <w:sz w:val="17"/>
          <w:szCs w:val="17"/>
        </w:rPr>
        <w:t>2021</w:t>
      </w:r>
      <w:r w:rsidRPr="00AC4931">
        <w:rPr>
          <w:rFonts w:ascii="Arial" w:eastAsia="宋体" w:hAnsi="Arial" w:cs="Arial"/>
          <w:spacing w:val="8"/>
          <w:kern w:val="0"/>
          <w:sz w:val="17"/>
          <w:szCs w:val="17"/>
        </w:rPr>
        <w:t> </w:t>
      </w:r>
      <w:r w:rsidRPr="00AC4931">
        <w:rPr>
          <w:rFonts w:ascii="Arial" w:eastAsia="宋体" w:hAnsi="Arial" w:cs="Arial"/>
          <w:kern w:val="0"/>
          <w:sz w:val="17"/>
          <w:szCs w:val="17"/>
        </w:rPr>
        <w:t>(the</w:t>
      </w:r>
      <w:r w:rsidRPr="00AC4931">
        <w:rPr>
          <w:rFonts w:ascii="Arial" w:eastAsia="宋体" w:hAnsi="Arial" w:cs="Arial"/>
          <w:spacing w:val="6"/>
          <w:kern w:val="0"/>
          <w:sz w:val="17"/>
          <w:szCs w:val="17"/>
        </w:rPr>
        <w:t> </w:t>
      </w:r>
      <w:r w:rsidRPr="00AC4931">
        <w:rPr>
          <w:rFonts w:ascii="Arial" w:eastAsia="宋体" w:hAnsi="Arial" w:cs="Arial"/>
          <w:kern w:val="0"/>
          <w:sz w:val="17"/>
          <w:szCs w:val="17"/>
        </w:rPr>
        <w:t>“20</w:t>
      </w:r>
      <w:r w:rsidRPr="00AC4931">
        <w:rPr>
          <w:rFonts w:ascii="Arial" w:eastAsia="宋体" w:hAnsi="Arial" w:cs="Arial"/>
          <w:spacing w:val="-2"/>
          <w:kern w:val="0"/>
          <w:sz w:val="17"/>
          <w:szCs w:val="17"/>
        </w:rPr>
        <w:t>21 </w:t>
      </w:r>
      <w:r w:rsidRPr="00AC4931">
        <w:rPr>
          <w:rFonts w:ascii="Arial" w:eastAsia="宋体" w:hAnsi="Arial" w:cs="Arial"/>
          <w:kern w:val="0"/>
          <w:sz w:val="17"/>
          <w:szCs w:val="17"/>
        </w:rPr>
        <w:t>Proxy</w:t>
      </w:r>
      <w:r w:rsidRPr="00AC4931">
        <w:rPr>
          <w:rFonts w:ascii="Arial" w:eastAsia="宋体" w:hAnsi="Arial" w:cs="Arial"/>
          <w:spacing w:val="10"/>
          <w:kern w:val="0"/>
          <w:sz w:val="17"/>
          <w:szCs w:val="17"/>
        </w:rPr>
        <w:t> </w:t>
      </w:r>
      <w:r w:rsidRPr="00AC4931">
        <w:rPr>
          <w:rFonts w:ascii="Arial" w:eastAsia="宋体" w:hAnsi="Arial" w:cs="Arial"/>
          <w:kern w:val="0"/>
          <w:sz w:val="17"/>
          <w:szCs w:val="17"/>
        </w:rPr>
        <w:t>Statement”),</w:t>
      </w:r>
      <w:r w:rsidRPr="00AC4931">
        <w:rPr>
          <w:rFonts w:ascii="Arial" w:eastAsia="宋体" w:hAnsi="Arial" w:cs="Arial"/>
          <w:spacing w:val="19"/>
          <w:kern w:val="0"/>
          <w:sz w:val="17"/>
          <w:szCs w:val="17"/>
        </w:rPr>
        <w:t> </w:t>
      </w:r>
      <w:r w:rsidRPr="00AC4931">
        <w:rPr>
          <w:rFonts w:ascii="Arial" w:eastAsia="宋体" w:hAnsi="Arial" w:cs="Arial"/>
          <w:kern w:val="0"/>
          <w:sz w:val="17"/>
          <w:szCs w:val="17"/>
        </w:rPr>
        <w:t>are</w:t>
      </w:r>
      <w:r w:rsidRPr="00AC4931">
        <w:rPr>
          <w:rFonts w:ascii="Arial" w:eastAsia="宋体" w:hAnsi="Arial" w:cs="Arial"/>
          <w:spacing w:val="6"/>
          <w:kern w:val="0"/>
          <w:sz w:val="17"/>
          <w:szCs w:val="17"/>
        </w:rPr>
        <w:t> </w:t>
      </w:r>
      <w:r w:rsidRPr="00AC4931">
        <w:rPr>
          <w:rFonts w:ascii="Arial" w:eastAsia="宋体" w:hAnsi="Arial" w:cs="Arial"/>
          <w:kern w:val="0"/>
          <w:sz w:val="17"/>
          <w:szCs w:val="17"/>
        </w:rPr>
        <w:t>incorporated</w:t>
      </w:r>
      <w:r w:rsidRPr="00AC4931">
        <w:rPr>
          <w:rFonts w:ascii="Arial" w:eastAsia="宋体" w:hAnsi="Arial" w:cs="Arial"/>
          <w:spacing w:val="19"/>
          <w:kern w:val="0"/>
          <w:sz w:val="17"/>
          <w:szCs w:val="17"/>
        </w:rPr>
        <w:t> </w:t>
      </w:r>
      <w:r w:rsidRPr="00AC4931">
        <w:rPr>
          <w:rFonts w:ascii="Arial" w:eastAsia="宋体" w:hAnsi="Arial" w:cs="Arial"/>
          <w:kern w:val="0"/>
          <w:sz w:val="17"/>
          <w:szCs w:val="17"/>
        </w:rPr>
        <w:t>by</w:t>
      </w:r>
      <w:r w:rsidRPr="00AC4931">
        <w:rPr>
          <w:rFonts w:ascii="Arial" w:eastAsia="宋体" w:hAnsi="Arial" w:cs="Arial"/>
          <w:spacing w:val="5"/>
          <w:kern w:val="0"/>
          <w:sz w:val="17"/>
          <w:szCs w:val="17"/>
        </w:rPr>
        <w:t> </w:t>
      </w:r>
      <w:r w:rsidRPr="00AC4931">
        <w:rPr>
          <w:rFonts w:ascii="Arial" w:eastAsia="宋体" w:hAnsi="Arial" w:cs="Arial"/>
          <w:kern w:val="0"/>
          <w:sz w:val="17"/>
          <w:szCs w:val="17"/>
        </w:rPr>
        <w:t>reference</w:t>
      </w:r>
      <w:r w:rsidRPr="00AC4931">
        <w:rPr>
          <w:rFonts w:ascii="Arial" w:eastAsia="宋体" w:hAnsi="Arial" w:cs="Arial"/>
          <w:spacing w:val="14"/>
          <w:kern w:val="0"/>
          <w:sz w:val="17"/>
          <w:szCs w:val="17"/>
        </w:rPr>
        <w:t> </w:t>
      </w:r>
      <w:r w:rsidRPr="00AC4931">
        <w:rPr>
          <w:rFonts w:ascii="Arial" w:eastAsia="宋体" w:hAnsi="Arial" w:cs="Arial"/>
          <w:kern w:val="0"/>
          <w:sz w:val="17"/>
          <w:szCs w:val="17"/>
        </w:rPr>
        <w:t>into</w:t>
      </w:r>
      <w:r w:rsidRPr="00AC4931">
        <w:rPr>
          <w:rFonts w:ascii="Arial" w:eastAsia="宋体" w:hAnsi="Arial" w:cs="Arial"/>
          <w:spacing w:val="6"/>
          <w:kern w:val="0"/>
          <w:sz w:val="17"/>
          <w:szCs w:val="17"/>
        </w:rPr>
        <w:t> </w:t>
      </w:r>
      <w:r w:rsidRPr="00AC4931">
        <w:rPr>
          <w:rFonts w:ascii="Arial" w:eastAsia="宋体" w:hAnsi="Arial" w:cs="Arial"/>
          <w:kern w:val="0"/>
          <w:sz w:val="17"/>
          <w:szCs w:val="17"/>
        </w:rPr>
        <w:t>Part</w:t>
      </w:r>
      <w:r w:rsidRPr="00AC4931">
        <w:rPr>
          <w:rFonts w:ascii="Arial" w:eastAsia="宋体" w:hAnsi="Arial" w:cs="Arial"/>
          <w:spacing w:val="6"/>
          <w:kern w:val="0"/>
          <w:sz w:val="17"/>
          <w:szCs w:val="17"/>
        </w:rPr>
        <w:t> </w:t>
      </w:r>
      <w:r w:rsidRPr="00AC4931">
        <w:rPr>
          <w:rFonts w:ascii="Arial" w:eastAsia="宋体" w:hAnsi="Arial" w:cs="Arial"/>
          <w:kern w:val="0"/>
          <w:sz w:val="17"/>
          <w:szCs w:val="17"/>
        </w:rPr>
        <w:t>III</w:t>
      </w:r>
      <w:r w:rsidRPr="00AC4931">
        <w:rPr>
          <w:rFonts w:ascii="Arial" w:eastAsia="宋体" w:hAnsi="Arial" w:cs="Arial"/>
          <w:spacing w:val="5"/>
          <w:kern w:val="0"/>
          <w:sz w:val="17"/>
          <w:szCs w:val="17"/>
        </w:rPr>
        <w:t> </w:t>
      </w:r>
      <w:r w:rsidRPr="00AC4931">
        <w:rPr>
          <w:rFonts w:ascii="Arial" w:eastAsia="宋体" w:hAnsi="Arial" w:cs="Arial"/>
          <w:kern w:val="0"/>
          <w:sz w:val="17"/>
          <w:szCs w:val="17"/>
        </w:rPr>
        <w:t>of</w:t>
      </w:r>
      <w:r w:rsidRPr="00AC4931">
        <w:rPr>
          <w:rFonts w:ascii="Arial" w:eastAsia="宋体" w:hAnsi="Arial" w:cs="Arial"/>
          <w:spacing w:val="4"/>
          <w:kern w:val="0"/>
          <w:sz w:val="17"/>
          <w:szCs w:val="17"/>
        </w:rPr>
        <w:t> </w:t>
      </w:r>
      <w:r w:rsidRPr="00AC4931">
        <w:rPr>
          <w:rFonts w:ascii="Arial" w:eastAsia="宋体" w:hAnsi="Arial" w:cs="Arial"/>
          <w:kern w:val="0"/>
          <w:sz w:val="17"/>
          <w:szCs w:val="17"/>
        </w:rPr>
        <w:t>this</w:t>
      </w:r>
      <w:r w:rsidRPr="00AC4931">
        <w:rPr>
          <w:rFonts w:ascii="Arial" w:eastAsia="宋体" w:hAnsi="Arial" w:cs="Arial"/>
          <w:spacing w:val="6"/>
          <w:kern w:val="0"/>
          <w:sz w:val="17"/>
          <w:szCs w:val="17"/>
        </w:rPr>
        <w:t> </w:t>
      </w:r>
      <w:r w:rsidRPr="00AC4931">
        <w:rPr>
          <w:rFonts w:ascii="Arial" w:eastAsia="宋体" w:hAnsi="Arial" w:cs="Arial"/>
          <w:kern w:val="0"/>
          <w:sz w:val="17"/>
          <w:szCs w:val="17"/>
        </w:rPr>
        <w:t>Annual</w:t>
      </w:r>
      <w:r w:rsidRPr="00AC4931">
        <w:rPr>
          <w:rFonts w:ascii="Arial" w:eastAsia="宋体" w:hAnsi="Arial" w:cs="Arial"/>
          <w:spacing w:val="12"/>
          <w:kern w:val="0"/>
          <w:sz w:val="17"/>
          <w:szCs w:val="17"/>
        </w:rPr>
        <w:t> </w:t>
      </w:r>
      <w:r w:rsidRPr="00AC4931">
        <w:rPr>
          <w:rFonts w:ascii="Arial" w:eastAsia="宋体" w:hAnsi="Arial" w:cs="Arial"/>
          <w:kern w:val="0"/>
          <w:sz w:val="17"/>
          <w:szCs w:val="17"/>
        </w:rPr>
        <w:t>Report</w:t>
      </w:r>
      <w:r w:rsidRPr="00AC4931">
        <w:rPr>
          <w:rFonts w:ascii="Arial" w:eastAsia="宋体" w:hAnsi="Arial" w:cs="Arial"/>
          <w:spacing w:val="11"/>
          <w:kern w:val="0"/>
          <w:sz w:val="17"/>
          <w:szCs w:val="17"/>
        </w:rPr>
        <w:t> </w:t>
      </w:r>
      <w:r w:rsidRPr="00AC4931">
        <w:rPr>
          <w:rFonts w:ascii="Arial" w:eastAsia="宋体" w:hAnsi="Arial" w:cs="Arial"/>
          <w:kern w:val="0"/>
          <w:sz w:val="17"/>
          <w:szCs w:val="17"/>
        </w:rPr>
        <w:t>on</w:t>
      </w:r>
      <w:r w:rsidRPr="00AC4931">
        <w:rPr>
          <w:rFonts w:ascii="Arial" w:eastAsia="宋体" w:hAnsi="Arial" w:cs="Arial"/>
          <w:spacing w:val="5"/>
          <w:kern w:val="0"/>
          <w:sz w:val="17"/>
          <w:szCs w:val="17"/>
        </w:rPr>
        <w:t> </w:t>
      </w:r>
      <w:r w:rsidRPr="00AC4931">
        <w:rPr>
          <w:rFonts w:ascii="Arial" w:eastAsia="宋体" w:hAnsi="Arial" w:cs="Arial"/>
          <w:kern w:val="0"/>
          <w:sz w:val="17"/>
          <w:szCs w:val="17"/>
        </w:rPr>
        <w:t>Form</w:t>
      </w:r>
      <w:r w:rsidRPr="00AC4931">
        <w:rPr>
          <w:rFonts w:ascii="Arial" w:eastAsia="宋体" w:hAnsi="Arial" w:cs="Arial"/>
          <w:spacing w:val="8"/>
          <w:kern w:val="0"/>
          <w:sz w:val="17"/>
          <w:szCs w:val="17"/>
        </w:rPr>
        <w:t> </w:t>
      </w:r>
      <w:r w:rsidRPr="00AC4931">
        <w:rPr>
          <w:rFonts w:ascii="Arial" w:eastAsia="宋体" w:hAnsi="Arial" w:cs="Arial"/>
          <w:spacing w:val="-2"/>
          <w:kern w:val="0"/>
          <w:sz w:val="17"/>
          <w:szCs w:val="17"/>
        </w:rPr>
        <w:t>1</w:t>
      </w:r>
      <w:r w:rsidRPr="00AC4931">
        <w:rPr>
          <w:rFonts w:ascii="Arial" w:eastAsia="宋体" w:hAnsi="Arial" w:cs="Arial"/>
          <w:spacing w:val="-1"/>
          <w:kern w:val="0"/>
          <w:sz w:val="17"/>
          <w:szCs w:val="17"/>
        </w:rPr>
        <w:t>0-K</w:t>
      </w:r>
      <w:r w:rsidRPr="00AC4931">
        <w:rPr>
          <w:rFonts w:ascii="Arial" w:eastAsia="宋体" w:hAnsi="Arial" w:cs="Arial"/>
          <w:kern w:val="0"/>
          <w:sz w:val="17"/>
          <w:szCs w:val="17"/>
        </w:rPr>
        <w:t>.</w:t>
      </w:r>
      <w:r w:rsidRPr="00AC4931">
        <w:rPr>
          <w:rFonts w:ascii="Arial" w:eastAsia="宋体" w:hAnsi="Arial" w:cs="Arial"/>
          <w:spacing w:val="6"/>
          <w:kern w:val="0"/>
          <w:sz w:val="17"/>
          <w:szCs w:val="17"/>
        </w:rPr>
        <w:t> </w:t>
      </w:r>
      <w:r w:rsidRPr="00AC4931">
        <w:rPr>
          <w:rFonts w:ascii="Arial" w:eastAsia="宋体" w:hAnsi="Arial" w:cs="Arial"/>
          <w:spacing w:val="-1"/>
          <w:kern w:val="0"/>
          <w:sz w:val="17"/>
          <w:szCs w:val="17"/>
        </w:rPr>
        <w:t>T</w:t>
      </w:r>
      <w:r w:rsidRPr="00AC4931">
        <w:rPr>
          <w:rFonts w:ascii="Arial" w:eastAsia="宋体" w:hAnsi="Arial" w:cs="Arial"/>
          <w:kern w:val="0"/>
          <w:sz w:val="17"/>
          <w:szCs w:val="17"/>
        </w:rPr>
        <w:t>he</w:t>
      </w:r>
      <w:r w:rsidRPr="00AC4931">
        <w:rPr>
          <w:rFonts w:ascii="Arial" w:eastAsia="宋体" w:hAnsi="Arial" w:cs="Arial"/>
          <w:spacing w:val="6"/>
          <w:kern w:val="0"/>
          <w:sz w:val="17"/>
          <w:szCs w:val="17"/>
        </w:rPr>
        <w:t> </w:t>
      </w:r>
      <w:r w:rsidRPr="00AC4931">
        <w:rPr>
          <w:rFonts w:ascii="Arial" w:eastAsia="宋体" w:hAnsi="Arial" w:cs="Arial"/>
          <w:kern w:val="0"/>
          <w:sz w:val="17"/>
          <w:szCs w:val="17"/>
        </w:rPr>
        <w:t>2021</w:t>
      </w:r>
      <w:r w:rsidRPr="00AC4931">
        <w:rPr>
          <w:rFonts w:ascii="Arial" w:eastAsia="宋体" w:hAnsi="Arial" w:cs="Arial"/>
          <w:spacing w:val="9"/>
          <w:kern w:val="0"/>
          <w:sz w:val="17"/>
          <w:szCs w:val="17"/>
        </w:rPr>
        <w:t> </w:t>
      </w:r>
      <w:r w:rsidRPr="00AC4931">
        <w:rPr>
          <w:rFonts w:ascii="Arial" w:eastAsia="宋体" w:hAnsi="Arial" w:cs="Arial"/>
          <w:spacing w:val="-1"/>
          <w:kern w:val="0"/>
          <w:sz w:val="17"/>
          <w:szCs w:val="17"/>
        </w:rPr>
        <w:t>P</w:t>
      </w:r>
      <w:r w:rsidRPr="00AC4931">
        <w:rPr>
          <w:rFonts w:ascii="Arial" w:eastAsia="宋体" w:hAnsi="Arial" w:cs="Arial"/>
          <w:kern w:val="0"/>
          <w:sz w:val="17"/>
          <w:szCs w:val="17"/>
        </w:rPr>
        <w:t>ro</w:t>
      </w:r>
      <w:r w:rsidRPr="00AC4931">
        <w:rPr>
          <w:rFonts w:ascii="Arial" w:eastAsia="宋体" w:hAnsi="Arial" w:cs="Arial"/>
          <w:spacing w:val="-1"/>
          <w:kern w:val="0"/>
          <w:sz w:val="17"/>
          <w:szCs w:val="17"/>
        </w:rPr>
        <w:t>x</w:t>
      </w:r>
      <w:r w:rsidRPr="00AC4931">
        <w:rPr>
          <w:rFonts w:ascii="Arial" w:eastAsia="宋体" w:hAnsi="Arial" w:cs="Arial"/>
          <w:kern w:val="0"/>
          <w:sz w:val="17"/>
          <w:szCs w:val="17"/>
        </w:rPr>
        <w:t>y</w:t>
      </w:r>
      <w:r w:rsidRPr="00AC4931">
        <w:rPr>
          <w:rFonts w:ascii="Arial" w:eastAsia="宋体" w:hAnsi="Arial" w:cs="Arial"/>
          <w:spacing w:val="10"/>
          <w:kern w:val="0"/>
          <w:sz w:val="17"/>
          <w:szCs w:val="17"/>
        </w:rPr>
        <w:t> </w:t>
      </w:r>
      <w:r w:rsidRPr="00AC4931">
        <w:rPr>
          <w:rFonts w:ascii="Arial" w:eastAsia="宋体" w:hAnsi="Arial" w:cs="Arial"/>
          <w:kern w:val="0"/>
          <w:sz w:val="17"/>
          <w:szCs w:val="17"/>
        </w:rPr>
        <w:t>Statement</w:t>
      </w:r>
      <w:r w:rsidRPr="00AC4931">
        <w:rPr>
          <w:rFonts w:ascii="Arial" w:eastAsia="宋体" w:hAnsi="Arial" w:cs="Arial"/>
          <w:spacing w:val="16"/>
          <w:kern w:val="0"/>
          <w:sz w:val="17"/>
          <w:szCs w:val="17"/>
        </w:rPr>
        <w:t> </w:t>
      </w:r>
      <w:r w:rsidRPr="00AC4931">
        <w:rPr>
          <w:rFonts w:ascii="Arial" w:eastAsia="宋体" w:hAnsi="Arial" w:cs="Arial"/>
          <w:kern w:val="0"/>
          <w:sz w:val="17"/>
          <w:szCs w:val="17"/>
        </w:rPr>
        <w:t>will</w:t>
      </w:r>
      <w:r w:rsidRPr="00AC4931">
        <w:rPr>
          <w:rFonts w:ascii="Arial" w:eastAsia="宋体" w:hAnsi="Arial" w:cs="Arial"/>
          <w:spacing w:val="6"/>
          <w:kern w:val="0"/>
          <w:sz w:val="17"/>
          <w:szCs w:val="17"/>
        </w:rPr>
        <w:t> </w:t>
      </w:r>
      <w:r w:rsidRPr="00AC4931">
        <w:rPr>
          <w:rFonts w:ascii="Arial" w:eastAsia="宋体" w:hAnsi="Arial" w:cs="Arial"/>
          <w:kern w:val="0"/>
          <w:sz w:val="17"/>
          <w:szCs w:val="17"/>
        </w:rPr>
        <w:t>be</w:t>
      </w:r>
      <w:r w:rsidRPr="00AC4931">
        <w:rPr>
          <w:rFonts w:ascii="Arial" w:eastAsia="宋体" w:hAnsi="Arial" w:cs="Arial"/>
          <w:spacing w:val="4"/>
          <w:kern w:val="0"/>
          <w:sz w:val="17"/>
          <w:szCs w:val="17"/>
        </w:rPr>
        <w:t> </w:t>
      </w:r>
      <w:r w:rsidRPr="00AC4931">
        <w:rPr>
          <w:rFonts w:ascii="Arial" w:eastAsia="宋体" w:hAnsi="Arial" w:cs="Arial"/>
          <w:kern w:val="0"/>
          <w:sz w:val="17"/>
          <w:szCs w:val="17"/>
        </w:rPr>
        <w:t>filed</w:t>
      </w:r>
      <w:r w:rsidRPr="00AC4931">
        <w:rPr>
          <w:rFonts w:ascii="Arial" w:eastAsia="宋体" w:hAnsi="Arial" w:cs="Arial"/>
          <w:spacing w:val="8"/>
          <w:kern w:val="0"/>
          <w:sz w:val="17"/>
          <w:szCs w:val="17"/>
        </w:rPr>
        <w:t> </w:t>
      </w:r>
      <w:r w:rsidRPr="00AC4931">
        <w:rPr>
          <w:rFonts w:ascii="Arial" w:eastAsia="宋体" w:hAnsi="Arial" w:cs="Arial"/>
          <w:spacing w:val="2"/>
          <w:kern w:val="0"/>
          <w:sz w:val="17"/>
          <w:szCs w:val="17"/>
        </w:rPr>
        <w:t>w</w:t>
      </w:r>
      <w:r w:rsidRPr="00AC4931">
        <w:rPr>
          <w:rFonts w:ascii="Arial" w:eastAsia="宋体" w:hAnsi="Arial" w:cs="Arial"/>
          <w:kern w:val="0"/>
          <w:sz w:val="17"/>
          <w:szCs w:val="17"/>
        </w:rPr>
        <w:t>ith</w:t>
      </w:r>
      <w:r w:rsidRPr="00AC4931">
        <w:rPr>
          <w:rFonts w:ascii="Arial" w:eastAsia="宋体" w:hAnsi="Arial" w:cs="Arial"/>
          <w:spacing w:val="7"/>
          <w:kern w:val="0"/>
          <w:sz w:val="17"/>
          <w:szCs w:val="17"/>
        </w:rPr>
        <w:t> </w:t>
      </w:r>
      <w:r w:rsidRPr="00AC4931">
        <w:rPr>
          <w:rFonts w:ascii="Arial" w:eastAsia="宋体" w:hAnsi="Arial" w:cs="Arial"/>
          <w:kern w:val="0"/>
          <w:sz w:val="17"/>
          <w:szCs w:val="17"/>
        </w:rPr>
        <w:t>the</w:t>
      </w:r>
      <w:r w:rsidRPr="00AC4931">
        <w:rPr>
          <w:rFonts w:ascii="Arial" w:eastAsia="宋体" w:hAnsi="Arial" w:cs="Arial"/>
          <w:spacing w:val="6"/>
          <w:kern w:val="0"/>
          <w:sz w:val="17"/>
          <w:szCs w:val="17"/>
        </w:rPr>
        <w:t> </w:t>
      </w:r>
      <w:r w:rsidRPr="00AC4931">
        <w:rPr>
          <w:rFonts w:ascii="Arial" w:eastAsia="宋体" w:hAnsi="Arial" w:cs="Arial"/>
          <w:kern w:val="0"/>
          <w:sz w:val="17"/>
          <w:szCs w:val="17"/>
        </w:rPr>
        <w:t>Securities</w:t>
      </w:r>
      <w:r w:rsidRPr="00AC4931">
        <w:rPr>
          <w:rFonts w:ascii="Arial" w:eastAsia="宋体" w:hAnsi="Arial" w:cs="Arial"/>
          <w:spacing w:val="16"/>
          <w:kern w:val="0"/>
          <w:sz w:val="17"/>
          <w:szCs w:val="17"/>
        </w:rPr>
        <w:t> </w:t>
      </w:r>
      <w:r w:rsidRPr="00AC4931">
        <w:rPr>
          <w:rFonts w:ascii="Arial" w:eastAsia="宋体" w:hAnsi="Arial" w:cs="Arial"/>
          <w:kern w:val="0"/>
          <w:sz w:val="17"/>
          <w:szCs w:val="17"/>
        </w:rPr>
        <w:t>and</w:t>
      </w:r>
      <w:r w:rsidRPr="00AC4931">
        <w:rPr>
          <w:rFonts w:ascii="Arial" w:eastAsia="宋体" w:hAnsi="Arial" w:cs="Arial"/>
          <w:spacing w:val="6"/>
          <w:kern w:val="0"/>
          <w:sz w:val="17"/>
          <w:szCs w:val="17"/>
        </w:rPr>
        <w:t> </w:t>
      </w:r>
      <w:r w:rsidRPr="00AC4931">
        <w:rPr>
          <w:rFonts w:ascii="Arial" w:eastAsia="宋体" w:hAnsi="Arial" w:cs="Arial"/>
          <w:kern w:val="0"/>
          <w:sz w:val="17"/>
          <w:szCs w:val="17"/>
        </w:rPr>
        <w:t>Excha</w:t>
      </w:r>
      <w:r w:rsidRPr="00AC4931">
        <w:rPr>
          <w:rFonts w:ascii="Arial" w:eastAsia="宋体" w:hAnsi="Arial" w:cs="Arial"/>
          <w:spacing w:val="1"/>
          <w:kern w:val="0"/>
          <w:sz w:val="17"/>
          <w:szCs w:val="17"/>
        </w:rPr>
        <w:t>n</w:t>
      </w:r>
      <w:r w:rsidRPr="00AC4931">
        <w:rPr>
          <w:rFonts w:ascii="Arial" w:eastAsia="宋体" w:hAnsi="Arial" w:cs="Arial"/>
          <w:spacing w:val="-1"/>
          <w:kern w:val="0"/>
          <w:sz w:val="17"/>
          <w:szCs w:val="17"/>
        </w:rPr>
        <w:t>g</w:t>
      </w:r>
      <w:r w:rsidRPr="00AC4931">
        <w:rPr>
          <w:rFonts w:ascii="Arial" w:eastAsia="宋体" w:hAnsi="Arial" w:cs="Arial"/>
          <w:kern w:val="0"/>
          <w:sz w:val="17"/>
          <w:szCs w:val="17"/>
        </w:rPr>
        <w:t>e</w:t>
      </w:r>
      <w:r w:rsidRPr="00AC4931">
        <w:rPr>
          <w:rFonts w:ascii="Arial" w:eastAsia="宋体" w:hAnsi="Arial" w:cs="Arial"/>
          <w:spacing w:val="16"/>
          <w:kern w:val="0"/>
          <w:sz w:val="17"/>
          <w:szCs w:val="17"/>
        </w:rPr>
        <w:t> </w:t>
      </w:r>
      <w:r w:rsidRPr="00AC4931">
        <w:rPr>
          <w:rFonts w:ascii="Arial" w:eastAsia="宋体" w:hAnsi="Arial" w:cs="Arial"/>
          <w:spacing w:val="-1"/>
          <w:kern w:val="0"/>
          <w:sz w:val="17"/>
          <w:szCs w:val="17"/>
        </w:rPr>
        <w:t>Comm</w:t>
      </w:r>
      <w:r w:rsidRPr="00AC4931">
        <w:rPr>
          <w:rFonts w:ascii="Arial" w:eastAsia="宋体" w:hAnsi="Arial" w:cs="Arial"/>
          <w:spacing w:val="1"/>
          <w:kern w:val="0"/>
          <w:sz w:val="17"/>
          <w:szCs w:val="17"/>
        </w:rPr>
        <w:t>i</w:t>
      </w:r>
      <w:r w:rsidRPr="00AC4931">
        <w:rPr>
          <w:rFonts w:ascii="Arial" w:eastAsia="宋体" w:hAnsi="Arial" w:cs="Arial"/>
          <w:spacing w:val="-1"/>
          <w:kern w:val="0"/>
          <w:sz w:val="17"/>
          <w:szCs w:val="17"/>
        </w:rPr>
        <w:t>ss</w:t>
      </w:r>
      <w:r w:rsidRPr="00AC4931">
        <w:rPr>
          <w:rFonts w:ascii="Arial" w:eastAsia="宋体" w:hAnsi="Arial" w:cs="Arial"/>
          <w:spacing w:val="1"/>
          <w:kern w:val="0"/>
          <w:sz w:val="17"/>
          <w:szCs w:val="17"/>
        </w:rPr>
        <w:t>i</w:t>
      </w:r>
      <w:r w:rsidRPr="00AC4931">
        <w:rPr>
          <w:rFonts w:ascii="Arial" w:eastAsia="宋体" w:hAnsi="Arial" w:cs="Arial"/>
          <w:spacing w:val="-1"/>
          <w:kern w:val="0"/>
          <w:sz w:val="17"/>
          <w:szCs w:val="17"/>
        </w:rPr>
        <w:t>o</w:t>
      </w:r>
      <w:r w:rsidRPr="00AC4931">
        <w:rPr>
          <w:rFonts w:ascii="Arial" w:eastAsia="宋体" w:hAnsi="Arial" w:cs="Arial"/>
          <w:kern w:val="0"/>
          <w:sz w:val="17"/>
          <w:szCs w:val="17"/>
        </w:rPr>
        <w:t>n</w:t>
      </w:r>
      <w:r w:rsidRPr="00AC4931">
        <w:rPr>
          <w:rFonts w:ascii="Arial" w:eastAsia="宋体" w:hAnsi="Arial" w:cs="Arial"/>
          <w:spacing w:val="20"/>
          <w:kern w:val="0"/>
          <w:sz w:val="17"/>
          <w:szCs w:val="17"/>
        </w:rPr>
        <w:t> </w:t>
      </w:r>
      <w:r w:rsidRPr="00AC4931">
        <w:rPr>
          <w:rFonts w:ascii="Arial" w:eastAsia="宋体" w:hAnsi="Arial" w:cs="Arial"/>
          <w:spacing w:val="-1"/>
          <w:kern w:val="0"/>
          <w:sz w:val="17"/>
          <w:szCs w:val="17"/>
        </w:rPr>
        <w:t>w</w:t>
      </w:r>
      <w:r w:rsidRPr="00AC4931">
        <w:rPr>
          <w:rFonts w:ascii="Arial" w:eastAsia="宋体" w:hAnsi="Arial" w:cs="Arial"/>
          <w:spacing w:val="1"/>
          <w:kern w:val="0"/>
          <w:sz w:val="17"/>
          <w:szCs w:val="17"/>
        </w:rPr>
        <w:t>i</w:t>
      </w:r>
      <w:r w:rsidRPr="00AC4931">
        <w:rPr>
          <w:rFonts w:ascii="Arial" w:eastAsia="宋体" w:hAnsi="Arial" w:cs="Arial"/>
          <w:spacing w:val="-1"/>
          <w:kern w:val="0"/>
          <w:sz w:val="17"/>
          <w:szCs w:val="17"/>
        </w:rPr>
        <w:t>th</w:t>
      </w:r>
      <w:r w:rsidRPr="00AC4931">
        <w:rPr>
          <w:rFonts w:ascii="Arial" w:eastAsia="宋体" w:hAnsi="Arial" w:cs="Arial"/>
          <w:spacing w:val="1"/>
          <w:kern w:val="0"/>
          <w:sz w:val="17"/>
          <w:szCs w:val="17"/>
        </w:rPr>
        <w:t>i</w:t>
      </w:r>
      <w:r w:rsidRPr="00AC4931">
        <w:rPr>
          <w:rFonts w:ascii="Arial" w:eastAsia="宋体" w:hAnsi="Arial" w:cs="Arial"/>
          <w:kern w:val="0"/>
          <w:sz w:val="17"/>
          <w:szCs w:val="17"/>
        </w:rPr>
        <w:t>n</w:t>
      </w:r>
      <w:r w:rsidRPr="00AC4931">
        <w:rPr>
          <w:rFonts w:ascii="Arial" w:eastAsia="宋体" w:hAnsi="Arial" w:cs="Arial"/>
          <w:spacing w:val="11"/>
          <w:kern w:val="0"/>
          <w:sz w:val="17"/>
          <w:szCs w:val="17"/>
        </w:rPr>
        <w:t> </w:t>
      </w:r>
      <w:r w:rsidRPr="00AC4931">
        <w:rPr>
          <w:rFonts w:ascii="Arial" w:eastAsia="宋体" w:hAnsi="Arial" w:cs="Arial"/>
          <w:spacing w:val="-1"/>
          <w:kern w:val="0"/>
          <w:sz w:val="17"/>
          <w:szCs w:val="17"/>
        </w:rPr>
        <w:t>12</w:t>
      </w:r>
      <w:r w:rsidRPr="00AC4931">
        <w:rPr>
          <w:rFonts w:ascii="Arial" w:eastAsia="宋体" w:hAnsi="Arial" w:cs="Arial"/>
          <w:kern w:val="0"/>
          <w:sz w:val="17"/>
          <w:szCs w:val="17"/>
        </w:rPr>
        <w:t>0</w:t>
      </w:r>
      <w:r w:rsidRPr="00AC4931">
        <w:rPr>
          <w:rFonts w:ascii="Arial" w:eastAsia="宋体" w:hAnsi="Arial" w:cs="Arial"/>
          <w:spacing w:val="7"/>
          <w:kern w:val="0"/>
          <w:sz w:val="17"/>
          <w:szCs w:val="17"/>
        </w:rPr>
        <w:t> </w:t>
      </w:r>
      <w:r w:rsidRPr="00AC4931">
        <w:rPr>
          <w:rFonts w:ascii="Arial" w:eastAsia="宋体" w:hAnsi="Arial" w:cs="Arial"/>
          <w:kern w:val="0"/>
          <w:sz w:val="17"/>
          <w:szCs w:val="17"/>
        </w:rPr>
        <w:t>d</w:t>
      </w:r>
      <w:r w:rsidRPr="00AC4931">
        <w:rPr>
          <w:rFonts w:ascii="Arial" w:eastAsia="宋体" w:hAnsi="Arial" w:cs="Arial"/>
          <w:spacing w:val="-1"/>
          <w:kern w:val="0"/>
          <w:sz w:val="17"/>
          <w:szCs w:val="17"/>
        </w:rPr>
        <w:t>ay</w:t>
      </w:r>
      <w:r w:rsidRPr="00AC4931">
        <w:rPr>
          <w:rFonts w:ascii="Arial" w:eastAsia="宋体" w:hAnsi="Arial" w:cs="Arial"/>
          <w:kern w:val="0"/>
          <w:sz w:val="17"/>
          <w:szCs w:val="17"/>
        </w:rPr>
        <w:t>s</w:t>
      </w:r>
      <w:r w:rsidRPr="00AC4931">
        <w:rPr>
          <w:rFonts w:ascii="Arial" w:eastAsia="宋体" w:hAnsi="Arial" w:cs="Arial"/>
          <w:spacing w:val="8"/>
          <w:kern w:val="0"/>
          <w:sz w:val="17"/>
          <w:szCs w:val="17"/>
        </w:rPr>
        <w:t> </w:t>
      </w:r>
      <w:r w:rsidRPr="00AC4931">
        <w:rPr>
          <w:rFonts w:ascii="Arial" w:eastAsia="宋体" w:hAnsi="Arial" w:cs="Arial"/>
          <w:spacing w:val="-1"/>
          <w:kern w:val="0"/>
          <w:sz w:val="17"/>
          <w:szCs w:val="17"/>
        </w:rPr>
        <w:t>a</w:t>
      </w:r>
      <w:r w:rsidRPr="00AC4931">
        <w:rPr>
          <w:rFonts w:ascii="Arial" w:eastAsia="宋体" w:hAnsi="Arial" w:cs="Arial"/>
          <w:kern w:val="0"/>
          <w:sz w:val="17"/>
          <w:szCs w:val="17"/>
        </w:rPr>
        <w:t>fter</w:t>
      </w:r>
      <w:r w:rsidRPr="00AC4931">
        <w:rPr>
          <w:rFonts w:ascii="Arial" w:eastAsia="宋体" w:hAnsi="Arial" w:cs="Arial"/>
          <w:spacing w:val="7"/>
          <w:kern w:val="0"/>
          <w:sz w:val="17"/>
          <w:szCs w:val="17"/>
        </w:rPr>
        <w:t> </w:t>
      </w:r>
      <w:r w:rsidRPr="00AC4931">
        <w:rPr>
          <w:rFonts w:ascii="Arial" w:eastAsia="宋体" w:hAnsi="Arial" w:cs="Arial"/>
          <w:kern w:val="0"/>
          <w:sz w:val="17"/>
          <w:szCs w:val="17"/>
        </w:rPr>
        <w:t>December</w:t>
      </w:r>
      <w:r w:rsidRPr="00AC4931">
        <w:rPr>
          <w:rFonts w:ascii="Arial" w:eastAsia="宋体" w:hAnsi="Arial" w:cs="Arial"/>
          <w:spacing w:val="17"/>
          <w:kern w:val="0"/>
          <w:sz w:val="17"/>
          <w:szCs w:val="17"/>
        </w:rPr>
        <w:t> </w:t>
      </w:r>
      <w:r w:rsidRPr="00AC4931">
        <w:rPr>
          <w:rFonts w:ascii="Arial" w:eastAsia="宋体" w:hAnsi="Arial" w:cs="Arial"/>
          <w:kern w:val="0"/>
          <w:sz w:val="17"/>
          <w:szCs w:val="17"/>
        </w:rPr>
        <w:t>31,</w:t>
      </w:r>
      <w:r w:rsidRPr="00AC4931">
        <w:rPr>
          <w:rFonts w:ascii="Arial" w:eastAsia="宋体" w:hAnsi="Arial" w:cs="Arial"/>
          <w:spacing w:val="6"/>
          <w:kern w:val="0"/>
          <w:sz w:val="17"/>
          <w:szCs w:val="17"/>
        </w:rPr>
        <w:t> </w:t>
      </w:r>
      <w:r w:rsidRPr="00AC4931">
        <w:rPr>
          <w:rFonts w:ascii="Arial" w:eastAsia="宋体" w:hAnsi="Arial" w:cs="Arial"/>
          <w:kern w:val="0"/>
          <w:sz w:val="17"/>
          <w:szCs w:val="17"/>
        </w:rPr>
        <w:t>2020.</w:t>
      </w:r>
    </w:p>
    <w:p w14:paraId="49CC1699" w14:textId="77777777" w:rsidR="00AC4931" w:rsidRPr="00AC4931" w:rsidRDefault="00AC4931" w:rsidP="00AC4931">
      <w:pPr>
        <w:widowControl/>
        <w:rPr>
          <w:rFonts w:ascii="微软雅黑" w:eastAsia="微软雅黑" w:hAnsi="微软雅黑" w:cs="宋体"/>
          <w:color w:val="000000"/>
          <w:kern w:val="0"/>
          <w:sz w:val="6"/>
          <w:szCs w:val="6"/>
        </w:rPr>
      </w:pPr>
      <w:r w:rsidRPr="00AC4931">
        <w:rPr>
          <w:rFonts w:ascii="微软雅黑" w:eastAsia="微软雅黑" w:hAnsi="微软雅黑" w:cs="宋体" w:hint="eastAsia"/>
          <w:color w:val="000000"/>
          <w:kern w:val="0"/>
          <w:sz w:val="6"/>
          <w:szCs w:val="6"/>
        </w:rPr>
        <w:t> </w:t>
      </w:r>
    </w:p>
    <w:p w14:paraId="358BB9BC" w14:textId="77777777" w:rsidR="00AC4931" w:rsidRPr="00AC4931" w:rsidRDefault="00AC4931" w:rsidP="00AC4931">
      <w:pPr>
        <w:widowControl/>
        <w:rPr>
          <w:rFonts w:ascii="Times New Roman" w:eastAsia="宋体" w:hAnsi="Times New Roman" w:cs="Times New Roman" w:hint="eastAsia"/>
          <w:b/>
          <w:bCs/>
          <w:color w:val="000000"/>
          <w:kern w:val="0"/>
          <w:sz w:val="8"/>
          <w:szCs w:val="8"/>
        </w:rPr>
      </w:pPr>
      <w:r w:rsidRPr="00AC4931">
        <w:rPr>
          <w:rFonts w:ascii="Times New Roman" w:eastAsia="宋体" w:hAnsi="Times New Roman" w:cs="Times New Roman"/>
          <w:b/>
          <w:bCs/>
          <w:color w:val="000000"/>
          <w:kern w:val="0"/>
          <w:sz w:val="8"/>
          <w:szCs w:val="8"/>
        </w:rPr>
        <w:t> </w:t>
      </w:r>
    </w:p>
    <w:p w14:paraId="4C612615" w14:textId="77777777" w:rsidR="00AC4931" w:rsidRPr="00AC4931" w:rsidRDefault="00AC4931" w:rsidP="00AC4931">
      <w:pPr>
        <w:widowControl/>
        <w:jc w:val="center"/>
        <w:rPr>
          <w:rFonts w:ascii="Times New Roman" w:eastAsia="宋体" w:hAnsi="Times New Roman" w:cs="Times New Roman"/>
          <w:b/>
          <w:bCs/>
          <w:color w:val="000000"/>
          <w:kern w:val="0"/>
          <w:sz w:val="8"/>
          <w:szCs w:val="8"/>
        </w:rPr>
      </w:pPr>
      <w:r w:rsidRPr="00AC4931">
        <w:rPr>
          <w:rFonts w:ascii="Times New Roman" w:eastAsia="宋体" w:hAnsi="Times New Roman" w:cs="Times New Roman"/>
          <w:b/>
          <w:bCs/>
          <w:color w:val="000000"/>
          <w:kern w:val="0"/>
          <w:sz w:val="8"/>
          <w:szCs w:val="8"/>
        </w:rPr>
        <w:t> </w:t>
      </w:r>
    </w:p>
    <w:p w14:paraId="45FEC3BA" w14:textId="77777777" w:rsidR="00AC4931" w:rsidRPr="00AC4931" w:rsidRDefault="00AC4931" w:rsidP="00AC4931">
      <w:pPr>
        <w:widowControl/>
        <w:spacing w:before="240"/>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9A7971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D5BB24F"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1D4449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757F7B3"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A6A7DD2">
          <v:rect id="_x0000_i1025" style="width:0;height:1.5pt" o:hralign="center" o:hrstd="t" o:hrnoshade="t" o:hr="t" fillcolor="black" stroked="f"/>
        </w:pict>
      </w:r>
    </w:p>
    <w:p w14:paraId="24C6534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77504E2"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F49404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8328B2E"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16121278"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AUTOLIV, INC.</w:t>
      </w:r>
    </w:p>
    <w:p w14:paraId="4E5B4642" w14:textId="77777777" w:rsidR="00AC4931" w:rsidRPr="00AC4931" w:rsidRDefault="00AC4931" w:rsidP="00AC4931">
      <w:pPr>
        <w:widowControl/>
        <w:spacing w:before="240"/>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Index</w:t>
      </w:r>
    </w:p>
    <w:p w14:paraId="1EA32274" w14:textId="77777777" w:rsidR="00AC4931" w:rsidRPr="00AC4931" w:rsidRDefault="00AC4931" w:rsidP="00AC4931">
      <w:pPr>
        <w:widowControl/>
        <w:jc w:val="left"/>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579"/>
        <w:gridCol w:w="449"/>
        <w:gridCol w:w="17374"/>
        <w:gridCol w:w="1212"/>
      </w:tblGrid>
      <w:tr w:rsidR="00AC4931" w:rsidRPr="00AC4931" w14:paraId="48D88CA3" w14:textId="77777777" w:rsidTr="00AC4931">
        <w:tc>
          <w:tcPr>
            <w:tcW w:w="20614" w:type="dxa"/>
            <w:gridSpan w:val="4"/>
            <w:hideMark/>
          </w:tcPr>
          <w:p w14:paraId="736D72C3" w14:textId="77777777" w:rsidR="00AC4931" w:rsidRPr="00AC4931" w:rsidRDefault="00AC4931" w:rsidP="00AC4931">
            <w:pPr>
              <w:widowControl/>
              <w:jc w:val="center"/>
              <w:rPr>
                <w:rFonts w:ascii="Arial" w:eastAsia="宋体" w:hAnsi="Arial" w:cs="Arial" w:hint="eastAsia"/>
                <w:b/>
                <w:bCs/>
                <w:kern w:val="0"/>
                <w:sz w:val="18"/>
                <w:szCs w:val="18"/>
              </w:rPr>
            </w:pPr>
            <w:hyperlink r:id="rId6" w:anchor="PART_I" w:history="1">
              <w:r w:rsidRPr="00AC4931">
                <w:rPr>
                  <w:rFonts w:ascii="Arial" w:eastAsia="宋体" w:hAnsi="Arial" w:cs="Arial"/>
                  <w:b/>
                  <w:bCs/>
                  <w:color w:val="0000FF"/>
                  <w:kern w:val="0"/>
                  <w:sz w:val="18"/>
                  <w:szCs w:val="18"/>
                  <w:u w:val="single"/>
                </w:rPr>
                <w:t>PART</w:t>
              </w:r>
              <w:r w:rsidRPr="00AC4931">
                <w:rPr>
                  <w:rFonts w:ascii="Arial" w:eastAsia="宋体" w:hAnsi="Arial" w:cs="Arial"/>
                  <w:b/>
                  <w:bCs/>
                  <w:color w:val="0000FF"/>
                  <w:spacing w:val="10"/>
                  <w:kern w:val="0"/>
                  <w:sz w:val="18"/>
                  <w:szCs w:val="18"/>
                  <w:u w:val="single"/>
                </w:rPr>
                <w:t> </w:t>
              </w:r>
              <w:r w:rsidRPr="00AC4931">
                <w:rPr>
                  <w:rFonts w:ascii="Arial" w:eastAsia="宋体" w:hAnsi="Arial" w:cs="Arial"/>
                  <w:b/>
                  <w:bCs/>
                  <w:color w:val="0000FF"/>
                  <w:kern w:val="0"/>
                  <w:sz w:val="18"/>
                  <w:szCs w:val="18"/>
                  <w:u w:val="single"/>
                </w:rPr>
                <w:t>I</w:t>
              </w:r>
            </w:hyperlink>
          </w:p>
        </w:tc>
      </w:tr>
      <w:tr w:rsidR="00AC4931" w:rsidRPr="00AC4931" w14:paraId="72B0D529" w14:textId="77777777" w:rsidTr="00AC4931">
        <w:tc>
          <w:tcPr>
            <w:tcW w:w="1579" w:type="dxa"/>
            <w:hideMark/>
          </w:tcPr>
          <w:p w14:paraId="36983556" w14:textId="77777777" w:rsidR="00AC4931" w:rsidRPr="00AC4931" w:rsidRDefault="00AC4931" w:rsidP="00AC4931">
            <w:pPr>
              <w:widowControl/>
              <w:jc w:val="left"/>
              <w:rPr>
                <w:rFonts w:ascii="宋体" w:eastAsia="宋体" w:hAnsi="宋体" w:cs="宋体"/>
                <w:b/>
                <w:bCs/>
                <w:kern w:val="0"/>
                <w:sz w:val="18"/>
                <w:szCs w:val="18"/>
              </w:rPr>
            </w:pPr>
            <w:r w:rsidRPr="00AC4931">
              <w:rPr>
                <w:rFonts w:ascii="宋体" w:eastAsia="宋体" w:hAnsi="宋体" w:cs="宋体"/>
                <w:b/>
                <w:bCs/>
                <w:kern w:val="0"/>
                <w:sz w:val="18"/>
                <w:szCs w:val="18"/>
              </w:rPr>
              <w:t> </w:t>
            </w:r>
          </w:p>
        </w:tc>
        <w:tc>
          <w:tcPr>
            <w:tcW w:w="449" w:type="dxa"/>
            <w:hideMark/>
          </w:tcPr>
          <w:p w14:paraId="08430235" w14:textId="77777777" w:rsidR="00AC4931" w:rsidRPr="00AC4931" w:rsidRDefault="00AC4931" w:rsidP="00AC4931">
            <w:pPr>
              <w:widowControl/>
              <w:jc w:val="center"/>
              <w:rPr>
                <w:rFonts w:ascii="宋体" w:eastAsia="宋体" w:hAnsi="宋体" w:cs="宋体"/>
                <w:kern w:val="0"/>
                <w:sz w:val="18"/>
                <w:szCs w:val="18"/>
              </w:rPr>
            </w:pPr>
            <w:r w:rsidRPr="00AC4931">
              <w:rPr>
                <w:rFonts w:ascii="宋体" w:eastAsia="宋体" w:hAnsi="宋体" w:cs="宋体"/>
                <w:kern w:val="0"/>
                <w:sz w:val="18"/>
                <w:szCs w:val="18"/>
              </w:rPr>
              <w:t> </w:t>
            </w:r>
          </w:p>
        </w:tc>
        <w:tc>
          <w:tcPr>
            <w:tcW w:w="17374" w:type="dxa"/>
            <w:hideMark/>
          </w:tcPr>
          <w:p w14:paraId="0DB85631"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1212" w:type="dxa"/>
            <w:hideMark/>
          </w:tcPr>
          <w:p w14:paraId="73CF4C59" w14:textId="77777777" w:rsidR="00AC4931" w:rsidRPr="00AC4931" w:rsidRDefault="00AC4931" w:rsidP="00AC4931">
            <w:pPr>
              <w:widowControl/>
              <w:jc w:val="right"/>
              <w:rPr>
                <w:rFonts w:ascii="宋体" w:eastAsia="宋体" w:hAnsi="宋体" w:cs="宋体"/>
                <w:kern w:val="0"/>
                <w:sz w:val="18"/>
                <w:szCs w:val="18"/>
              </w:rPr>
            </w:pPr>
            <w:r w:rsidRPr="00AC4931">
              <w:rPr>
                <w:rFonts w:ascii="宋体" w:eastAsia="宋体" w:hAnsi="宋体" w:cs="宋体"/>
                <w:kern w:val="0"/>
                <w:sz w:val="18"/>
                <w:szCs w:val="18"/>
              </w:rPr>
              <w:t> </w:t>
            </w:r>
          </w:p>
        </w:tc>
      </w:tr>
      <w:tr w:rsidR="00AC4931" w:rsidRPr="00AC4931" w14:paraId="4CBDCE15" w14:textId="77777777" w:rsidTr="00AC4931">
        <w:tc>
          <w:tcPr>
            <w:tcW w:w="1579" w:type="dxa"/>
            <w:hideMark/>
          </w:tcPr>
          <w:p w14:paraId="04EE7637"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1.</w:t>
            </w:r>
          </w:p>
        </w:tc>
        <w:tc>
          <w:tcPr>
            <w:tcW w:w="449" w:type="dxa"/>
            <w:hideMark/>
          </w:tcPr>
          <w:p w14:paraId="4B39DA3F" w14:textId="77777777" w:rsidR="00AC4931" w:rsidRPr="00AC4931" w:rsidRDefault="00AC4931" w:rsidP="00AC4931">
            <w:pPr>
              <w:widowControl/>
              <w:jc w:val="center"/>
              <w:rPr>
                <w:rFonts w:ascii="宋体" w:eastAsia="宋体" w:hAnsi="宋体" w:cs="宋体"/>
                <w:kern w:val="0"/>
                <w:sz w:val="18"/>
                <w:szCs w:val="18"/>
              </w:rPr>
            </w:pPr>
            <w:r w:rsidRPr="00AC4931">
              <w:rPr>
                <w:rFonts w:ascii="宋体" w:eastAsia="宋体" w:hAnsi="宋体" w:cs="宋体"/>
                <w:kern w:val="0"/>
                <w:sz w:val="18"/>
                <w:szCs w:val="18"/>
              </w:rPr>
              <w:t> </w:t>
            </w:r>
          </w:p>
        </w:tc>
        <w:tc>
          <w:tcPr>
            <w:tcW w:w="17374" w:type="dxa"/>
            <w:hideMark/>
          </w:tcPr>
          <w:p w14:paraId="05767A8F" w14:textId="77777777" w:rsidR="00AC4931" w:rsidRPr="00AC4931" w:rsidRDefault="00AC4931" w:rsidP="00AC4931">
            <w:pPr>
              <w:widowControl/>
              <w:jc w:val="left"/>
              <w:rPr>
                <w:rFonts w:ascii="Arial" w:eastAsia="宋体" w:hAnsi="Arial" w:cs="Arial"/>
                <w:kern w:val="0"/>
                <w:sz w:val="18"/>
                <w:szCs w:val="18"/>
              </w:rPr>
            </w:pPr>
            <w:hyperlink r:id="rId7" w:anchor="ITEM_1_BUSINESS" w:history="1">
              <w:r w:rsidRPr="00AC4931">
                <w:rPr>
                  <w:rFonts w:ascii="Arial" w:eastAsia="宋体" w:hAnsi="Arial" w:cs="Arial"/>
                  <w:color w:val="0000FF"/>
                  <w:kern w:val="0"/>
                  <w:sz w:val="18"/>
                  <w:szCs w:val="18"/>
                  <w:u w:val="single"/>
                </w:rPr>
                <w:t>Business</w:t>
              </w:r>
            </w:hyperlink>
          </w:p>
        </w:tc>
        <w:tc>
          <w:tcPr>
            <w:tcW w:w="1212" w:type="dxa"/>
            <w:hideMark/>
          </w:tcPr>
          <w:p w14:paraId="2D4860FE" w14:textId="77777777" w:rsidR="00AC4931" w:rsidRPr="00AC4931" w:rsidRDefault="00AC4931" w:rsidP="00AC4931">
            <w:pPr>
              <w:widowControl/>
              <w:jc w:val="right"/>
              <w:rPr>
                <w:rFonts w:ascii="Arial" w:eastAsia="宋体" w:hAnsi="Arial" w:cs="Arial"/>
                <w:kern w:val="0"/>
                <w:sz w:val="18"/>
                <w:szCs w:val="18"/>
              </w:rPr>
            </w:pPr>
            <w:r w:rsidRPr="00AC4931">
              <w:rPr>
                <w:rFonts w:ascii="Arial" w:eastAsia="宋体" w:hAnsi="Arial" w:cs="Arial"/>
                <w:kern w:val="0"/>
                <w:sz w:val="18"/>
                <w:szCs w:val="18"/>
              </w:rPr>
              <w:t>3</w:t>
            </w:r>
          </w:p>
        </w:tc>
      </w:tr>
      <w:tr w:rsidR="00AC4931" w:rsidRPr="00AC4931" w14:paraId="035F37E6" w14:textId="77777777" w:rsidTr="00AC4931">
        <w:tc>
          <w:tcPr>
            <w:tcW w:w="1579" w:type="dxa"/>
            <w:hideMark/>
          </w:tcPr>
          <w:p w14:paraId="2897E55B"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1A.</w:t>
            </w:r>
          </w:p>
        </w:tc>
        <w:tc>
          <w:tcPr>
            <w:tcW w:w="449" w:type="dxa"/>
            <w:hideMark/>
          </w:tcPr>
          <w:p w14:paraId="664692D9" w14:textId="77777777" w:rsidR="00AC4931" w:rsidRPr="00AC4931" w:rsidRDefault="00AC4931" w:rsidP="00AC4931">
            <w:pPr>
              <w:widowControl/>
              <w:jc w:val="center"/>
              <w:rPr>
                <w:rFonts w:ascii="宋体" w:eastAsia="宋体" w:hAnsi="宋体" w:cs="宋体"/>
                <w:kern w:val="0"/>
                <w:sz w:val="18"/>
                <w:szCs w:val="18"/>
              </w:rPr>
            </w:pPr>
            <w:r w:rsidRPr="00AC4931">
              <w:rPr>
                <w:rFonts w:ascii="宋体" w:eastAsia="宋体" w:hAnsi="宋体" w:cs="宋体"/>
                <w:kern w:val="0"/>
                <w:sz w:val="18"/>
                <w:szCs w:val="18"/>
              </w:rPr>
              <w:t> </w:t>
            </w:r>
          </w:p>
        </w:tc>
        <w:tc>
          <w:tcPr>
            <w:tcW w:w="17374" w:type="dxa"/>
            <w:hideMark/>
          </w:tcPr>
          <w:p w14:paraId="3C7C70EA" w14:textId="77777777" w:rsidR="00AC4931" w:rsidRPr="00AC4931" w:rsidRDefault="00AC4931" w:rsidP="00AC4931">
            <w:pPr>
              <w:widowControl/>
              <w:jc w:val="left"/>
              <w:rPr>
                <w:rFonts w:ascii="Arial" w:eastAsia="宋体" w:hAnsi="Arial" w:cs="Arial"/>
                <w:kern w:val="0"/>
                <w:sz w:val="18"/>
                <w:szCs w:val="18"/>
              </w:rPr>
            </w:pPr>
            <w:hyperlink r:id="rId8" w:anchor="ITEM_1A_RISK_FACTORS" w:history="1">
              <w:r w:rsidRPr="00AC4931">
                <w:rPr>
                  <w:rFonts w:ascii="Arial" w:eastAsia="宋体" w:hAnsi="Arial" w:cs="Arial"/>
                  <w:color w:val="0000FF"/>
                  <w:kern w:val="0"/>
                  <w:sz w:val="18"/>
                  <w:szCs w:val="18"/>
                  <w:u w:val="single"/>
                </w:rPr>
                <w:t>Risk</w:t>
              </w:r>
              <w:r w:rsidRPr="00AC4931">
                <w:rPr>
                  <w:rFonts w:ascii="Arial" w:eastAsia="宋体" w:hAnsi="Arial" w:cs="Arial"/>
                  <w:color w:val="0000FF"/>
                  <w:spacing w:val="7"/>
                  <w:kern w:val="0"/>
                  <w:sz w:val="18"/>
                  <w:szCs w:val="18"/>
                  <w:u w:val="single"/>
                </w:rPr>
                <w:t> </w:t>
              </w:r>
              <w:r w:rsidRPr="00AC4931">
                <w:rPr>
                  <w:rFonts w:ascii="Arial" w:eastAsia="宋体" w:hAnsi="Arial" w:cs="Arial"/>
                  <w:color w:val="0000FF"/>
                  <w:kern w:val="0"/>
                  <w:sz w:val="18"/>
                  <w:szCs w:val="18"/>
                  <w:u w:val="single"/>
                </w:rPr>
                <w:t>Factors</w:t>
              </w:r>
            </w:hyperlink>
          </w:p>
        </w:tc>
        <w:tc>
          <w:tcPr>
            <w:tcW w:w="1212" w:type="dxa"/>
            <w:hideMark/>
          </w:tcPr>
          <w:p w14:paraId="0D0491EF" w14:textId="77777777" w:rsidR="00AC4931" w:rsidRPr="00AC4931" w:rsidRDefault="00AC4931" w:rsidP="00AC4931">
            <w:pPr>
              <w:widowControl/>
              <w:jc w:val="right"/>
              <w:rPr>
                <w:rFonts w:ascii="Arial" w:eastAsia="宋体" w:hAnsi="Arial" w:cs="Arial"/>
                <w:kern w:val="0"/>
                <w:sz w:val="18"/>
                <w:szCs w:val="18"/>
              </w:rPr>
            </w:pPr>
            <w:r w:rsidRPr="00AC4931">
              <w:rPr>
                <w:rFonts w:ascii="Arial" w:eastAsia="宋体" w:hAnsi="Arial" w:cs="Arial"/>
                <w:kern w:val="0"/>
                <w:sz w:val="18"/>
                <w:szCs w:val="18"/>
              </w:rPr>
              <w:t>9</w:t>
            </w:r>
          </w:p>
        </w:tc>
      </w:tr>
      <w:tr w:rsidR="00AC4931" w:rsidRPr="00AC4931" w14:paraId="45776ED1" w14:textId="77777777" w:rsidTr="00AC4931">
        <w:tc>
          <w:tcPr>
            <w:tcW w:w="1579" w:type="dxa"/>
            <w:hideMark/>
          </w:tcPr>
          <w:p w14:paraId="76F01D43"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1B.</w:t>
            </w:r>
          </w:p>
        </w:tc>
        <w:tc>
          <w:tcPr>
            <w:tcW w:w="449" w:type="dxa"/>
            <w:hideMark/>
          </w:tcPr>
          <w:p w14:paraId="749F81B5" w14:textId="77777777" w:rsidR="00AC4931" w:rsidRPr="00AC4931" w:rsidRDefault="00AC4931" w:rsidP="00AC4931">
            <w:pPr>
              <w:widowControl/>
              <w:jc w:val="center"/>
              <w:rPr>
                <w:rFonts w:ascii="宋体" w:eastAsia="宋体" w:hAnsi="宋体" w:cs="宋体"/>
                <w:kern w:val="0"/>
                <w:sz w:val="18"/>
                <w:szCs w:val="18"/>
              </w:rPr>
            </w:pPr>
            <w:r w:rsidRPr="00AC4931">
              <w:rPr>
                <w:rFonts w:ascii="宋体" w:eastAsia="宋体" w:hAnsi="宋体" w:cs="宋体"/>
                <w:kern w:val="0"/>
                <w:sz w:val="18"/>
                <w:szCs w:val="18"/>
              </w:rPr>
              <w:t> </w:t>
            </w:r>
          </w:p>
        </w:tc>
        <w:tc>
          <w:tcPr>
            <w:tcW w:w="17374" w:type="dxa"/>
            <w:hideMark/>
          </w:tcPr>
          <w:p w14:paraId="263FEC06" w14:textId="77777777" w:rsidR="00AC4931" w:rsidRPr="00AC4931" w:rsidRDefault="00AC4931" w:rsidP="00AC4931">
            <w:pPr>
              <w:widowControl/>
              <w:jc w:val="left"/>
              <w:rPr>
                <w:rFonts w:ascii="Arial" w:eastAsia="宋体" w:hAnsi="Arial" w:cs="Arial"/>
                <w:kern w:val="0"/>
                <w:sz w:val="18"/>
                <w:szCs w:val="18"/>
              </w:rPr>
            </w:pPr>
            <w:hyperlink r:id="rId9" w:anchor="ITEM_1B_UNRESOLVED_STAFF_COMMENTS" w:history="1">
              <w:r w:rsidRPr="00AC4931">
                <w:rPr>
                  <w:rFonts w:ascii="Arial" w:eastAsia="宋体" w:hAnsi="Arial" w:cs="Arial"/>
                  <w:color w:val="0000FF"/>
                  <w:kern w:val="0"/>
                  <w:sz w:val="18"/>
                  <w:szCs w:val="18"/>
                  <w:u w:val="single"/>
                </w:rPr>
                <w:t>Unresolved</w:t>
              </w:r>
              <w:r w:rsidRPr="00AC4931">
                <w:rPr>
                  <w:rFonts w:ascii="Arial" w:eastAsia="宋体" w:hAnsi="Arial" w:cs="Arial"/>
                  <w:color w:val="0000FF"/>
                  <w:spacing w:val="18"/>
                  <w:kern w:val="0"/>
                  <w:sz w:val="18"/>
                  <w:szCs w:val="18"/>
                  <w:u w:val="single"/>
                </w:rPr>
                <w:t> </w:t>
              </w:r>
              <w:r w:rsidRPr="00AC4931">
                <w:rPr>
                  <w:rFonts w:ascii="Arial" w:eastAsia="宋体" w:hAnsi="Arial" w:cs="Arial"/>
                  <w:color w:val="0000FF"/>
                  <w:kern w:val="0"/>
                  <w:sz w:val="18"/>
                  <w:szCs w:val="18"/>
                  <w:u w:val="single"/>
                </w:rPr>
                <w:t>Staff</w:t>
              </w:r>
              <w:r w:rsidRPr="00AC4931">
                <w:rPr>
                  <w:rFonts w:ascii="Arial" w:eastAsia="宋体" w:hAnsi="Arial" w:cs="Arial"/>
                  <w:color w:val="0000FF"/>
                  <w:spacing w:val="8"/>
                  <w:kern w:val="0"/>
                  <w:sz w:val="18"/>
                  <w:szCs w:val="18"/>
                  <w:u w:val="single"/>
                </w:rPr>
                <w:t> </w:t>
              </w:r>
              <w:r w:rsidRPr="00AC4931">
                <w:rPr>
                  <w:rFonts w:ascii="Arial" w:eastAsia="宋体" w:hAnsi="Arial" w:cs="Arial"/>
                  <w:color w:val="0000FF"/>
                  <w:kern w:val="0"/>
                  <w:sz w:val="18"/>
                  <w:szCs w:val="18"/>
                  <w:u w:val="single"/>
                </w:rPr>
                <w:t>Comments</w:t>
              </w:r>
            </w:hyperlink>
          </w:p>
        </w:tc>
        <w:tc>
          <w:tcPr>
            <w:tcW w:w="1212" w:type="dxa"/>
            <w:hideMark/>
          </w:tcPr>
          <w:p w14:paraId="7D4E71FA" w14:textId="77777777" w:rsidR="00AC4931" w:rsidRPr="00AC4931" w:rsidRDefault="00AC4931" w:rsidP="00AC4931">
            <w:pPr>
              <w:widowControl/>
              <w:jc w:val="right"/>
              <w:rPr>
                <w:rFonts w:ascii="Arial" w:eastAsia="宋体" w:hAnsi="Arial" w:cs="Arial"/>
                <w:kern w:val="0"/>
                <w:sz w:val="18"/>
                <w:szCs w:val="18"/>
              </w:rPr>
            </w:pPr>
            <w:r w:rsidRPr="00AC4931">
              <w:rPr>
                <w:rFonts w:ascii="Arial" w:eastAsia="宋体" w:hAnsi="Arial" w:cs="Arial"/>
                <w:kern w:val="0"/>
                <w:sz w:val="18"/>
                <w:szCs w:val="18"/>
              </w:rPr>
              <w:t>21</w:t>
            </w:r>
          </w:p>
        </w:tc>
      </w:tr>
      <w:tr w:rsidR="00AC4931" w:rsidRPr="00AC4931" w14:paraId="2AFDA00A" w14:textId="77777777" w:rsidTr="00AC4931">
        <w:tc>
          <w:tcPr>
            <w:tcW w:w="1579" w:type="dxa"/>
            <w:hideMark/>
          </w:tcPr>
          <w:p w14:paraId="11E33074"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2.</w:t>
            </w:r>
          </w:p>
        </w:tc>
        <w:tc>
          <w:tcPr>
            <w:tcW w:w="449" w:type="dxa"/>
            <w:hideMark/>
          </w:tcPr>
          <w:p w14:paraId="53C69487" w14:textId="77777777" w:rsidR="00AC4931" w:rsidRPr="00AC4931" w:rsidRDefault="00AC4931" w:rsidP="00AC4931">
            <w:pPr>
              <w:widowControl/>
              <w:jc w:val="center"/>
              <w:rPr>
                <w:rFonts w:ascii="宋体" w:eastAsia="宋体" w:hAnsi="宋体" w:cs="宋体"/>
                <w:kern w:val="0"/>
                <w:sz w:val="18"/>
                <w:szCs w:val="18"/>
              </w:rPr>
            </w:pPr>
            <w:r w:rsidRPr="00AC4931">
              <w:rPr>
                <w:rFonts w:ascii="宋体" w:eastAsia="宋体" w:hAnsi="宋体" w:cs="宋体"/>
                <w:kern w:val="0"/>
                <w:sz w:val="18"/>
                <w:szCs w:val="18"/>
              </w:rPr>
              <w:t> </w:t>
            </w:r>
          </w:p>
        </w:tc>
        <w:tc>
          <w:tcPr>
            <w:tcW w:w="17374" w:type="dxa"/>
            <w:hideMark/>
          </w:tcPr>
          <w:p w14:paraId="043CD657" w14:textId="77777777" w:rsidR="00AC4931" w:rsidRPr="00AC4931" w:rsidRDefault="00AC4931" w:rsidP="00AC4931">
            <w:pPr>
              <w:widowControl/>
              <w:jc w:val="left"/>
              <w:rPr>
                <w:rFonts w:ascii="Arial" w:eastAsia="宋体" w:hAnsi="Arial" w:cs="Arial"/>
                <w:kern w:val="0"/>
                <w:sz w:val="18"/>
                <w:szCs w:val="18"/>
              </w:rPr>
            </w:pPr>
            <w:hyperlink r:id="rId10" w:anchor="ITEM_2_PROPERTIES" w:history="1">
              <w:r w:rsidRPr="00AC4931">
                <w:rPr>
                  <w:rFonts w:ascii="Arial" w:eastAsia="宋体" w:hAnsi="Arial" w:cs="Arial"/>
                  <w:color w:val="0000FF"/>
                  <w:kern w:val="0"/>
                  <w:sz w:val="18"/>
                  <w:szCs w:val="18"/>
                  <w:u w:val="single"/>
                </w:rPr>
                <w:t>Properties</w:t>
              </w:r>
            </w:hyperlink>
          </w:p>
        </w:tc>
        <w:tc>
          <w:tcPr>
            <w:tcW w:w="1212" w:type="dxa"/>
            <w:hideMark/>
          </w:tcPr>
          <w:p w14:paraId="2CF76C2C" w14:textId="77777777" w:rsidR="00AC4931" w:rsidRPr="00AC4931" w:rsidRDefault="00AC4931" w:rsidP="00AC4931">
            <w:pPr>
              <w:widowControl/>
              <w:jc w:val="right"/>
              <w:rPr>
                <w:rFonts w:ascii="Arial" w:eastAsia="宋体" w:hAnsi="Arial" w:cs="Arial"/>
                <w:kern w:val="0"/>
                <w:sz w:val="18"/>
                <w:szCs w:val="18"/>
              </w:rPr>
            </w:pPr>
            <w:r w:rsidRPr="00AC4931">
              <w:rPr>
                <w:rFonts w:ascii="Arial" w:eastAsia="宋体" w:hAnsi="Arial" w:cs="Arial"/>
                <w:kern w:val="0"/>
                <w:sz w:val="18"/>
                <w:szCs w:val="18"/>
              </w:rPr>
              <w:t>22</w:t>
            </w:r>
          </w:p>
        </w:tc>
      </w:tr>
      <w:tr w:rsidR="00AC4931" w:rsidRPr="00AC4931" w14:paraId="24C6BE90" w14:textId="77777777" w:rsidTr="00AC4931">
        <w:tc>
          <w:tcPr>
            <w:tcW w:w="1579" w:type="dxa"/>
            <w:hideMark/>
          </w:tcPr>
          <w:p w14:paraId="5EF1611E"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3.</w:t>
            </w:r>
          </w:p>
        </w:tc>
        <w:tc>
          <w:tcPr>
            <w:tcW w:w="449" w:type="dxa"/>
            <w:hideMark/>
          </w:tcPr>
          <w:p w14:paraId="6D27B2A8" w14:textId="77777777" w:rsidR="00AC4931" w:rsidRPr="00AC4931" w:rsidRDefault="00AC4931" w:rsidP="00AC4931">
            <w:pPr>
              <w:widowControl/>
              <w:jc w:val="center"/>
              <w:rPr>
                <w:rFonts w:ascii="宋体" w:eastAsia="宋体" w:hAnsi="宋体" w:cs="宋体"/>
                <w:kern w:val="0"/>
                <w:sz w:val="18"/>
                <w:szCs w:val="18"/>
              </w:rPr>
            </w:pPr>
            <w:r w:rsidRPr="00AC4931">
              <w:rPr>
                <w:rFonts w:ascii="宋体" w:eastAsia="宋体" w:hAnsi="宋体" w:cs="宋体"/>
                <w:kern w:val="0"/>
                <w:sz w:val="18"/>
                <w:szCs w:val="18"/>
              </w:rPr>
              <w:t> </w:t>
            </w:r>
          </w:p>
        </w:tc>
        <w:tc>
          <w:tcPr>
            <w:tcW w:w="17374" w:type="dxa"/>
            <w:hideMark/>
          </w:tcPr>
          <w:p w14:paraId="26FDD36A" w14:textId="77777777" w:rsidR="00AC4931" w:rsidRPr="00AC4931" w:rsidRDefault="00AC4931" w:rsidP="00AC4931">
            <w:pPr>
              <w:widowControl/>
              <w:jc w:val="left"/>
              <w:rPr>
                <w:rFonts w:ascii="Arial" w:eastAsia="宋体" w:hAnsi="Arial" w:cs="Arial"/>
                <w:kern w:val="0"/>
                <w:sz w:val="18"/>
                <w:szCs w:val="18"/>
              </w:rPr>
            </w:pPr>
            <w:hyperlink r:id="rId11" w:anchor="ITEM_3_LEGAL_PROCEEDINGS" w:history="1">
              <w:r w:rsidRPr="00AC4931">
                <w:rPr>
                  <w:rFonts w:ascii="Arial" w:eastAsia="宋体" w:hAnsi="Arial" w:cs="Arial"/>
                  <w:color w:val="0000FF"/>
                  <w:kern w:val="0"/>
                  <w:sz w:val="18"/>
                  <w:szCs w:val="18"/>
                  <w:u w:val="single"/>
                </w:rPr>
                <w:t>Legal</w:t>
              </w:r>
              <w:r w:rsidRPr="00AC4931">
                <w:rPr>
                  <w:rFonts w:ascii="Arial" w:eastAsia="宋体" w:hAnsi="Arial" w:cs="Arial"/>
                  <w:color w:val="0000FF"/>
                  <w:spacing w:val="10"/>
                  <w:kern w:val="0"/>
                  <w:sz w:val="18"/>
                  <w:szCs w:val="18"/>
                  <w:u w:val="single"/>
                </w:rPr>
                <w:t> </w:t>
              </w:r>
              <w:r w:rsidRPr="00AC4931">
                <w:rPr>
                  <w:rFonts w:ascii="Arial" w:eastAsia="宋体" w:hAnsi="Arial" w:cs="Arial"/>
                  <w:color w:val="0000FF"/>
                  <w:kern w:val="0"/>
                  <w:sz w:val="18"/>
                  <w:szCs w:val="18"/>
                  <w:u w:val="single"/>
                </w:rPr>
                <w:t>Proceedings</w:t>
              </w:r>
            </w:hyperlink>
          </w:p>
        </w:tc>
        <w:tc>
          <w:tcPr>
            <w:tcW w:w="1212" w:type="dxa"/>
            <w:hideMark/>
          </w:tcPr>
          <w:p w14:paraId="72A45110" w14:textId="77777777" w:rsidR="00AC4931" w:rsidRPr="00AC4931" w:rsidRDefault="00AC4931" w:rsidP="00AC4931">
            <w:pPr>
              <w:widowControl/>
              <w:jc w:val="right"/>
              <w:rPr>
                <w:rFonts w:ascii="Arial" w:eastAsia="宋体" w:hAnsi="Arial" w:cs="Arial"/>
                <w:kern w:val="0"/>
                <w:sz w:val="18"/>
                <w:szCs w:val="18"/>
              </w:rPr>
            </w:pPr>
            <w:r w:rsidRPr="00AC4931">
              <w:rPr>
                <w:rFonts w:ascii="Arial" w:eastAsia="宋体" w:hAnsi="Arial" w:cs="Arial"/>
                <w:kern w:val="0"/>
                <w:sz w:val="18"/>
                <w:szCs w:val="18"/>
              </w:rPr>
              <w:t>25</w:t>
            </w:r>
          </w:p>
        </w:tc>
      </w:tr>
      <w:tr w:rsidR="00AC4931" w:rsidRPr="00AC4931" w14:paraId="11DD68C6" w14:textId="77777777" w:rsidTr="00AC4931">
        <w:tc>
          <w:tcPr>
            <w:tcW w:w="1579" w:type="dxa"/>
            <w:hideMark/>
          </w:tcPr>
          <w:p w14:paraId="77895594"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4.</w:t>
            </w:r>
          </w:p>
        </w:tc>
        <w:tc>
          <w:tcPr>
            <w:tcW w:w="449" w:type="dxa"/>
            <w:hideMark/>
          </w:tcPr>
          <w:p w14:paraId="6AA5029A" w14:textId="77777777" w:rsidR="00AC4931" w:rsidRPr="00AC4931" w:rsidRDefault="00AC4931" w:rsidP="00AC4931">
            <w:pPr>
              <w:widowControl/>
              <w:jc w:val="center"/>
              <w:rPr>
                <w:rFonts w:ascii="宋体" w:eastAsia="宋体" w:hAnsi="宋体" w:cs="宋体"/>
                <w:kern w:val="0"/>
                <w:sz w:val="18"/>
                <w:szCs w:val="18"/>
              </w:rPr>
            </w:pPr>
            <w:r w:rsidRPr="00AC4931">
              <w:rPr>
                <w:rFonts w:ascii="宋体" w:eastAsia="宋体" w:hAnsi="宋体" w:cs="宋体"/>
                <w:kern w:val="0"/>
                <w:sz w:val="18"/>
                <w:szCs w:val="18"/>
              </w:rPr>
              <w:t> </w:t>
            </w:r>
          </w:p>
        </w:tc>
        <w:tc>
          <w:tcPr>
            <w:tcW w:w="17374" w:type="dxa"/>
            <w:hideMark/>
          </w:tcPr>
          <w:p w14:paraId="5761C741" w14:textId="77777777" w:rsidR="00AC4931" w:rsidRPr="00AC4931" w:rsidRDefault="00AC4931" w:rsidP="00AC4931">
            <w:pPr>
              <w:widowControl/>
              <w:jc w:val="left"/>
              <w:rPr>
                <w:rFonts w:ascii="Arial" w:eastAsia="宋体" w:hAnsi="Arial" w:cs="Arial"/>
                <w:kern w:val="0"/>
                <w:sz w:val="18"/>
                <w:szCs w:val="18"/>
              </w:rPr>
            </w:pPr>
            <w:hyperlink r:id="rId12" w:anchor="ITEM_4_MINE_SAFETY_DISCLOSURES" w:history="1">
              <w:r w:rsidRPr="00AC4931">
                <w:rPr>
                  <w:rFonts w:ascii="Arial" w:eastAsia="宋体" w:hAnsi="Arial" w:cs="Arial"/>
                  <w:color w:val="0000FF"/>
                  <w:kern w:val="0"/>
                  <w:sz w:val="18"/>
                  <w:szCs w:val="18"/>
                  <w:u w:val="single"/>
                </w:rPr>
                <w:t>Mine</w:t>
              </w:r>
              <w:r w:rsidRPr="00AC4931">
                <w:rPr>
                  <w:rFonts w:ascii="Arial" w:eastAsia="宋体" w:hAnsi="Arial" w:cs="Arial"/>
                  <w:color w:val="0000FF"/>
                  <w:spacing w:val="8"/>
                  <w:kern w:val="0"/>
                  <w:sz w:val="18"/>
                  <w:szCs w:val="18"/>
                  <w:u w:val="single"/>
                </w:rPr>
                <w:t> </w:t>
              </w:r>
              <w:r w:rsidRPr="00AC4931">
                <w:rPr>
                  <w:rFonts w:ascii="Arial" w:eastAsia="宋体" w:hAnsi="Arial" w:cs="Arial"/>
                  <w:color w:val="0000FF"/>
                  <w:kern w:val="0"/>
                  <w:sz w:val="18"/>
                  <w:szCs w:val="18"/>
                  <w:u w:val="single"/>
                </w:rPr>
                <w:t>Safety</w:t>
              </w:r>
              <w:r w:rsidRPr="00AC4931">
                <w:rPr>
                  <w:rFonts w:ascii="Arial" w:eastAsia="宋体" w:hAnsi="Arial" w:cs="Arial"/>
                  <w:color w:val="0000FF"/>
                  <w:spacing w:val="11"/>
                  <w:kern w:val="0"/>
                  <w:sz w:val="18"/>
                  <w:szCs w:val="18"/>
                  <w:u w:val="single"/>
                </w:rPr>
                <w:t> </w:t>
              </w:r>
              <w:r w:rsidRPr="00AC4931">
                <w:rPr>
                  <w:rFonts w:ascii="Arial" w:eastAsia="宋体" w:hAnsi="Arial" w:cs="Arial"/>
                  <w:color w:val="0000FF"/>
                  <w:spacing w:val="-1"/>
                  <w:kern w:val="0"/>
                  <w:sz w:val="18"/>
                  <w:szCs w:val="18"/>
                  <w:u w:val="single"/>
                </w:rPr>
                <w:t>D</w:t>
              </w:r>
              <w:r w:rsidRPr="00AC4931">
                <w:rPr>
                  <w:rFonts w:ascii="Arial" w:eastAsia="宋体" w:hAnsi="Arial" w:cs="Arial"/>
                  <w:color w:val="0000FF"/>
                  <w:spacing w:val="1"/>
                  <w:kern w:val="0"/>
                  <w:sz w:val="18"/>
                  <w:szCs w:val="18"/>
                  <w:u w:val="single"/>
                </w:rPr>
                <w:t>i</w:t>
              </w:r>
              <w:r w:rsidRPr="00AC4931">
                <w:rPr>
                  <w:rFonts w:ascii="Arial" w:eastAsia="宋体" w:hAnsi="Arial" w:cs="Arial"/>
                  <w:color w:val="0000FF"/>
                  <w:spacing w:val="-1"/>
                  <w:kern w:val="0"/>
                  <w:sz w:val="18"/>
                  <w:szCs w:val="18"/>
                  <w:u w:val="single"/>
                </w:rPr>
                <w:t>sc</w:t>
              </w:r>
              <w:r w:rsidRPr="00AC4931">
                <w:rPr>
                  <w:rFonts w:ascii="Arial" w:eastAsia="宋体" w:hAnsi="Arial" w:cs="Arial"/>
                  <w:color w:val="0000FF"/>
                  <w:spacing w:val="1"/>
                  <w:kern w:val="0"/>
                  <w:sz w:val="18"/>
                  <w:szCs w:val="18"/>
                  <w:u w:val="single"/>
                </w:rPr>
                <w:t>l</w:t>
              </w:r>
              <w:r w:rsidRPr="00AC4931">
                <w:rPr>
                  <w:rFonts w:ascii="Arial" w:eastAsia="宋体" w:hAnsi="Arial" w:cs="Arial"/>
                  <w:color w:val="0000FF"/>
                  <w:spacing w:val="-1"/>
                  <w:kern w:val="0"/>
                  <w:sz w:val="18"/>
                  <w:szCs w:val="18"/>
                  <w:u w:val="single"/>
                </w:rPr>
                <w:t>osu</w:t>
              </w:r>
              <w:r w:rsidRPr="00AC4931">
                <w:rPr>
                  <w:rFonts w:ascii="Arial" w:eastAsia="宋体" w:hAnsi="Arial" w:cs="Arial"/>
                  <w:color w:val="0000FF"/>
                  <w:kern w:val="0"/>
                  <w:sz w:val="18"/>
                  <w:szCs w:val="18"/>
                  <w:u w:val="single"/>
                </w:rPr>
                <w:t>res</w:t>
              </w:r>
            </w:hyperlink>
          </w:p>
        </w:tc>
        <w:tc>
          <w:tcPr>
            <w:tcW w:w="1212" w:type="dxa"/>
            <w:hideMark/>
          </w:tcPr>
          <w:p w14:paraId="5D25E560" w14:textId="77777777" w:rsidR="00AC4931" w:rsidRPr="00AC4931" w:rsidRDefault="00AC4931" w:rsidP="00AC4931">
            <w:pPr>
              <w:widowControl/>
              <w:jc w:val="right"/>
              <w:rPr>
                <w:rFonts w:ascii="Arial" w:eastAsia="宋体" w:hAnsi="Arial" w:cs="Arial"/>
                <w:kern w:val="0"/>
                <w:sz w:val="18"/>
                <w:szCs w:val="18"/>
              </w:rPr>
            </w:pPr>
            <w:r w:rsidRPr="00AC4931">
              <w:rPr>
                <w:rFonts w:ascii="Arial" w:eastAsia="宋体" w:hAnsi="Arial" w:cs="Arial"/>
                <w:kern w:val="0"/>
                <w:sz w:val="18"/>
                <w:szCs w:val="18"/>
              </w:rPr>
              <w:t>25</w:t>
            </w:r>
          </w:p>
        </w:tc>
      </w:tr>
      <w:tr w:rsidR="00AC4931" w:rsidRPr="00AC4931" w14:paraId="5138157D" w14:textId="77777777" w:rsidTr="00AC4931">
        <w:tc>
          <w:tcPr>
            <w:tcW w:w="1579" w:type="dxa"/>
            <w:hideMark/>
          </w:tcPr>
          <w:p w14:paraId="76091FAF" w14:textId="77777777" w:rsidR="00AC4931" w:rsidRPr="00AC4931" w:rsidRDefault="00AC4931" w:rsidP="00AC4931">
            <w:pPr>
              <w:widowControl/>
              <w:jc w:val="lef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449" w:type="dxa"/>
            <w:hideMark/>
          </w:tcPr>
          <w:p w14:paraId="57117FC6"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555FAADE" w14:textId="77777777" w:rsidR="00AC4931" w:rsidRPr="00AC4931" w:rsidRDefault="00AC4931" w:rsidP="00AC4931">
            <w:pPr>
              <w:widowControl/>
              <w:jc w:val="lef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212" w:type="dxa"/>
            <w:hideMark/>
          </w:tcPr>
          <w:p w14:paraId="522ADB9E" w14:textId="77777777" w:rsidR="00AC4931" w:rsidRPr="00AC4931" w:rsidRDefault="00AC4931" w:rsidP="00AC4931">
            <w:pPr>
              <w:widowControl/>
              <w:jc w:val="righ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r>
      <w:tr w:rsidR="00AC4931" w:rsidRPr="00AC4931" w14:paraId="7D0BE8DC" w14:textId="77777777" w:rsidTr="00AC4931">
        <w:tc>
          <w:tcPr>
            <w:tcW w:w="20614" w:type="dxa"/>
            <w:gridSpan w:val="4"/>
            <w:hideMark/>
          </w:tcPr>
          <w:p w14:paraId="6F9D351F" w14:textId="77777777" w:rsidR="00AC4931" w:rsidRPr="00AC4931" w:rsidRDefault="00AC4931" w:rsidP="00AC4931">
            <w:pPr>
              <w:widowControl/>
              <w:jc w:val="center"/>
              <w:rPr>
                <w:rFonts w:ascii="Arial" w:eastAsia="宋体" w:hAnsi="Arial" w:cs="Arial"/>
                <w:b/>
                <w:bCs/>
                <w:kern w:val="0"/>
                <w:sz w:val="18"/>
                <w:szCs w:val="18"/>
              </w:rPr>
            </w:pPr>
            <w:hyperlink r:id="rId13" w:anchor="PART_II" w:history="1">
              <w:r w:rsidRPr="00AC4931">
                <w:rPr>
                  <w:rFonts w:ascii="Arial" w:eastAsia="宋体" w:hAnsi="Arial" w:cs="Arial"/>
                  <w:b/>
                  <w:bCs/>
                  <w:color w:val="0000FF"/>
                  <w:kern w:val="0"/>
                  <w:sz w:val="18"/>
                  <w:szCs w:val="18"/>
                  <w:u w:val="single"/>
                </w:rPr>
                <w:t>PART</w:t>
              </w:r>
              <w:r w:rsidRPr="00AC4931">
                <w:rPr>
                  <w:rFonts w:ascii="Arial" w:eastAsia="宋体" w:hAnsi="Arial" w:cs="Arial"/>
                  <w:b/>
                  <w:bCs/>
                  <w:color w:val="0000FF"/>
                  <w:spacing w:val="11"/>
                  <w:kern w:val="0"/>
                  <w:sz w:val="18"/>
                  <w:szCs w:val="18"/>
                  <w:u w:val="single"/>
                </w:rPr>
                <w:t> </w:t>
              </w:r>
              <w:r w:rsidRPr="00AC4931">
                <w:rPr>
                  <w:rFonts w:ascii="Arial" w:eastAsia="宋体" w:hAnsi="Arial" w:cs="Arial"/>
                  <w:b/>
                  <w:bCs/>
                  <w:color w:val="0000FF"/>
                  <w:kern w:val="0"/>
                  <w:sz w:val="18"/>
                  <w:szCs w:val="18"/>
                  <w:u w:val="single"/>
                </w:rPr>
                <w:t>II</w:t>
              </w:r>
            </w:hyperlink>
          </w:p>
        </w:tc>
      </w:tr>
      <w:tr w:rsidR="00AC4931" w:rsidRPr="00AC4931" w14:paraId="513739D3" w14:textId="77777777" w:rsidTr="00AC4931">
        <w:tc>
          <w:tcPr>
            <w:tcW w:w="1579" w:type="dxa"/>
            <w:hideMark/>
          </w:tcPr>
          <w:p w14:paraId="4CF130D7" w14:textId="77777777" w:rsidR="00AC4931" w:rsidRPr="00AC4931" w:rsidRDefault="00AC4931" w:rsidP="00AC4931">
            <w:pPr>
              <w:widowControl/>
              <w:jc w:val="lef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449" w:type="dxa"/>
            <w:hideMark/>
          </w:tcPr>
          <w:p w14:paraId="5BEB77C1"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735E042C" w14:textId="77777777" w:rsidR="00AC4931" w:rsidRPr="00AC4931" w:rsidRDefault="00AC4931" w:rsidP="00AC4931">
            <w:pPr>
              <w:widowControl/>
              <w:jc w:val="lef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212" w:type="dxa"/>
            <w:hideMark/>
          </w:tcPr>
          <w:p w14:paraId="78D2FCC0" w14:textId="77777777" w:rsidR="00AC4931" w:rsidRPr="00AC4931" w:rsidRDefault="00AC4931" w:rsidP="00AC4931">
            <w:pPr>
              <w:widowControl/>
              <w:jc w:val="righ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r>
      <w:tr w:rsidR="00AC4931" w:rsidRPr="00AC4931" w14:paraId="4B9AB364" w14:textId="77777777" w:rsidTr="00AC4931">
        <w:tc>
          <w:tcPr>
            <w:tcW w:w="1579" w:type="dxa"/>
            <w:hideMark/>
          </w:tcPr>
          <w:p w14:paraId="4EB23908"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5.</w:t>
            </w:r>
          </w:p>
        </w:tc>
        <w:tc>
          <w:tcPr>
            <w:tcW w:w="449" w:type="dxa"/>
            <w:hideMark/>
          </w:tcPr>
          <w:p w14:paraId="2642B888"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68ADFDF7" w14:textId="77777777" w:rsidR="00AC4931" w:rsidRPr="00AC4931" w:rsidRDefault="00AC4931" w:rsidP="00AC4931">
            <w:pPr>
              <w:widowControl/>
              <w:jc w:val="left"/>
              <w:rPr>
                <w:rFonts w:ascii="Arial" w:eastAsia="宋体" w:hAnsi="Arial" w:cs="Arial"/>
                <w:spacing w:val="-1"/>
                <w:kern w:val="0"/>
                <w:sz w:val="18"/>
                <w:szCs w:val="18"/>
              </w:rPr>
            </w:pPr>
            <w:hyperlink r:id="rId14" w:anchor="ITEM_5_MARKET_FOR_REGISTRANTS_COMMON_EQU" w:history="1">
              <w:r w:rsidRPr="00AC4931">
                <w:rPr>
                  <w:rFonts w:ascii="Arial" w:eastAsia="宋体" w:hAnsi="Arial" w:cs="Arial"/>
                  <w:color w:val="0000FF"/>
                  <w:spacing w:val="-1"/>
                  <w:kern w:val="0"/>
                  <w:sz w:val="18"/>
                  <w:szCs w:val="18"/>
                  <w:u w:val="single"/>
                </w:rPr>
                <w:t>Market</w:t>
              </w:r>
              <w:r w:rsidRPr="00AC4931">
                <w:rPr>
                  <w:rFonts w:ascii="Arial" w:eastAsia="宋体" w:hAnsi="Arial" w:cs="Arial"/>
                  <w:color w:val="0000FF"/>
                  <w:spacing w:val="12"/>
                  <w:kern w:val="0"/>
                  <w:sz w:val="18"/>
                  <w:szCs w:val="18"/>
                  <w:u w:val="single"/>
                </w:rPr>
                <w:t> </w:t>
              </w:r>
              <w:r w:rsidRPr="00AC4931">
                <w:rPr>
                  <w:rFonts w:ascii="Arial" w:eastAsia="宋体" w:hAnsi="Arial" w:cs="Arial"/>
                  <w:color w:val="0000FF"/>
                  <w:spacing w:val="-1"/>
                  <w:kern w:val="0"/>
                  <w:sz w:val="18"/>
                  <w:szCs w:val="18"/>
                  <w:u w:val="single"/>
                </w:rPr>
                <w:t>for</w:t>
              </w:r>
              <w:r w:rsidRPr="00AC4931">
                <w:rPr>
                  <w:rFonts w:ascii="Arial" w:eastAsia="宋体" w:hAnsi="Arial" w:cs="Arial"/>
                  <w:color w:val="0000FF"/>
                  <w:spacing w:val="5"/>
                  <w:kern w:val="0"/>
                  <w:sz w:val="18"/>
                  <w:szCs w:val="18"/>
                  <w:u w:val="single"/>
                </w:rPr>
                <w:t> </w:t>
              </w:r>
              <w:r w:rsidRPr="00AC4931">
                <w:rPr>
                  <w:rFonts w:ascii="Arial" w:eastAsia="宋体" w:hAnsi="Arial" w:cs="Arial"/>
                  <w:color w:val="0000FF"/>
                  <w:spacing w:val="-1"/>
                  <w:kern w:val="0"/>
                  <w:sz w:val="18"/>
                  <w:szCs w:val="18"/>
                  <w:u w:val="single"/>
                </w:rPr>
                <w:t>Registrant’s</w:t>
              </w:r>
              <w:r w:rsidRPr="00AC4931">
                <w:rPr>
                  <w:rFonts w:ascii="Arial" w:eastAsia="宋体" w:hAnsi="Arial" w:cs="Arial"/>
                  <w:color w:val="0000FF"/>
                  <w:spacing w:val="19"/>
                  <w:kern w:val="0"/>
                  <w:sz w:val="18"/>
                  <w:szCs w:val="18"/>
                  <w:u w:val="single"/>
                </w:rPr>
                <w:t> </w:t>
              </w:r>
              <w:r w:rsidRPr="00AC4931">
                <w:rPr>
                  <w:rFonts w:ascii="Arial" w:eastAsia="宋体" w:hAnsi="Arial" w:cs="Arial"/>
                  <w:color w:val="0000FF"/>
                  <w:spacing w:val="-1"/>
                  <w:kern w:val="0"/>
                  <w:sz w:val="18"/>
                  <w:szCs w:val="18"/>
                  <w:u w:val="single"/>
                </w:rPr>
                <w:t>Common</w:t>
              </w:r>
              <w:r w:rsidRPr="00AC4931">
                <w:rPr>
                  <w:rFonts w:ascii="Arial" w:eastAsia="宋体" w:hAnsi="Arial" w:cs="Arial"/>
                  <w:color w:val="0000FF"/>
                  <w:spacing w:val="15"/>
                  <w:kern w:val="0"/>
                  <w:sz w:val="18"/>
                  <w:szCs w:val="18"/>
                  <w:u w:val="single"/>
                </w:rPr>
                <w:t> </w:t>
              </w:r>
              <w:r w:rsidRPr="00AC4931">
                <w:rPr>
                  <w:rFonts w:ascii="Arial" w:eastAsia="宋体" w:hAnsi="Arial" w:cs="Arial"/>
                  <w:color w:val="0000FF"/>
                  <w:spacing w:val="-1"/>
                  <w:kern w:val="0"/>
                  <w:sz w:val="18"/>
                  <w:szCs w:val="18"/>
                  <w:u w:val="single"/>
                </w:rPr>
                <w:t>Equity,</w:t>
              </w:r>
              <w:r w:rsidRPr="00AC4931">
                <w:rPr>
                  <w:rFonts w:ascii="Arial" w:eastAsia="宋体" w:hAnsi="Arial" w:cs="Arial"/>
                  <w:color w:val="0000FF"/>
                  <w:spacing w:val="11"/>
                  <w:kern w:val="0"/>
                  <w:sz w:val="18"/>
                  <w:szCs w:val="18"/>
                  <w:u w:val="single"/>
                </w:rPr>
                <w:t> </w:t>
              </w:r>
              <w:r w:rsidRPr="00AC4931">
                <w:rPr>
                  <w:rFonts w:ascii="Arial" w:eastAsia="宋体" w:hAnsi="Arial" w:cs="Arial"/>
                  <w:color w:val="0000FF"/>
                  <w:spacing w:val="-1"/>
                  <w:kern w:val="0"/>
                  <w:sz w:val="18"/>
                  <w:szCs w:val="18"/>
                  <w:u w:val="single"/>
                </w:rPr>
                <w:t>Related</w:t>
              </w:r>
              <w:r w:rsidRPr="00AC4931">
                <w:rPr>
                  <w:rFonts w:ascii="Arial" w:eastAsia="宋体" w:hAnsi="Arial" w:cs="Arial"/>
                  <w:color w:val="0000FF"/>
                  <w:spacing w:val="13"/>
                  <w:kern w:val="0"/>
                  <w:sz w:val="18"/>
                  <w:szCs w:val="18"/>
                  <w:u w:val="single"/>
                </w:rPr>
                <w:t> </w:t>
              </w:r>
              <w:r w:rsidRPr="00AC4931">
                <w:rPr>
                  <w:rFonts w:ascii="Arial" w:eastAsia="宋体" w:hAnsi="Arial" w:cs="Arial"/>
                  <w:color w:val="0000FF"/>
                  <w:spacing w:val="-1"/>
                  <w:kern w:val="0"/>
                  <w:sz w:val="18"/>
                  <w:szCs w:val="18"/>
                  <w:u w:val="single"/>
                </w:rPr>
                <w:t>Stockholder</w:t>
              </w:r>
              <w:r w:rsidRPr="00AC4931">
                <w:rPr>
                  <w:rFonts w:ascii="Arial" w:eastAsia="宋体" w:hAnsi="Arial" w:cs="Arial"/>
                  <w:color w:val="0000FF"/>
                  <w:spacing w:val="19"/>
                  <w:kern w:val="0"/>
                  <w:sz w:val="18"/>
                  <w:szCs w:val="18"/>
                  <w:u w:val="single"/>
                </w:rPr>
                <w:t> </w:t>
              </w:r>
              <w:r w:rsidRPr="00AC4931">
                <w:rPr>
                  <w:rFonts w:ascii="Arial" w:eastAsia="宋体" w:hAnsi="Arial" w:cs="Arial"/>
                  <w:color w:val="0000FF"/>
                  <w:spacing w:val="-1"/>
                  <w:kern w:val="0"/>
                  <w:sz w:val="18"/>
                  <w:szCs w:val="18"/>
                  <w:u w:val="single"/>
                </w:rPr>
                <w:t>Matters</w:t>
              </w:r>
              <w:r w:rsidRPr="00AC4931">
                <w:rPr>
                  <w:rFonts w:ascii="Arial" w:eastAsia="宋体" w:hAnsi="Arial" w:cs="Arial"/>
                  <w:color w:val="0000FF"/>
                  <w:spacing w:val="12"/>
                  <w:kern w:val="0"/>
                  <w:sz w:val="18"/>
                  <w:szCs w:val="18"/>
                  <w:u w:val="single"/>
                </w:rPr>
                <w:t> </w:t>
              </w:r>
              <w:r w:rsidRPr="00AC4931">
                <w:rPr>
                  <w:rFonts w:ascii="Arial" w:eastAsia="宋体" w:hAnsi="Arial" w:cs="Arial"/>
                  <w:color w:val="0000FF"/>
                  <w:spacing w:val="-1"/>
                  <w:kern w:val="0"/>
                  <w:sz w:val="18"/>
                  <w:szCs w:val="18"/>
                  <w:u w:val="single"/>
                </w:rPr>
                <w:t>and</w:t>
              </w:r>
              <w:r w:rsidRPr="00AC4931">
                <w:rPr>
                  <w:rFonts w:ascii="Arial" w:eastAsia="宋体" w:hAnsi="Arial" w:cs="Arial"/>
                  <w:color w:val="0000FF"/>
                  <w:spacing w:val="6"/>
                  <w:kern w:val="0"/>
                  <w:sz w:val="18"/>
                  <w:szCs w:val="18"/>
                  <w:u w:val="single"/>
                </w:rPr>
                <w:t> </w:t>
              </w:r>
              <w:r w:rsidRPr="00AC4931">
                <w:rPr>
                  <w:rFonts w:ascii="Arial" w:eastAsia="宋体" w:hAnsi="Arial" w:cs="Arial"/>
                  <w:color w:val="0000FF"/>
                  <w:spacing w:val="-1"/>
                  <w:kern w:val="0"/>
                  <w:sz w:val="18"/>
                  <w:szCs w:val="18"/>
                  <w:u w:val="single"/>
                </w:rPr>
                <w:t>Issuer</w:t>
              </w:r>
              <w:r w:rsidRPr="00AC4931">
                <w:rPr>
                  <w:rFonts w:ascii="Arial" w:eastAsia="宋体" w:hAnsi="Arial" w:cs="Arial"/>
                  <w:color w:val="0000FF"/>
                  <w:spacing w:val="9"/>
                  <w:kern w:val="0"/>
                  <w:sz w:val="18"/>
                  <w:szCs w:val="18"/>
                  <w:u w:val="single"/>
                </w:rPr>
                <w:t> </w:t>
              </w:r>
              <w:r w:rsidRPr="00AC4931">
                <w:rPr>
                  <w:rFonts w:ascii="Arial" w:eastAsia="宋体" w:hAnsi="Arial" w:cs="Arial"/>
                  <w:color w:val="0000FF"/>
                  <w:spacing w:val="-1"/>
                  <w:kern w:val="0"/>
                  <w:sz w:val="18"/>
                  <w:szCs w:val="18"/>
                  <w:u w:val="single"/>
                </w:rPr>
                <w:t>Purchases</w:t>
              </w:r>
              <w:r w:rsidRPr="00AC4931">
                <w:rPr>
                  <w:rFonts w:ascii="Arial" w:eastAsia="宋体" w:hAnsi="Arial" w:cs="Arial"/>
                  <w:color w:val="0000FF"/>
                  <w:spacing w:val="15"/>
                  <w:kern w:val="0"/>
                  <w:sz w:val="18"/>
                  <w:szCs w:val="18"/>
                  <w:u w:val="single"/>
                </w:rPr>
                <w:t> </w:t>
              </w:r>
              <w:r w:rsidRPr="00AC4931">
                <w:rPr>
                  <w:rFonts w:ascii="Arial" w:eastAsia="宋体" w:hAnsi="Arial" w:cs="Arial"/>
                  <w:color w:val="0000FF"/>
                  <w:spacing w:val="-1"/>
                  <w:kern w:val="0"/>
                  <w:sz w:val="18"/>
                  <w:szCs w:val="18"/>
                  <w:u w:val="single"/>
                </w:rPr>
                <w:t>of</w:t>
              </w:r>
              <w:r w:rsidRPr="00AC4931">
                <w:rPr>
                  <w:rFonts w:ascii="Arial" w:eastAsia="宋体" w:hAnsi="Arial" w:cs="Arial"/>
                  <w:color w:val="0000FF"/>
                  <w:spacing w:val="4"/>
                  <w:kern w:val="0"/>
                  <w:sz w:val="18"/>
                  <w:szCs w:val="18"/>
                  <w:u w:val="single"/>
                </w:rPr>
                <w:t> </w:t>
              </w:r>
              <w:r w:rsidRPr="00AC4931">
                <w:rPr>
                  <w:rFonts w:ascii="Arial" w:eastAsia="宋体" w:hAnsi="Arial" w:cs="Arial"/>
                  <w:color w:val="0000FF"/>
                  <w:spacing w:val="-1"/>
                  <w:kern w:val="0"/>
                  <w:sz w:val="18"/>
                  <w:szCs w:val="18"/>
                  <w:u w:val="single"/>
                </w:rPr>
                <w:t>Equi</w:t>
              </w:r>
              <w:r w:rsidRPr="00AC4931">
                <w:rPr>
                  <w:rFonts w:ascii="Arial" w:eastAsia="宋体" w:hAnsi="Arial" w:cs="Arial"/>
                  <w:color w:val="0000FF"/>
                  <w:spacing w:val="-3"/>
                  <w:kern w:val="0"/>
                  <w:sz w:val="18"/>
                  <w:szCs w:val="18"/>
                  <w:u w:val="single"/>
                </w:rPr>
                <w:t>t</w:t>
              </w:r>
              <w:r w:rsidRPr="00AC4931">
                <w:rPr>
                  <w:rFonts w:ascii="Arial" w:eastAsia="宋体" w:hAnsi="Arial" w:cs="Arial"/>
                  <w:color w:val="0000FF"/>
                  <w:spacing w:val="-1"/>
                  <w:kern w:val="0"/>
                  <w:sz w:val="18"/>
                  <w:szCs w:val="18"/>
                  <w:u w:val="single"/>
                </w:rPr>
                <w:t>y</w:t>
              </w:r>
              <w:r w:rsidRPr="00AC4931">
                <w:rPr>
                  <w:rFonts w:ascii="Arial" w:eastAsia="宋体" w:hAnsi="Arial" w:cs="Arial"/>
                  <w:color w:val="0000FF"/>
                  <w:spacing w:val="11"/>
                  <w:kern w:val="0"/>
                  <w:sz w:val="18"/>
                  <w:szCs w:val="18"/>
                  <w:u w:val="single"/>
                </w:rPr>
                <w:t> </w:t>
              </w:r>
              <w:r w:rsidRPr="00AC4931">
                <w:rPr>
                  <w:rFonts w:ascii="Arial" w:eastAsia="宋体" w:hAnsi="Arial" w:cs="Arial"/>
                  <w:color w:val="0000FF"/>
                  <w:spacing w:val="-1"/>
                  <w:kern w:val="0"/>
                  <w:sz w:val="18"/>
                  <w:szCs w:val="18"/>
                  <w:u w:val="single"/>
                </w:rPr>
                <w:t>Securities</w:t>
              </w:r>
            </w:hyperlink>
          </w:p>
        </w:tc>
        <w:tc>
          <w:tcPr>
            <w:tcW w:w="1212" w:type="dxa"/>
            <w:hideMark/>
          </w:tcPr>
          <w:p w14:paraId="75F4CE49"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26</w:t>
            </w:r>
          </w:p>
        </w:tc>
      </w:tr>
      <w:tr w:rsidR="00AC4931" w:rsidRPr="00AC4931" w14:paraId="1FE533C9" w14:textId="77777777" w:rsidTr="00AC4931">
        <w:tc>
          <w:tcPr>
            <w:tcW w:w="1579" w:type="dxa"/>
            <w:hideMark/>
          </w:tcPr>
          <w:p w14:paraId="08E0DA53"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6.</w:t>
            </w:r>
          </w:p>
        </w:tc>
        <w:tc>
          <w:tcPr>
            <w:tcW w:w="449" w:type="dxa"/>
            <w:hideMark/>
          </w:tcPr>
          <w:p w14:paraId="35245135"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4D4C3ACA" w14:textId="77777777" w:rsidR="00AC4931" w:rsidRPr="00AC4931" w:rsidRDefault="00AC4931" w:rsidP="00AC4931">
            <w:pPr>
              <w:widowControl/>
              <w:jc w:val="left"/>
              <w:rPr>
                <w:rFonts w:ascii="Arial" w:eastAsia="宋体" w:hAnsi="Arial" w:cs="Arial"/>
                <w:kern w:val="0"/>
                <w:sz w:val="18"/>
                <w:szCs w:val="18"/>
              </w:rPr>
            </w:pPr>
            <w:hyperlink r:id="rId15" w:anchor="ITEM_6_SELECTED_FINANCIAL_DATA" w:history="1">
              <w:r w:rsidRPr="00AC4931">
                <w:rPr>
                  <w:rFonts w:ascii="Arial" w:eastAsia="宋体" w:hAnsi="Arial" w:cs="Arial"/>
                  <w:color w:val="0000FF"/>
                  <w:kern w:val="0"/>
                  <w:sz w:val="18"/>
                  <w:szCs w:val="18"/>
                  <w:u w:val="single"/>
                </w:rPr>
                <w:t>Selected</w:t>
              </w:r>
              <w:r w:rsidRPr="00AC4931">
                <w:rPr>
                  <w:rFonts w:ascii="Arial" w:eastAsia="宋体" w:hAnsi="Arial" w:cs="Arial"/>
                  <w:color w:val="0000FF"/>
                  <w:spacing w:val="14"/>
                  <w:kern w:val="0"/>
                  <w:sz w:val="18"/>
                  <w:szCs w:val="18"/>
                  <w:u w:val="single"/>
                </w:rPr>
                <w:t> </w:t>
              </w:r>
              <w:r w:rsidRPr="00AC4931">
                <w:rPr>
                  <w:rFonts w:ascii="Arial" w:eastAsia="宋体" w:hAnsi="Arial" w:cs="Arial"/>
                  <w:color w:val="0000FF"/>
                  <w:kern w:val="0"/>
                  <w:sz w:val="18"/>
                  <w:szCs w:val="18"/>
                  <w:u w:val="single"/>
                </w:rPr>
                <w:t>Financial</w:t>
              </w:r>
              <w:r w:rsidRPr="00AC4931">
                <w:rPr>
                  <w:rFonts w:ascii="Arial" w:eastAsia="宋体" w:hAnsi="Arial" w:cs="Arial"/>
                  <w:color w:val="0000FF"/>
                  <w:spacing w:val="15"/>
                  <w:kern w:val="0"/>
                  <w:sz w:val="18"/>
                  <w:szCs w:val="18"/>
                  <w:u w:val="single"/>
                </w:rPr>
                <w:t> </w:t>
              </w:r>
              <w:r w:rsidRPr="00AC4931">
                <w:rPr>
                  <w:rFonts w:ascii="Arial" w:eastAsia="宋体" w:hAnsi="Arial" w:cs="Arial"/>
                  <w:color w:val="0000FF"/>
                  <w:kern w:val="0"/>
                  <w:sz w:val="18"/>
                  <w:szCs w:val="18"/>
                  <w:u w:val="single"/>
                </w:rPr>
                <w:t>Data</w:t>
              </w:r>
            </w:hyperlink>
          </w:p>
        </w:tc>
        <w:tc>
          <w:tcPr>
            <w:tcW w:w="1212" w:type="dxa"/>
            <w:hideMark/>
          </w:tcPr>
          <w:p w14:paraId="00783DBD"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28</w:t>
            </w:r>
          </w:p>
        </w:tc>
      </w:tr>
      <w:tr w:rsidR="00AC4931" w:rsidRPr="00AC4931" w14:paraId="1A19CCAE" w14:textId="77777777" w:rsidTr="00AC4931">
        <w:tc>
          <w:tcPr>
            <w:tcW w:w="1579" w:type="dxa"/>
            <w:hideMark/>
          </w:tcPr>
          <w:p w14:paraId="37005B5F"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7.</w:t>
            </w:r>
          </w:p>
        </w:tc>
        <w:tc>
          <w:tcPr>
            <w:tcW w:w="449" w:type="dxa"/>
            <w:hideMark/>
          </w:tcPr>
          <w:p w14:paraId="23BE1714"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4E88280A" w14:textId="77777777" w:rsidR="00AC4931" w:rsidRPr="00AC4931" w:rsidRDefault="00AC4931" w:rsidP="00AC4931">
            <w:pPr>
              <w:widowControl/>
              <w:jc w:val="left"/>
              <w:rPr>
                <w:rFonts w:ascii="Arial" w:eastAsia="宋体" w:hAnsi="Arial" w:cs="Arial"/>
                <w:spacing w:val="-1"/>
                <w:kern w:val="0"/>
                <w:sz w:val="18"/>
                <w:szCs w:val="18"/>
              </w:rPr>
            </w:pPr>
            <w:hyperlink r:id="rId16" w:anchor="ITEM_7_MANAGEMENTS_DISCUSSION_ANALYSIS_F" w:history="1">
              <w:r w:rsidRPr="00AC4931">
                <w:rPr>
                  <w:rFonts w:ascii="Arial" w:eastAsia="宋体" w:hAnsi="Arial" w:cs="Arial"/>
                  <w:color w:val="0000FF"/>
                  <w:spacing w:val="-1"/>
                  <w:kern w:val="0"/>
                  <w:sz w:val="18"/>
                  <w:szCs w:val="18"/>
                  <w:u w:val="single"/>
                </w:rPr>
                <w:t>Management’s</w:t>
              </w:r>
              <w:r w:rsidRPr="00AC4931">
                <w:rPr>
                  <w:rFonts w:ascii="Arial" w:eastAsia="宋体" w:hAnsi="Arial" w:cs="Arial"/>
                  <w:color w:val="0000FF"/>
                  <w:spacing w:val="23"/>
                  <w:kern w:val="0"/>
                  <w:sz w:val="18"/>
                  <w:szCs w:val="18"/>
                  <w:u w:val="single"/>
                </w:rPr>
                <w:t> </w:t>
              </w:r>
              <w:r w:rsidRPr="00AC4931">
                <w:rPr>
                  <w:rFonts w:ascii="Arial" w:eastAsia="宋体" w:hAnsi="Arial" w:cs="Arial"/>
                  <w:color w:val="0000FF"/>
                  <w:spacing w:val="-1"/>
                  <w:kern w:val="0"/>
                  <w:sz w:val="18"/>
                  <w:szCs w:val="18"/>
                  <w:u w:val="single"/>
                </w:rPr>
                <w:t>D</w:t>
              </w:r>
              <w:r w:rsidRPr="00AC4931">
                <w:rPr>
                  <w:rFonts w:ascii="Arial" w:eastAsia="宋体" w:hAnsi="Arial" w:cs="Arial"/>
                  <w:color w:val="0000FF"/>
                  <w:spacing w:val="1"/>
                  <w:kern w:val="0"/>
                  <w:sz w:val="18"/>
                  <w:szCs w:val="18"/>
                  <w:u w:val="single"/>
                </w:rPr>
                <w:t>i</w:t>
              </w:r>
              <w:r w:rsidRPr="00AC4931">
                <w:rPr>
                  <w:rFonts w:ascii="Arial" w:eastAsia="宋体" w:hAnsi="Arial" w:cs="Arial"/>
                  <w:color w:val="0000FF"/>
                  <w:spacing w:val="-1"/>
                  <w:kern w:val="0"/>
                  <w:sz w:val="18"/>
                  <w:szCs w:val="18"/>
                  <w:u w:val="single"/>
                </w:rPr>
                <w:t>scuss</w:t>
              </w:r>
              <w:r w:rsidRPr="00AC4931">
                <w:rPr>
                  <w:rFonts w:ascii="Arial" w:eastAsia="宋体" w:hAnsi="Arial" w:cs="Arial"/>
                  <w:color w:val="0000FF"/>
                  <w:spacing w:val="1"/>
                  <w:kern w:val="0"/>
                  <w:sz w:val="18"/>
                  <w:szCs w:val="18"/>
                  <w:u w:val="single"/>
                </w:rPr>
                <w:t>i</w:t>
              </w:r>
              <w:r w:rsidRPr="00AC4931">
                <w:rPr>
                  <w:rFonts w:ascii="Arial" w:eastAsia="宋体" w:hAnsi="Arial" w:cs="Arial"/>
                  <w:color w:val="0000FF"/>
                  <w:spacing w:val="-1"/>
                  <w:kern w:val="0"/>
                  <w:sz w:val="18"/>
                  <w:szCs w:val="18"/>
                  <w:u w:val="single"/>
                </w:rPr>
                <w:t>on</w:t>
              </w:r>
              <w:r w:rsidRPr="00AC4931">
                <w:rPr>
                  <w:rFonts w:ascii="Arial" w:eastAsia="宋体" w:hAnsi="Arial" w:cs="Arial"/>
                  <w:color w:val="0000FF"/>
                  <w:spacing w:val="18"/>
                  <w:kern w:val="0"/>
                  <w:sz w:val="18"/>
                  <w:szCs w:val="18"/>
                  <w:u w:val="single"/>
                </w:rPr>
                <w:t> </w:t>
              </w:r>
              <w:r w:rsidRPr="00AC4931">
                <w:rPr>
                  <w:rFonts w:ascii="Arial" w:eastAsia="宋体" w:hAnsi="Arial" w:cs="Arial"/>
                  <w:color w:val="0000FF"/>
                  <w:spacing w:val="-1"/>
                  <w:kern w:val="0"/>
                  <w:sz w:val="18"/>
                  <w:szCs w:val="18"/>
                  <w:u w:val="single"/>
                </w:rPr>
                <w:t>and</w:t>
              </w:r>
              <w:r w:rsidRPr="00AC4931">
                <w:rPr>
                  <w:rFonts w:ascii="Arial" w:eastAsia="宋体" w:hAnsi="Arial" w:cs="Arial"/>
                  <w:color w:val="0000FF"/>
                  <w:spacing w:val="6"/>
                  <w:kern w:val="0"/>
                  <w:sz w:val="18"/>
                  <w:szCs w:val="18"/>
                  <w:u w:val="single"/>
                </w:rPr>
                <w:t> </w:t>
              </w:r>
              <w:r w:rsidRPr="00AC4931">
                <w:rPr>
                  <w:rFonts w:ascii="Arial" w:eastAsia="宋体" w:hAnsi="Arial" w:cs="Arial"/>
                  <w:color w:val="0000FF"/>
                  <w:spacing w:val="-1"/>
                  <w:kern w:val="0"/>
                  <w:sz w:val="18"/>
                  <w:szCs w:val="18"/>
                  <w:u w:val="single"/>
                </w:rPr>
                <w:t>Analysis</w:t>
              </w:r>
              <w:r w:rsidRPr="00AC4931">
                <w:rPr>
                  <w:rFonts w:ascii="Arial" w:eastAsia="宋体" w:hAnsi="Arial" w:cs="Arial"/>
                  <w:color w:val="0000FF"/>
                  <w:spacing w:val="13"/>
                  <w:kern w:val="0"/>
                  <w:sz w:val="18"/>
                  <w:szCs w:val="18"/>
                  <w:u w:val="single"/>
                </w:rPr>
                <w:t> </w:t>
              </w:r>
              <w:r w:rsidRPr="00AC4931">
                <w:rPr>
                  <w:rFonts w:ascii="Arial" w:eastAsia="宋体" w:hAnsi="Arial" w:cs="Arial"/>
                  <w:color w:val="0000FF"/>
                  <w:spacing w:val="-1"/>
                  <w:kern w:val="0"/>
                  <w:sz w:val="18"/>
                  <w:szCs w:val="18"/>
                  <w:u w:val="single"/>
                </w:rPr>
                <w:t>of</w:t>
              </w:r>
              <w:r w:rsidRPr="00AC4931">
                <w:rPr>
                  <w:rFonts w:ascii="Arial" w:eastAsia="宋体" w:hAnsi="Arial" w:cs="Arial"/>
                  <w:color w:val="0000FF"/>
                  <w:spacing w:val="4"/>
                  <w:kern w:val="0"/>
                  <w:sz w:val="18"/>
                  <w:szCs w:val="18"/>
                  <w:u w:val="single"/>
                </w:rPr>
                <w:t> </w:t>
              </w:r>
              <w:r w:rsidRPr="00AC4931">
                <w:rPr>
                  <w:rFonts w:ascii="Arial" w:eastAsia="宋体" w:hAnsi="Arial" w:cs="Arial"/>
                  <w:color w:val="0000FF"/>
                  <w:spacing w:val="-1"/>
                  <w:kern w:val="0"/>
                  <w:sz w:val="18"/>
                  <w:szCs w:val="18"/>
                  <w:u w:val="single"/>
                </w:rPr>
                <w:t>Financial</w:t>
              </w:r>
              <w:r w:rsidRPr="00AC4931">
                <w:rPr>
                  <w:rFonts w:ascii="Arial" w:eastAsia="宋体" w:hAnsi="Arial" w:cs="Arial"/>
                  <w:color w:val="0000FF"/>
                  <w:spacing w:val="15"/>
                  <w:kern w:val="0"/>
                  <w:sz w:val="18"/>
                  <w:szCs w:val="18"/>
                  <w:u w:val="single"/>
                </w:rPr>
                <w:t> </w:t>
              </w:r>
              <w:r w:rsidRPr="00AC4931">
                <w:rPr>
                  <w:rFonts w:ascii="Arial" w:eastAsia="宋体" w:hAnsi="Arial" w:cs="Arial"/>
                  <w:color w:val="0000FF"/>
                  <w:spacing w:val="-1"/>
                  <w:kern w:val="0"/>
                  <w:sz w:val="18"/>
                  <w:szCs w:val="18"/>
                  <w:u w:val="single"/>
                </w:rPr>
                <w:t>Condit</w:t>
              </w:r>
              <w:r w:rsidRPr="00AC4931">
                <w:rPr>
                  <w:rFonts w:ascii="Arial" w:eastAsia="宋体" w:hAnsi="Arial" w:cs="Arial"/>
                  <w:color w:val="0000FF"/>
                  <w:spacing w:val="1"/>
                  <w:kern w:val="0"/>
                  <w:sz w:val="18"/>
                  <w:szCs w:val="18"/>
                  <w:u w:val="single"/>
                </w:rPr>
                <w:t>i</w:t>
              </w:r>
              <w:r w:rsidRPr="00AC4931">
                <w:rPr>
                  <w:rFonts w:ascii="Arial" w:eastAsia="宋体" w:hAnsi="Arial" w:cs="Arial"/>
                  <w:color w:val="0000FF"/>
                  <w:spacing w:val="-1"/>
                  <w:kern w:val="0"/>
                  <w:sz w:val="18"/>
                  <w:szCs w:val="18"/>
                  <w:u w:val="single"/>
                </w:rPr>
                <w:t>on</w:t>
              </w:r>
              <w:r w:rsidRPr="00AC4931">
                <w:rPr>
                  <w:rFonts w:ascii="Arial" w:eastAsia="宋体" w:hAnsi="Arial" w:cs="Arial"/>
                  <w:color w:val="0000FF"/>
                  <w:spacing w:val="16"/>
                  <w:kern w:val="0"/>
                  <w:sz w:val="18"/>
                  <w:szCs w:val="18"/>
                  <w:u w:val="single"/>
                </w:rPr>
                <w:t> </w:t>
              </w:r>
              <w:r w:rsidRPr="00AC4931">
                <w:rPr>
                  <w:rFonts w:ascii="Arial" w:eastAsia="宋体" w:hAnsi="Arial" w:cs="Arial"/>
                  <w:color w:val="0000FF"/>
                  <w:spacing w:val="-1"/>
                  <w:kern w:val="0"/>
                  <w:sz w:val="18"/>
                  <w:szCs w:val="18"/>
                  <w:u w:val="single"/>
                </w:rPr>
                <w:t>and</w:t>
              </w:r>
              <w:r w:rsidRPr="00AC4931">
                <w:rPr>
                  <w:rFonts w:ascii="Arial" w:eastAsia="宋体" w:hAnsi="Arial" w:cs="Arial"/>
                  <w:color w:val="0000FF"/>
                  <w:spacing w:val="5"/>
                  <w:kern w:val="0"/>
                  <w:sz w:val="18"/>
                  <w:szCs w:val="18"/>
                  <w:u w:val="single"/>
                </w:rPr>
                <w:t> </w:t>
              </w:r>
              <w:r w:rsidRPr="00AC4931">
                <w:rPr>
                  <w:rFonts w:ascii="Arial" w:eastAsia="宋体" w:hAnsi="Arial" w:cs="Arial"/>
                  <w:color w:val="0000FF"/>
                  <w:spacing w:val="-1"/>
                  <w:kern w:val="0"/>
                  <w:sz w:val="18"/>
                  <w:szCs w:val="18"/>
                  <w:u w:val="single"/>
                </w:rPr>
                <w:t>Results</w:t>
              </w:r>
              <w:r w:rsidRPr="00AC4931">
                <w:rPr>
                  <w:rFonts w:ascii="Arial" w:eastAsia="宋体" w:hAnsi="Arial" w:cs="Arial"/>
                  <w:color w:val="0000FF"/>
                  <w:spacing w:val="12"/>
                  <w:kern w:val="0"/>
                  <w:sz w:val="18"/>
                  <w:szCs w:val="18"/>
                  <w:u w:val="single"/>
                </w:rPr>
                <w:t> </w:t>
              </w:r>
              <w:r w:rsidRPr="00AC4931">
                <w:rPr>
                  <w:rFonts w:ascii="Arial" w:eastAsia="宋体" w:hAnsi="Arial" w:cs="Arial"/>
                  <w:color w:val="0000FF"/>
                  <w:spacing w:val="-1"/>
                  <w:kern w:val="0"/>
                  <w:sz w:val="18"/>
                  <w:szCs w:val="18"/>
                  <w:u w:val="single"/>
                </w:rPr>
                <w:t>of</w:t>
              </w:r>
              <w:r w:rsidRPr="00AC4931">
                <w:rPr>
                  <w:rFonts w:ascii="Arial" w:eastAsia="宋体" w:hAnsi="Arial" w:cs="Arial"/>
                  <w:color w:val="0000FF"/>
                  <w:spacing w:val="3"/>
                  <w:kern w:val="0"/>
                  <w:sz w:val="18"/>
                  <w:szCs w:val="18"/>
                  <w:u w:val="single"/>
                </w:rPr>
                <w:t> </w:t>
              </w:r>
              <w:r w:rsidRPr="00AC4931">
                <w:rPr>
                  <w:rFonts w:ascii="Arial" w:eastAsia="宋体" w:hAnsi="Arial" w:cs="Arial"/>
                  <w:color w:val="0000FF"/>
                  <w:spacing w:val="-1"/>
                  <w:kern w:val="0"/>
                  <w:sz w:val="18"/>
                  <w:szCs w:val="18"/>
                  <w:u w:val="single"/>
                </w:rPr>
                <w:t>Operations</w:t>
              </w:r>
            </w:hyperlink>
          </w:p>
        </w:tc>
        <w:tc>
          <w:tcPr>
            <w:tcW w:w="1212" w:type="dxa"/>
            <w:hideMark/>
          </w:tcPr>
          <w:p w14:paraId="5874F64D"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29</w:t>
            </w:r>
          </w:p>
        </w:tc>
      </w:tr>
      <w:tr w:rsidR="00AC4931" w:rsidRPr="00AC4931" w14:paraId="5B64BBA7" w14:textId="77777777" w:rsidTr="00AC4931">
        <w:tc>
          <w:tcPr>
            <w:tcW w:w="1579" w:type="dxa"/>
            <w:hideMark/>
          </w:tcPr>
          <w:p w14:paraId="6ACDE77B"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7A.</w:t>
            </w:r>
          </w:p>
        </w:tc>
        <w:tc>
          <w:tcPr>
            <w:tcW w:w="449" w:type="dxa"/>
            <w:hideMark/>
          </w:tcPr>
          <w:p w14:paraId="78364354"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54C1F236" w14:textId="77777777" w:rsidR="00AC4931" w:rsidRPr="00AC4931" w:rsidRDefault="00AC4931" w:rsidP="00AC4931">
            <w:pPr>
              <w:widowControl/>
              <w:jc w:val="left"/>
              <w:rPr>
                <w:rFonts w:ascii="Arial" w:eastAsia="宋体" w:hAnsi="Arial" w:cs="Arial"/>
                <w:kern w:val="0"/>
                <w:sz w:val="18"/>
                <w:szCs w:val="18"/>
              </w:rPr>
            </w:pPr>
            <w:hyperlink r:id="rId17" w:anchor="ITEM_7A_QUANTITATIVE_QUALITATIVE_DISCLOS" w:history="1">
              <w:r w:rsidRPr="00AC4931">
                <w:rPr>
                  <w:rFonts w:ascii="Arial" w:eastAsia="宋体" w:hAnsi="Arial" w:cs="Arial"/>
                  <w:color w:val="0000FF"/>
                  <w:kern w:val="0"/>
                  <w:sz w:val="18"/>
                  <w:szCs w:val="18"/>
                  <w:u w:val="single"/>
                </w:rPr>
                <w:t>Quant</w:t>
              </w:r>
              <w:r w:rsidRPr="00AC4931">
                <w:rPr>
                  <w:rFonts w:ascii="Arial" w:eastAsia="宋体" w:hAnsi="Arial" w:cs="Arial"/>
                  <w:color w:val="0000FF"/>
                  <w:spacing w:val="1"/>
                  <w:kern w:val="0"/>
                  <w:sz w:val="18"/>
                  <w:szCs w:val="18"/>
                  <w:u w:val="single"/>
                </w:rPr>
                <w:t>i</w:t>
              </w:r>
              <w:r w:rsidRPr="00AC4931">
                <w:rPr>
                  <w:rFonts w:ascii="Arial" w:eastAsia="宋体" w:hAnsi="Arial" w:cs="Arial"/>
                  <w:color w:val="0000FF"/>
                  <w:kern w:val="0"/>
                  <w:sz w:val="18"/>
                  <w:szCs w:val="18"/>
                  <w:u w:val="single"/>
                </w:rPr>
                <w:t>tativ</w:t>
              </w:r>
              <w:r w:rsidRPr="00AC4931">
                <w:rPr>
                  <w:rFonts w:ascii="Arial" w:eastAsia="宋体" w:hAnsi="Arial" w:cs="Arial"/>
                  <w:color w:val="0000FF"/>
                  <w:spacing w:val="-1"/>
                  <w:kern w:val="0"/>
                  <w:sz w:val="18"/>
                  <w:szCs w:val="18"/>
                  <w:u w:val="single"/>
                </w:rPr>
                <w:t>e</w:t>
              </w:r>
              <w:r w:rsidRPr="00AC4931">
                <w:rPr>
                  <w:rFonts w:ascii="Arial" w:eastAsia="宋体" w:hAnsi="Arial" w:cs="Arial"/>
                  <w:color w:val="0000FF"/>
                  <w:spacing w:val="19"/>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6"/>
                  <w:kern w:val="0"/>
                  <w:sz w:val="18"/>
                  <w:szCs w:val="18"/>
                  <w:u w:val="single"/>
                </w:rPr>
                <w:t> </w:t>
              </w:r>
              <w:r w:rsidRPr="00AC4931">
                <w:rPr>
                  <w:rFonts w:ascii="Arial" w:eastAsia="宋体" w:hAnsi="Arial" w:cs="Arial"/>
                  <w:color w:val="0000FF"/>
                  <w:kern w:val="0"/>
                  <w:sz w:val="18"/>
                  <w:szCs w:val="18"/>
                  <w:u w:val="single"/>
                </w:rPr>
                <w:t>Qua</w:t>
              </w:r>
              <w:r w:rsidRPr="00AC4931">
                <w:rPr>
                  <w:rFonts w:ascii="Arial" w:eastAsia="宋体" w:hAnsi="Arial" w:cs="Arial"/>
                  <w:color w:val="0000FF"/>
                  <w:spacing w:val="1"/>
                  <w:kern w:val="0"/>
                  <w:sz w:val="18"/>
                  <w:szCs w:val="18"/>
                  <w:u w:val="single"/>
                </w:rPr>
                <w:t>l</w:t>
              </w:r>
              <w:r w:rsidRPr="00AC4931">
                <w:rPr>
                  <w:rFonts w:ascii="Arial" w:eastAsia="宋体" w:hAnsi="Arial" w:cs="Arial"/>
                  <w:color w:val="0000FF"/>
                  <w:kern w:val="0"/>
                  <w:sz w:val="18"/>
                  <w:szCs w:val="18"/>
                  <w:u w:val="single"/>
                </w:rPr>
                <w:t>ita</w:t>
              </w:r>
              <w:r w:rsidRPr="00AC4931">
                <w:rPr>
                  <w:rFonts w:ascii="Arial" w:eastAsia="宋体" w:hAnsi="Arial" w:cs="Arial"/>
                  <w:color w:val="0000FF"/>
                  <w:spacing w:val="1"/>
                  <w:kern w:val="0"/>
                  <w:sz w:val="18"/>
                  <w:szCs w:val="18"/>
                  <w:u w:val="single"/>
                </w:rPr>
                <w:t>t</w:t>
              </w:r>
              <w:r w:rsidRPr="00AC4931">
                <w:rPr>
                  <w:rFonts w:ascii="Arial" w:eastAsia="宋体" w:hAnsi="Arial" w:cs="Arial"/>
                  <w:color w:val="0000FF"/>
                  <w:kern w:val="0"/>
                  <w:sz w:val="18"/>
                  <w:szCs w:val="18"/>
                  <w:u w:val="single"/>
                </w:rPr>
                <w:t>ive</w:t>
              </w:r>
              <w:r w:rsidRPr="00AC4931">
                <w:rPr>
                  <w:rFonts w:ascii="Arial" w:eastAsia="宋体" w:hAnsi="Arial" w:cs="Arial"/>
                  <w:color w:val="0000FF"/>
                  <w:spacing w:val="18"/>
                  <w:kern w:val="0"/>
                  <w:sz w:val="18"/>
                  <w:szCs w:val="18"/>
                  <w:u w:val="single"/>
                </w:rPr>
                <w:t> </w:t>
              </w:r>
              <w:r w:rsidRPr="00AC4931">
                <w:rPr>
                  <w:rFonts w:ascii="Arial" w:eastAsia="宋体" w:hAnsi="Arial" w:cs="Arial"/>
                  <w:color w:val="0000FF"/>
                  <w:kern w:val="0"/>
                  <w:sz w:val="18"/>
                  <w:szCs w:val="18"/>
                  <w:u w:val="single"/>
                </w:rPr>
                <w:t>Disc</w:t>
              </w:r>
              <w:r w:rsidRPr="00AC4931">
                <w:rPr>
                  <w:rFonts w:ascii="Arial" w:eastAsia="宋体" w:hAnsi="Arial" w:cs="Arial"/>
                  <w:color w:val="0000FF"/>
                  <w:spacing w:val="1"/>
                  <w:kern w:val="0"/>
                  <w:sz w:val="18"/>
                  <w:szCs w:val="18"/>
                  <w:u w:val="single"/>
                </w:rPr>
                <w:t>l</w:t>
              </w:r>
              <w:r w:rsidRPr="00AC4931">
                <w:rPr>
                  <w:rFonts w:ascii="Arial" w:eastAsia="宋体" w:hAnsi="Arial" w:cs="Arial"/>
                  <w:color w:val="0000FF"/>
                  <w:spacing w:val="-1"/>
                  <w:kern w:val="0"/>
                  <w:sz w:val="18"/>
                  <w:szCs w:val="18"/>
                  <w:u w:val="single"/>
                </w:rPr>
                <w:t>o</w:t>
              </w:r>
              <w:r w:rsidRPr="00AC4931">
                <w:rPr>
                  <w:rFonts w:ascii="Arial" w:eastAsia="宋体" w:hAnsi="Arial" w:cs="Arial"/>
                  <w:color w:val="0000FF"/>
                  <w:kern w:val="0"/>
                  <w:sz w:val="18"/>
                  <w:szCs w:val="18"/>
                  <w:u w:val="single"/>
                </w:rPr>
                <w:t>sures</w:t>
              </w:r>
              <w:r w:rsidRPr="00AC4931">
                <w:rPr>
                  <w:rFonts w:ascii="Arial" w:eastAsia="宋体" w:hAnsi="Arial" w:cs="Arial"/>
                  <w:color w:val="0000FF"/>
                  <w:spacing w:val="19"/>
                  <w:kern w:val="0"/>
                  <w:sz w:val="18"/>
                  <w:szCs w:val="18"/>
                  <w:u w:val="single"/>
                </w:rPr>
                <w:t> </w:t>
              </w:r>
              <w:r w:rsidRPr="00AC4931">
                <w:rPr>
                  <w:rFonts w:ascii="Arial" w:eastAsia="宋体" w:hAnsi="Arial" w:cs="Arial"/>
                  <w:color w:val="0000FF"/>
                  <w:kern w:val="0"/>
                  <w:sz w:val="18"/>
                  <w:szCs w:val="18"/>
                  <w:u w:val="single"/>
                </w:rPr>
                <w:t>about</w:t>
              </w:r>
              <w:r w:rsidRPr="00AC4931">
                <w:rPr>
                  <w:rFonts w:ascii="Arial" w:eastAsia="宋体" w:hAnsi="Arial" w:cs="Arial"/>
                  <w:color w:val="0000FF"/>
                  <w:spacing w:val="9"/>
                  <w:kern w:val="0"/>
                  <w:sz w:val="18"/>
                  <w:szCs w:val="18"/>
                  <w:u w:val="single"/>
                </w:rPr>
                <w:t> </w:t>
              </w:r>
              <w:r w:rsidRPr="00AC4931">
                <w:rPr>
                  <w:rFonts w:ascii="Arial" w:eastAsia="宋体" w:hAnsi="Arial" w:cs="Arial"/>
                  <w:color w:val="0000FF"/>
                  <w:kern w:val="0"/>
                  <w:sz w:val="18"/>
                  <w:szCs w:val="18"/>
                  <w:u w:val="single"/>
                </w:rPr>
                <w:t>Market</w:t>
              </w:r>
              <w:r w:rsidRPr="00AC4931">
                <w:rPr>
                  <w:rFonts w:ascii="Arial" w:eastAsia="宋体" w:hAnsi="Arial" w:cs="Arial"/>
                  <w:color w:val="0000FF"/>
                  <w:spacing w:val="12"/>
                  <w:kern w:val="0"/>
                  <w:sz w:val="18"/>
                  <w:szCs w:val="18"/>
                  <w:u w:val="single"/>
                </w:rPr>
                <w:t> </w:t>
              </w:r>
              <w:r w:rsidRPr="00AC4931">
                <w:rPr>
                  <w:rFonts w:ascii="Arial" w:eastAsia="宋体" w:hAnsi="Arial" w:cs="Arial"/>
                  <w:color w:val="0000FF"/>
                  <w:kern w:val="0"/>
                  <w:sz w:val="18"/>
                  <w:szCs w:val="18"/>
                  <w:u w:val="single"/>
                </w:rPr>
                <w:t>Ri</w:t>
              </w:r>
              <w:r w:rsidRPr="00AC4931">
                <w:rPr>
                  <w:rFonts w:ascii="Arial" w:eastAsia="宋体" w:hAnsi="Arial" w:cs="Arial"/>
                  <w:color w:val="0000FF"/>
                  <w:spacing w:val="-1"/>
                  <w:kern w:val="0"/>
                  <w:sz w:val="18"/>
                  <w:szCs w:val="18"/>
                  <w:u w:val="single"/>
                </w:rPr>
                <w:t>s</w:t>
              </w:r>
              <w:r w:rsidRPr="00AC4931">
                <w:rPr>
                  <w:rFonts w:ascii="Arial" w:eastAsia="宋体" w:hAnsi="Arial" w:cs="Arial"/>
                  <w:color w:val="0000FF"/>
                  <w:kern w:val="0"/>
                  <w:sz w:val="18"/>
                  <w:szCs w:val="18"/>
                  <w:u w:val="single"/>
                </w:rPr>
                <w:t>k</w:t>
              </w:r>
            </w:hyperlink>
          </w:p>
        </w:tc>
        <w:tc>
          <w:tcPr>
            <w:tcW w:w="1212" w:type="dxa"/>
            <w:hideMark/>
          </w:tcPr>
          <w:p w14:paraId="2F75F5D5"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48</w:t>
            </w:r>
          </w:p>
        </w:tc>
      </w:tr>
      <w:tr w:rsidR="00AC4931" w:rsidRPr="00AC4931" w14:paraId="0CF5BD0B" w14:textId="77777777" w:rsidTr="00AC4931">
        <w:tc>
          <w:tcPr>
            <w:tcW w:w="1579" w:type="dxa"/>
            <w:hideMark/>
          </w:tcPr>
          <w:p w14:paraId="427FD640"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8.</w:t>
            </w:r>
          </w:p>
        </w:tc>
        <w:tc>
          <w:tcPr>
            <w:tcW w:w="449" w:type="dxa"/>
            <w:hideMark/>
          </w:tcPr>
          <w:p w14:paraId="3D4B3442"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0920AE1C" w14:textId="77777777" w:rsidR="00AC4931" w:rsidRPr="00AC4931" w:rsidRDefault="00AC4931" w:rsidP="00AC4931">
            <w:pPr>
              <w:widowControl/>
              <w:jc w:val="left"/>
              <w:rPr>
                <w:rFonts w:ascii="Arial" w:eastAsia="宋体" w:hAnsi="Arial" w:cs="Arial"/>
                <w:kern w:val="0"/>
                <w:sz w:val="18"/>
                <w:szCs w:val="18"/>
              </w:rPr>
            </w:pPr>
            <w:hyperlink r:id="rId18" w:anchor="ITEM_8_FINANCIAL_STATEMENTS_SUPPLEMENTAR" w:history="1">
              <w:r w:rsidRPr="00AC4931">
                <w:rPr>
                  <w:rFonts w:ascii="Arial" w:eastAsia="宋体" w:hAnsi="Arial" w:cs="Arial"/>
                  <w:color w:val="0000FF"/>
                  <w:kern w:val="0"/>
                  <w:sz w:val="18"/>
                  <w:szCs w:val="18"/>
                  <w:u w:val="single"/>
                </w:rPr>
                <w:t>Financial</w:t>
              </w:r>
              <w:r w:rsidRPr="00AC4931">
                <w:rPr>
                  <w:rFonts w:ascii="Arial" w:eastAsia="宋体" w:hAnsi="Arial" w:cs="Arial"/>
                  <w:color w:val="0000FF"/>
                  <w:spacing w:val="15"/>
                  <w:kern w:val="0"/>
                  <w:sz w:val="18"/>
                  <w:szCs w:val="18"/>
                  <w:u w:val="single"/>
                </w:rPr>
                <w:t> </w:t>
              </w:r>
              <w:r w:rsidRPr="00AC4931">
                <w:rPr>
                  <w:rFonts w:ascii="Arial" w:eastAsia="宋体" w:hAnsi="Arial" w:cs="Arial"/>
                  <w:color w:val="0000FF"/>
                  <w:kern w:val="0"/>
                  <w:sz w:val="18"/>
                  <w:szCs w:val="18"/>
                  <w:u w:val="single"/>
                </w:rPr>
                <w:t>S</w:t>
              </w:r>
              <w:r w:rsidRPr="00AC4931">
                <w:rPr>
                  <w:rFonts w:ascii="Arial" w:eastAsia="宋体" w:hAnsi="Arial" w:cs="Arial"/>
                  <w:color w:val="0000FF"/>
                  <w:spacing w:val="1"/>
                  <w:kern w:val="0"/>
                  <w:sz w:val="18"/>
                  <w:szCs w:val="18"/>
                  <w:u w:val="single"/>
                </w:rPr>
                <w:t>t</w:t>
              </w:r>
              <w:r w:rsidRPr="00AC4931">
                <w:rPr>
                  <w:rFonts w:ascii="Arial" w:eastAsia="宋体" w:hAnsi="Arial" w:cs="Arial"/>
                  <w:color w:val="0000FF"/>
                  <w:kern w:val="0"/>
                  <w:sz w:val="18"/>
                  <w:szCs w:val="18"/>
                  <w:u w:val="single"/>
                </w:rPr>
                <w:t>atements</w:t>
              </w:r>
              <w:r w:rsidRPr="00AC4931">
                <w:rPr>
                  <w:rFonts w:ascii="Arial" w:eastAsia="宋体" w:hAnsi="Arial" w:cs="Arial"/>
                  <w:color w:val="0000FF"/>
                  <w:spacing w:val="18"/>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6"/>
                  <w:kern w:val="0"/>
                  <w:sz w:val="18"/>
                  <w:szCs w:val="18"/>
                  <w:u w:val="single"/>
                </w:rPr>
                <w:t> </w:t>
              </w:r>
              <w:r w:rsidRPr="00AC4931">
                <w:rPr>
                  <w:rFonts w:ascii="Arial" w:eastAsia="宋体" w:hAnsi="Arial" w:cs="Arial"/>
                  <w:color w:val="0000FF"/>
                  <w:kern w:val="0"/>
                  <w:sz w:val="18"/>
                  <w:szCs w:val="18"/>
                  <w:u w:val="single"/>
                </w:rPr>
                <w:t>Supplementa</w:t>
              </w:r>
              <w:r w:rsidRPr="00AC4931">
                <w:rPr>
                  <w:rFonts w:ascii="Arial" w:eastAsia="宋体" w:hAnsi="Arial" w:cs="Arial"/>
                  <w:color w:val="0000FF"/>
                  <w:spacing w:val="-1"/>
                  <w:kern w:val="0"/>
                  <w:sz w:val="18"/>
                  <w:szCs w:val="18"/>
                  <w:u w:val="single"/>
                </w:rPr>
                <w:t>r</w:t>
              </w:r>
              <w:r w:rsidRPr="00AC4931">
                <w:rPr>
                  <w:rFonts w:ascii="Arial" w:eastAsia="宋体" w:hAnsi="Arial" w:cs="Arial"/>
                  <w:color w:val="0000FF"/>
                  <w:kern w:val="0"/>
                  <w:sz w:val="18"/>
                  <w:szCs w:val="18"/>
                  <w:u w:val="single"/>
                </w:rPr>
                <w:t>y</w:t>
              </w:r>
              <w:r w:rsidRPr="00AC4931">
                <w:rPr>
                  <w:rFonts w:ascii="Arial" w:eastAsia="宋体" w:hAnsi="Arial" w:cs="Arial"/>
                  <w:color w:val="0000FF"/>
                  <w:spacing w:val="24"/>
                  <w:kern w:val="0"/>
                  <w:sz w:val="18"/>
                  <w:szCs w:val="18"/>
                  <w:u w:val="single"/>
                </w:rPr>
                <w:t> </w:t>
              </w:r>
              <w:r w:rsidRPr="00AC4931">
                <w:rPr>
                  <w:rFonts w:ascii="Arial" w:eastAsia="宋体" w:hAnsi="Arial" w:cs="Arial"/>
                  <w:color w:val="0000FF"/>
                  <w:kern w:val="0"/>
                  <w:sz w:val="18"/>
                  <w:szCs w:val="18"/>
                  <w:u w:val="single"/>
                </w:rPr>
                <w:t>Data</w:t>
              </w:r>
            </w:hyperlink>
          </w:p>
        </w:tc>
        <w:tc>
          <w:tcPr>
            <w:tcW w:w="1212" w:type="dxa"/>
            <w:hideMark/>
          </w:tcPr>
          <w:p w14:paraId="45C40B63"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50</w:t>
            </w:r>
          </w:p>
        </w:tc>
      </w:tr>
      <w:tr w:rsidR="00AC4931" w:rsidRPr="00AC4931" w14:paraId="2317B9F1" w14:textId="77777777" w:rsidTr="00AC4931">
        <w:tc>
          <w:tcPr>
            <w:tcW w:w="1579" w:type="dxa"/>
            <w:hideMark/>
          </w:tcPr>
          <w:p w14:paraId="4A620DF0"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9.</w:t>
            </w:r>
          </w:p>
        </w:tc>
        <w:tc>
          <w:tcPr>
            <w:tcW w:w="449" w:type="dxa"/>
            <w:hideMark/>
          </w:tcPr>
          <w:p w14:paraId="2EBD79D8"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35F81C26" w14:textId="77777777" w:rsidR="00AC4931" w:rsidRPr="00AC4931" w:rsidRDefault="00AC4931" w:rsidP="00AC4931">
            <w:pPr>
              <w:widowControl/>
              <w:jc w:val="left"/>
              <w:rPr>
                <w:rFonts w:ascii="Arial" w:eastAsia="宋体" w:hAnsi="Arial" w:cs="Arial"/>
                <w:kern w:val="0"/>
                <w:sz w:val="18"/>
                <w:szCs w:val="18"/>
              </w:rPr>
            </w:pPr>
            <w:hyperlink r:id="rId19" w:anchor="ITEM_9_CHANGES_IN_DISAGREEMENTS_WITH_ACC" w:history="1">
              <w:r w:rsidRPr="00AC4931">
                <w:rPr>
                  <w:rFonts w:ascii="Arial" w:eastAsia="宋体" w:hAnsi="Arial" w:cs="Arial"/>
                  <w:color w:val="0000FF"/>
                  <w:kern w:val="0"/>
                  <w:sz w:val="18"/>
                  <w:szCs w:val="18"/>
                  <w:u w:val="single"/>
                </w:rPr>
                <w:t>Chan</w:t>
              </w:r>
              <w:r w:rsidRPr="00AC4931">
                <w:rPr>
                  <w:rFonts w:ascii="Arial" w:eastAsia="宋体" w:hAnsi="Arial" w:cs="Arial"/>
                  <w:color w:val="0000FF"/>
                  <w:spacing w:val="-1"/>
                  <w:kern w:val="0"/>
                  <w:sz w:val="18"/>
                  <w:szCs w:val="18"/>
                  <w:u w:val="single"/>
                </w:rPr>
                <w:t>g</w:t>
              </w:r>
              <w:r w:rsidRPr="00AC4931">
                <w:rPr>
                  <w:rFonts w:ascii="Arial" w:eastAsia="宋体" w:hAnsi="Arial" w:cs="Arial"/>
                  <w:color w:val="0000FF"/>
                  <w:kern w:val="0"/>
                  <w:sz w:val="18"/>
                  <w:szCs w:val="18"/>
                  <w:u w:val="single"/>
                </w:rPr>
                <w:t>es</w:t>
              </w:r>
              <w:r w:rsidRPr="00AC4931">
                <w:rPr>
                  <w:rFonts w:ascii="Arial" w:eastAsia="宋体" w:hAnsi="Arial" w:cs="Arial"/>
                  <w:color w:val="0000FF"/>
                  <w:spacing w:val="14"/>
                  <w:kern w:val="0"/>
                  <w:sz w:val="18"/>
                  <w:szCs w:val="18"/>
                  <w:u w:val="single"/>
                </w:rPr>
                <w:t> </w:t>
              </w:r>
              <w:r w:rsidRPr="00AC4931">
                <w:rPr>
                  <w:rFonts w:ascii="Arial" w:eastAsia="宋体" w:hAnsi="Arial" w:cs="Arial"/>
                  <w:color w:val="0000FF"/>
                  <w:kern w:val="0"/>
                  <w:sz w:val="18"/>
                  <w:szCs w:val="18"/>
                  <w:u w:val="single"/>
                </w:rPr>
                <w:t>in</w:t>
              </w:r>
              <w:r w:rsidRPr="00AC4931">
                <w:rPr>
                  <w:rFonts w:ascii="Arial" w:eastAsia="宋体" w:hAnsi="Arial" w:cs="Arial"/>
                  <w:color w:val="0000FF"/>
                  <w:spacing w:val="4"/>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5"/>
                  <w:kern w:val="0"/>
                  <w:sz w:val="18"/>
                  <w:szCs w:val="18"/>
                  <w:u w:val="single"/>
                </w:rPr>
                <w:t> </w:t>
              </w:r>
              <w:r w:rsidRPr="00AC4931">
                <w:rPr>
                  <w:rFonts w:ascii="Arial" w:eastAsia="宋体" w:hAnsi="Arial" w:cs="Arial"/>
                  <w:color w:val="0000FF"/>
                  <w:kern w:val="0"/>
                  <w:sz w:val="18"/>
                  <w:szCs w:val="18"/>
                  <w:u w:val="single"/>
                </w:rPr>
                <w:t>Dis</w:t>
              </w:r>
              <w:r w:rsidRPr="00AC4931">
                <w:rPr>
                  <w:rFonts w:ascii="Arial" w:eastAsia="宋体" w:hAnsi="Arial" w:cs="Arial"/>
                  <w:color w:val="0000FF"/>
                  <w:spacing w:val="-2"/>
                  <w:kern w:val="0"/>
                  <w:sz w:val="18"/>
                  <w:szCs w:val="18"/>
                  <w:u w:val="single"/>
                </w:rPr>
                <w:t>a</w:t>
              </w:r>
              <w:r w:rsidRPr="00AC4931">
                <w:rPr>
                  <w:rFonts w:ascii="Arial" w:eastAsia="宋体" w:hAnsi="Arial" w:cs="Arial"/>
                  <w:color w:val="0000FF"/>
                  <w:spacing w:val="-1"/>
                  <w:kern w:val="0"/>
                  <w:sz w:val="18"/>
                  <w:szCs w:val="18"/>
                  <w:u w:val="single"/>
                </w:rPr>
                <w:t>g</w:t>
              </w:r>
              <w:r w:rsidRPr="00AC4931">
                <w:rPr>
                  <w:rFonts w:ascii="Arial" w:eastAsia="宋体" w:hAnsi="Arial" w:cs="Arial"/>
                  <w:color w:val="0000FF"/>
                  <w:kern w:val="0"/>
                  <w:sz w:val="18"/>
                  <w:szCs w:val="18"/>
                  <w:u w:val="single"/>
                </w:rPr>
                <w:t>reemen</w:t>
              </w:r>
              <w:r w:rsidRPr="00AC4931">
                <w:rPr>
                  <w:rFonts w:ascii="Arial" w:eastAsia="宋体" w:hAnsi="Arial" w:cs="Arial"/>
                  <w:color w:val="0000FF"/>
                  <w:spacing w:val="1"/>
                  <w:kern w:val="0"/>
                  <w:sz w:val="18"/>
                  <w:szCs w:val="18"/>
                  <w:u w:val="single"/>
                </w:rPr>
                <w:t>t</w:t>
              </w:r>
              <w:r w:rsidRPr="00AC4931">
                <w:rPr>
                  <w:rFonts w:ascii="Arial" w:eastAsia="宋体" w:hAnsi="Arial" w:cs="Arial"/>
                  <w:color w:val="0000FF"/>
                  <w:kern w:val="0"/>
                  <w:sz w:val="18"/>
                  <w:szCs w:val="18"/>
                  <w:u w:val="single"/>
                </w:rPr>
                <w:t>s</w:t>
              </w:r>
              <w:r w:rsidRPr="00AC4931">
                <w:rPr>
                  <w:rFonts w:ascii="Arial" w:eastAsia="宋体" w:hAnsi="Arial" w:cs="Arial"/>
                  <w:color w:val="0000FF"/>
                  <w:spacing w:val="23"/>
                  <w:kern w:val="0"/>
                  <w:sz w:val="18"/>
                  <w:szCs w:val="18"/>
                  <w:u w:val="single"/>
                </w:rPr>
                <w:t> </w:t>
              </w:r>
              <w:r w:rsidRPr="00AC4931">
                <w:rPr>
                  <w:rFonts w:ascii="Arial" w:eastAsia="宋体" w:hAnsi="Arial" w:cs="Arial"/>
                  <w:color w:val="0000FF"/>
                  <w:kern w:val="0"/>
                  <w:sz w:val="18"/>
                  <w:szCs w:val="18"/>
                  <w:u w:val="single"/>
                </w:rPr>
                <w:t>with</w:t>
              </w:r>
              <w:r w:rsidRPr="00AC4931">
                <w:rPr>
                  <w:rFonts w:ascii="Arial" w:eastAsia="宋体" w:hAnsi="Arial" w:cs="Arial"/>
                  <w:color w:val="0000FF"/>
                  <w:spacing w:val="7"/>
                  <w:kern w:val="0"/>
                  <w:sz w:val="18"/>
                  <w:szCs w:val="18"/>
                  <w:u w:val="single"/>
                </w:rPr>
                <w:t> </w:t>
              </w:r>
              <w:r w:rsidRPr="00AC4931">
                <w:rPr>
                  <w:rFonts w:ascii="Arial" w:eastAsia="宋体" w:hAnsi="Arial" w:cs="Arial"/>
                  <w:color w:val="0000FF"/>
                  <w:kern w:val="0"/>
                  <w:sz w:val="18"/>
                  <w:szCs w:val="18"/>
                  <w:u w:val="single"/>
                </w:rPr>
                <w:t>Accou</w:t>
              </w:r>
              <w:r w:rsidRPr="00AC4931">
                <w:rPr>
                  <w:rFonts w:ascii="Arial" w:eastAsia="宋体" w:hAnsi="Arial" w:cs="Arial"/>
                  <w:color w:val="0000FF"/>
                  <w:spacing w:val="2"/>
                  <w:kern w:val="0"/>
                  <w:sz w:val="18"/>
                  <w:szCs w:val="18"/>
                  <w:u w:val="single"/>
                </w:rPr>
                <w:t>n</w:t>
              </w:r>
              <w:r w:rsidRPr="00AC4931">
                <w:rPr>
                  <w:rFonts w:ascii="Arial" w:eastAsia="宋体" w:hAnsi="Arial" w:cs="Arial"/>
                  <w:color w:val="0000FF"/>
                  <w:kern w:val="0"/>
                  <w:sz w:val="18"/>
                  <w:szCs w:val="18"/>
                  <w:u w:val="single"/>
                </w:rPr>
                <w:t>tants</w:t>
              </w:r>
              <w:r w:rsidRPr="00AC4931">
                <w:rPr>
                  <w:rFonts w:ascii="Arial" w:eastAsia="宋体" w:hAnsi="Arial" w:cs="Arial"/>
                  <w:color w:val="0000FF"/>
                  <w:spacing w:val="20"/>
                  <w:kern w:val="0"/>
                  <w:sz w:val="18"/>
                  <w:szCs w:val="18"/>
                  <w:u w:val="single"/>
                </w:rPr>
                <w:t> </w:t>
              </w:r>
              <w:r w:rsidRPr="00AC4931">
                <w:rPr>
                  <w:rFonts w:ascii="Arial" w:eastAsia="宋体" w:hAnsi="Arial" w:cs="Arial"/>
                  <w:color w:val="0000FF"/>
                  <w:kern w:val="0"/>
                  <w:sz w:val="18"/>
                  <w:szCs w:val="18"/>
                  <w:u w:val="single"/>
                </w:rPr>
                <w:t>on</w:t>
              </w:r>
              <w:r w:rsidRPr="00AC4931">
                <w:rPr>
                  <w:rFonts w:ascii="Arial" w:eastAsia="宋体" w:hAnsi="Arial" w:cs="Arial"/>
                  <w:color w:val="0000FF"/>
                  <w:spacing w:val="4"/>
                  <w:kern w:val="0"/>
                  <w:sz w:val="18"/>
                  <w:szCs w:val="18"/>
                  <w:u w:val="single"/>
                </w:rPr>
                <w:t> </w:t>
              </w:r>
              <w:r w:rsidRPr="00AC4931">
                <w:rPr>
                  <w:rFonts w:ascii="Arial" w:eastAsia="宋体" w:hAnsi="Arial" w:cs="Arial"/>
                  <w:color w:val="0000FF"/>
                  <w:kern w:val="0"/>
                  <w:sz w:val="18"/>
                  <w:szCs w:val="18"/>
                  <w:u w:val="single"/>
                </w:rPr>
                <w:t>Accounti</w:t>
              </w:r>
              <w:r w:rsidRPr="00AC4931">
                <w:rPr>
                  <w:rFonts w:ascii="Arial" w:eastAsia="宋体" w:hAnsi="Arial" w:cs="Arial"/>
                  <w:color w:val="0000FF"/>
                  <w:spacing w:val="1"/>
                  <w:kern w:val="0"/>
                  <w:sz w:val="18"/>
                  <w:szCs w:val="18"/>
                  <w:u w:val="single"/>
                </w:rPr>
                <w:t>n</w:t>
              </w:r>
              <w:r w:rsidRPr="00AC4931">
                <w:rPr>
                  <w:rFonts w:ascii="Arial" w:eastAsia="宋体" w:hAnsi="Arial" w:cs="Arial"/>
                  <w:color w:val="0000FF"/>
                  <w:kern w:val="0"/>
                  <w:sz w:val="18"/>
                  <w:szCs w:val="18"/>
                  <w:u w:val="single"/>
                </w:rPr>
                <w:t>g</w:t>
              </w:r>
              <w:r w:rsidRPr="00AC4931">
                <w:rPr>
                  <w:rFonts w:ascii="Arial" w:eastAsia="宋体" w:hAnsi="Arial" w:cs="Arial"/>
                  <w:color w:val="0000FF"/>
                  <w:spacing w:val="19"/>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6"/>
                  <w:kern w:val="0"/>
                  <w:sz w:val="18"/>
                  <w:szCs w:val="18"/>
                  <w:u w:val="single"/>
                </w:rPr>
                <w:t> </w:t>
              </w:r>
              <w:r w:rsidRPr="00AC4931">
                <w:rPr>
                  <w:rFonts w:ascii="Arial" w:eastAsia="宋体" w:hAnsi="Arial" w:cs="Arial"/>
                  <w:color w:val="0000FF"/>
                  <w:kern w:val="0"/>
                  <w:sz w:val="18"/>
                  <w:szCs w:val="18"/>
                  <w:u w:val="single"/>
                </w:rPr>
                <w:t>Financia</w:t>
              </w:r>
              <w:r w:rsidRPr="00AC4931">
                <w:rPr>
                  <w:rFonts w:ascii="Arial" w:eastAsia="宋体" w:hAnsi="Arial" w:cs="Arial"/>
                  <w:color w:val="0000FF"/>
                  <w:spacing w:val="-1"/>
                  <w:kern w:val="0"/>
                  <w:sz w:val="18"/>
                  <w:szCs w:val="18"/>
                  <w:u w:val="single"/>
                </w:rPr>
                <w:t>l</w:t>
              </w:r>
              <w:r w:rsidRPr="00AC4931">
                <w:rPr>
                  <w:rFonts w:ascii="Arial" w:eastAsia="宋体" w:hAnsi="Arial" w:cs="Arial"/>
                  <w:color w:val="0000FF"/>
                  <w:spacing w:val="15"/>
                  <w:kern w:val="0"/>
                  <w:sz w:val="18"/>
                  <w:szCs w:val="18"/>
                  <w:u w:val="single"/>
                </w:rPr>
                <w:t> </w:t>
              </w:r>
              <w:r w:rsidRPr="00AC4931">
                <w:rPr>
                  <w:rFonts w:ascii="Arial" w:eastAsia="宋体" w:hAnsi="Arial" w:cs="Arial"/>
                  <w:color w:val="0000FF"/>
                  <w:kern w:val="0"/>
                  <w:sz w:val="18"/>
                  <w:szCs w:val="18"/>
                  <w:u w:val="single"/>
                </w:rPr>
                <w:t>Disclosure</w:t>
              </w:r>
            </w:hyperlink>
          </w:p>
        </w:tc>
        <w:tc>
          <w:tcPr>
            <w:tcW w:w="1212" w:type="dxa"/>
            <w:hideMark/>
          </w:tcPr>
          <w:p w14:paraId="0A5CBEFE"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89</w:t>
            </w:r>
          </w:p>
        </w:tc>
      </w:tr>
      <w:tr w:rsidR="00AC4931" w:rsidRPr="00AC4931" w14:paraId="06C19680" w14:textId="77777777" w:rsidTr="00AC4931">
        <w:tc>
          <w:tcPr>
            <w:tcW w:w="1579" w:type="dxa"/>
            <w:hideMark/>
          </w:tcPr>
          <w:p w14:paraId="604517B5"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9A.</w:t>
            </w:r>
          </w:p>
        </w:tc>
        <w:tc>
          <w:tcPr>
            <w:tcW w:w="449" w:type="dxa"/>
            <w:hideMark/>
          </w:tcPr>
          <w:p w14:paraId="55AB6DB1"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2C9C1191" w14:textId="77777777" w:rsidR="00AC4931" w:rsidRPr="00AC4931" w:rsidRDefault="00AC4931" w:rsidP="00AC4931">
            <w:pPr>
              <w:widowControl/>
              <w:jc w:val="left"/>
              <w:rPr>
                <w:rFonts w:ascii="Arial" w:eastAsia="宋体" w:hAnsi="Arial" w:cs="Arial"/>
                <w:kern w:val="0"/>
                <w:sz w:val="18"/>
                <w:szCs w:val="18"/>
              </w:rPr>
            </w:pPr>
            <w:hyperlink r:id="rId20" w:anchor="ITEM_9A_CONTROLS_PROCEDURES" w:history="1">
              <w:r w:rsidRPr="00AC4931">
                <w:rPr>
                  <w:rFonts w:ascii="Arial" w:eastAsia="宋体" w:hAnsi="Arial" w:cs="Arial"/>
                  <w:color w:val="0000FF"/>
                  <w:kern w:val="0"/>
                  <w:sz w:val="18"/>
                  <w:szCs w:val="18"/>
                  <w:u w:val="single"/>
                </w:rPr>
                <w:t>Controls</w:t>
              </w:r>
              <w:r w:rsidRPr="00AC4931">
                <w:rPr>
                  <w:rFonts w:ascii="Arial" w:eastAsia="宋体" w:hAnsi="Arial" w:cs="Arial"/>
                  <w:color w:val="0000FF"/>
                  <w:spacing w:val="14"/>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6"/>
                  <w:kern w:val="0"/>
                  <w:sz w:val="18"/>
                  <w:szCs w:val="18"/>
                  <w:u w:val="single"/>
                </w:rPr>
                <w:t> </w:t>
              </w:r>
              <w:r w:rsidRPr="00AC4931">
                <w:rPr>
                  <w:rFonts w:ascii="Arial" w:eastAsia="宋体" w:hAnsi="Arial" w:cs="Arial"/>
                  <w:color w:val="0000FF"/>
                  <w:kern w:val="0"/>
                  <w:sz w:val="18"/>
                  <w:szCs w:val="18"/>
                  <w:u w:val="single"/>
                </w:rPr>
                <w:t>Procedures</w:t>
              </w:r>
            </w:hyperlink>
          </w:p>
        </w:tc>
        <w:tc>
          <w:tcPr>
            <w:tcW w:w="1212" w:type="dxa"/>
            <w:hideMark/>
          </w:tcPr>
          <w:p w14:paraId="7A5AC196"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89</w:t>
            </w:r>
          </w:p>
        </w:tc>
      </w:tr>
      <w:tr w:rsidR="00AC4931" w:rsidRPr="00AC4931" w14:paraId="1734C5AA" w14:textId="77777777" w:rsidTr="00AC4931">
        <w:tc>
          <w:tcPr>
            <w:tcW w:w="1579" w:type="dxa"/>
            <w:hideMark/>
          </w:tcPr>
          <w:p w14:paraId="4BB75B7B"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9B.</w:t>
            </w:r>
          </w:p>
        </w:tc>
        <w:tc>
          <w:tcPr>
            <w:tcW w:w="449" w:type="dxa"/>
            <w:hideMark/>
          </w:tcPr>
          <w:p w14:paraId="543D5340"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4FAFA8B9" w14:textId="77777777" w:rsidR="00AC4931" w:rsidRPr="00AC4931" w:rsidRDefault="00AC4931" w:rsidP="00AC4931">
            <w:pPr>
              <w:widowControl/>
              <w:jc w:val="left"/>
              <w:rPr>
                <w:rFonts w:ascii="Arial" w:eastAsia="宋体" w:hAnsi="Arial" w:cs="Arial"/>
                <w:spacing w:val="-1"/>
                <w:kern w:val="0"/>
                <w:sz w:val="18"/>
                <w:szCs w:val="18"/>
              </w:rPr>
            </w:pPr>
            <w:hyperlink r:id="rId21" w:anchor="ITEM_9B_OR_INFORMATION" w:history="1">
              <w:r w:rsidRPr="00AC4931">
                <w:rPr>
                  <w:rFonts w:ascii="Arial" w:eastAsia="宋体" w:hAnsi="Arial" w:cs="Arial"/>
                  <w:color w:val="0000FF"/>
                  <w:spacing w:val="-1"/>
                  <w:kern w:val="0"/>
                  <w:sz w:val="18"/>
                  <w:szCs w:val="18"/>
                  <w:u w:val="single"/>
                </w:rPr>
                <w:t>O</w:t>
              </w:r>
              <w:r w:rsidRPr="00AC4931">
                <w:rPr>
                  <w:rFonts w:ascii="Arial" w:eastAsia="宋体" w:hAnsi="Arial" w:cs="Arial"/>
                  <w:color w:val="0000FF"/>
                  <w:spacing w:val="1"/>
                  <w:kern w:val="0"/>
                  <w:sz w:val="18"/>
                  <w:szCs w:val="18"/>
                  <w:u w:val="single"/>
                </w:rPr>
                <w:t>t</w:t>
              </w:r>
              <w:r w:rsidRPr="00AC4931">
                <w:rPr>
                  <w:rFonts w:ascii="Arial" w:eastAsia="宋体" w:hAnsi="Arial" w:cs="Arial"/>
                  <w:color w:val="0000FF"/>
                  <w:spacing w:val="-1"/>
                  <w:kern w:val="0"/>
                  <w:sz w:val="18"/>
                  <w:szCs w:val="18"/>
                  <w:u w:val="single"/>
                </w:rPr>
                <w:t>her</w:t>
              </w:r>
              <w:r w:rsidRPr="00AC4931">
                <w:rPr>
                  <w:rFonts w:ascii="Arial" w:eastAsia="宋体" w:hAnsi="Arial" w:cs="Arial"/>
                  <w:color w:val="0000FF"/>
                  <w:spacing w:val="9"/>
                  <w:kern w:val="0"/>
                  <w:sz w:val="18"/>
                  <w:szCs w:val="18"/>
                  <w:u w:val="single"/>
                </w:rPr>
                <w:t> </w:t>
              </w:r>
              <w:r w:rsidRPr="00AC4931">
                <w:rPr>
                  <w:rFonts w:ascii="Arial" w:eastAsia="宋体" w:hAnsi="Arial" w:cs="Arial"/>
                  <w:color w:val="0000FF"/>
                  <w:spacing w:val="-1"/>
                  <w:kern w:val="0"/>
                  <w:sz w:val="18"/>
                  <w:szCs w:val="18"/>
                  <w:u w:val="single"/>
                </w:rPr>
                <w:t>Information</w:t>
              </w:r>
            </w:hyperlink>
          </w:p>
        </w:tc>
        <w:tc>
          <w:tcPr>
            <w:tcW w:w="1212" w:type="dxa"/>
            <w:hideMark/>
          </w:tcPr>
          <w:p w14:paraId="20E89F52"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89</w:t>
            </w:r>
          </w:p>
        </w:tc>
      </w:tr>
      <w:tr w:rsidR="00AC4931" w:rsidRPr="00AC4931" w14:paraId="655EB538" w14:textId="77777777" w:rsidTr="00AC4931">
        <w:tc>
          <w:tcPr>
            <w:tcW w:w="1579" w:type="dxa"/>
            <w:hideMark/>
          </w:tcPr>
          <w:p w14:paraId="5E8FB910" w14:textId="77777777" w:rsidR="00AC4931" w:rsidRPr="00AC4931" w:rsidRDefault="00AC4931" w:rsidP="00AC4931">
            <w:pPr>
              <w:widowControl/>
              <w:jc w:val="lef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449" w:type="dxa"/>
            <w:hideMark/>
          </w:tcPr>
          <w:p w14:paraId="4ABB7E64"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15ECAB88"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212" w:type="dxa"/>
            <w:hideMark/>
          </w:tcPr>
          <w:p w14:paraId="337D34C8" w14:textId="77777777" w:rsidR="00AC4931" w:rsidRPr="00AC4931" w:rsidRDefault="00AC4931" w:rsidP="00AC4931">
            <w:pPr>
              <w:widowControl/>
              <w:jc w:val="righ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r>
      <w:tr w:rsidR="00AC4931" w:rsidRPr="00AC4931" w14:paraId="2B019173" w14:textId="77777777" w:rsidTr="00AC4931">
        <w:tc>
          <w:tcPr>
            <w:tcW w:w="20614" w:type="dxa"/>
            <w:gridSpan w:val="4"/>
            <w:hideMark/>
          </w:tcPr>
          <w:p w14:paraId="7D5B1A01" w14:textId="77777777" w:rsidR="00AC4931" w:rsidRPr="00AC4931" w:rsidRDefault="00AC4931" w:rsidP="00AC4931">
            <w:pPr>
              <w:widowControl/>
              <w:jc w:val="center"/>
              <w:rPr>
                <w:rFonts w:ascii="Arial" w:eastAsia="宋体" w:hAnsi="Arial" w:cs="Arial"/>
                <w:b/>
                <w:bCs/>
                <w:kern w:val="0"/>
                <w:sz w:val="18"/>
                <w:szCs w:val="18"/>
              </w:rPr>
            </w:pPr>
            <w:hyperlink r:id="rId22" w:anchor="PART_III" w:history="1">
              <w:r w:rsidRPr="00AC4931">
                <w:rPr>
                  <w:rFonts w:ascii="Arial" w:eastAsia="宋体" w:hAnsi="Arial" w:cs="Arial"/>
                  <w:b/>
                  <w:bCs/>
                  <w:color w:val="0000FF"/>
                  <w:kern w:val="0"/>
                  <w:sz w:val="18"/>
                  <w:szCs w:val="18"/>
                  <w:u w:val="single"/>
                </w:rPr>
                <w:t>PART</w:t>
              </w:r>
              <w:r w:rsidRPr="00AC4931">
                <w:rPr>
                  <w:rFonts w:ascii="Arial" w:eastAsia="宋体" w:hAnsi="Arial" w:cs="Arial"/>
                  <w:b/>
                  <w:bCs/>
                  <w:color w:val="0000FF"/>
                  <w:spacing w:val="11"/>
                  <w:kern w:val="0"/>
                  <w:sz w:val="18"/>
                  <w:szCs w:val="18"/>
                  <w:u w:val="single"/>
                </w:rPr>
                <w:t> </w:t>
              </w:r>
              <w:r w:rsidRPr="00AC4931">
                <w:rPr>
                  <w:rFonts w:ascii="Arial" w:eastAsia="宋体" w:hAnsi="Arial" w:cs="Arial"/>
                  <w:b/>
                  <w:bCs/>
                  <w:color w:val="0000FF"/>
                  <w:spacing w:val="-1"/>
                  <w:kern w:val="0"/>
                  <w:sz w:val="18"/>
                  <w:szCs w:val="18"/>
                  <w:u w:val="single"/>
                </w:rPr>
                <w:t>I</w:t>
              </w:r>
              <w:r w:rsidRPr="00AC4931">
                <w:rPr>
                  <w:rFonts w:ascii="Arial" w:eastAsia="宋体" w:hAnsi="Arial" w:cs="Arial"/>
                  <w:b/>
                  <w:bCs/>
                  <w:color w:val="0000FF"/>
                  <w:kern w:val="0"/>
                  <w:sz w:val="18"/>
                  <w:szCs w:val="18"/>
                  <w:u w:val="single"/>
                </w:rPr>
                <w:t>II</w:t>
              </w:r>
            </w:hyperlink>
          </w:p>
        </w:tc>
      </w:tr>
      <w:tr w:rsidR="00AC4931" w:rsidRPr="00AC4931" w14:paraId="5C08AEE9" w14:textId="77777777" w:rsidTr="00AC4931">
        <w:tc>
          <w:tcPr>
            <w:tcW w:w="1579" w:type="dxa"/>
            <w:hideMark/>
          </w:tcPr>
          <w:p w14:paraId="7635B0A1" w14:textId="77777777" w:rsidR="00AC4931" w:rsidRPr="00AC4931" w:rsidRDefault="00AC4931" w:rsidP="00AC4931">
            <w:pPr>
              <w:widowControl/>
              <w:jc w:val="left"/>
              <w:rPr>
                <w:rFonts w:ascii="宋体" w:eastAsia="宋体" w:hAnsi="宋体" w:cs="宋体"/>
                <w:b/>
                <w:bCs/>
                <w:kern w:val="0"/>
                <w:sz w:val="18"/>
                <w:szCs w:val="18"/>
              </w:rPr>
            </w:pPr>
            <w:r w:rsidRPr="00AC4931">
              <w:rPr>
                <w:rFonts w:ascii="宋体" w:eastAsia="宋体" w:hAnsi="宋体" w:cs="宋体"/>
                <w:b/>
                <w:bCs/>
                <w:kern w:val="0"/>
                <w:sz w:val="18"/>
                <w:szCs w:val="18"/>
              </w:rPr>
              <w:t> </w:t>
            </w:r>
          </w:p>
        </w:tc>
        <w:tc>
          <w:tcPr>
            <w:tcW w:w="449" w:type="dxa"/>
            <w:hideMark/>
          </w:tcPr>
          <w:p w14:paraId="04C6181D"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3E97BB52" w14:textId="77777777" w:rsidR="00AC4931" w:rsidRPr="00AC4931" w:rsidRDefault="00AC4931" w:rsidP="00AC4931">
            <w:pPr>
              <w:widowControl/>
              <w:jc w:val="lef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212" w:type="dxa"/>
            <w:hideMark/>
          </w:tcPr>
          <w:p w14:paraId="5DFA07C3" w14:textId="77777777" w:rsidR="00AC4931" w:rsidRPr="00AC4931" w:rsidRDefault="00AC4931" w:rsidP="00AC4931">
            <w:pPr>
              <w:widowControl/>
              <w:jc w:val="righ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r>
      <w:tr w:rsidR="00AC4931" w:rsidRPr="00AC4931" w14:paraId="4B45D3A6" w14:textId="77777777" w:rsidTr="00AC4931">
        <w:tc>
          <w:tcPr>
            <w:tcW w:w="1579" w:type="dxa"/>
            <w:hideMark/>
          </w:tcPr>
          <w:p w14:paraId="542B1023"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lastRenderedPageBreak/>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10.</w:t>
            </w:r>
          </w:p>
        </w:tc>
        <w:tc>
          <w:tcPr>
            <w:tcW w:w="449" w:type="dxa"/>
            <w:hideMark/>
          </w:tcPr>
          <w:p w14:paraId="1316F359"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72824EA2" w14:textId="77777777" w:rsidR="00AC4931" w:rsidRPr="00AC4931" w:rsidRDefault="00AC4931" w:rsidP="00AC4931">
            <w:pPr>
              <w:widowControl/>
              <w:jc w:val="left"/>
              <w:rPr>
                <w:rFonts w:ascii="Arial" w:eastAsia="宋体" w:hAnsi="Arial" w:cs="Arial"/>
                <w:kern w:val="0"/>
                <w:sz w:val="18"/>
                <w:szCs w:val="18"/>
              </w:rPr>
            </w:pPr>
            <w:hyperlink r:id="rId23" w:anchor="ITEM_10_DIRECTORS_EXECUTIVE_FICERS_CORPO" w:history="1">
              <w:r w:rsidRPr="00AC4931">
                <w:rPr>
                  <w:rFonts w:ascii="Arial" w:eastAsia="宋体" w:hAnsi="Arial" w:cs="Arial"/>
                  <w:color w:val="0000FF"/>
                  <w:kern w:val="0"/>
                  <w:sz w:val="18"/>
                  <w:szCs w:val="18"/>
                  <w:u w:val="single"/>
                </w:rPr>
                <w:t>Directors,</w:t>
              </w:r>
              <w:r w:rsidRPr="00AC4931">
                <w:rPr>
                  <w:rFonts w:ascii="Arial" w:eastAsia="宋体" w:hAnsi="Arial" w:cs="Arial"/>
                  <w:color w:val="0000FF"/>
                  <w:spacing w:val="15"/>
                  <w:kern w:val="0"/>
                  <w:sz w:val="18"/>
                  <w:szCs w:val="18"/>
                  <w:u w:val="single"/>
                </w:rPr>
                <w:t> </w:t>
              </w:r>
              <w:r w:rsidRPr="00AC4931">
                <w:rPr>
                  <w:rFonts w:ascii="Arial" w:eastAsia="宋体" w:hAnsi="Arial" w:cs="Arial"/>
                  <w:color w:val="0000FF"/>
                  <w:kern w:val="0"/>
                  <w:sz w:val="18"/>
                  <w:szCs w:val="18"/>
                  <w:u w:val="single"/>
                </w:rPr>
                <w:t>Executive</w:t>
              </w:r>
              <w:r w:rsidRPr="00AC4931">
                <w:rPr>
                  <w:rFonts w:ascii="Arial" w:eastAsia="宋体" w:hAnsi="Arial" w:cs="Arial"/>
                  <w:color w:val="0000FF"/>
                  <w:spacing w:val="15"/>
                  <w:kern w:val="0"/>
                  <w:sz w:val="18"/>
                  <w:szCs w:val="18"/>
                  <w:u w:val="single"/>
                </w:rPr>
                <w:t> </w:t>
              </w:r>
              <w:r w:rsidRPr="00AC4931">
                <w:rPr>
                  <w:rFonts w:ascii="Arial" w:eastAsia="宋体" w:hAnsi="Arial" w:cs="Arial"/>
                  <w:color w:val="0000FF"/>
                  <w:kern w:val="0"/>
                  <w:sz w:val="18"/>
                  <w:szCs w:val="18"/>
                  <w:u w:val="single"/>
                </w:rPr>
                <w:t>Office</w:t>
              </w:r>
              <w:r w:rsidRPr="00AC4931">
                <w:rPr>
                  <w:rFonts w:ascii="Arial" w:eastAsia="宋体" w:hAnsi="Arial" w:cs="Arial"/>
                  <w:color w:val="0000FF"/>
                  <w:spacing w:val="1"/>
                  <w:kern w:val="0"/>
                  <w:sz w:val="18"/>
                  <w:szCs w:val="18"/>
                  <w:u w:val="single"/>
                </w:rPr>
                <w:t>r</w:t>
              </w:r>
              <w:r w:rsidRPr="00AC4931">
                <w:rPr>
                  <w:rFonts w:ascii="Arial" w:eastAsia="宋体" w:hAnsi="Arial" w:cs="Arial"/>
                  <w:color w:val="0000FF"/>
                  <w:kern w:val="0"/>
                  <w:sz w:val="18"/>
                  <w:szCs w:val="18"/>
                  <w:u w:val="single"/>
                </w:rPr>
                <w:t>s</w:t>
              </w:r>
              <w:r w:rsidRPr="00AC4931">
                <w:rPr>
                  <w:rFonts w:ascii="Arial" w:eastAsia="宋体" w:hAnsi="Arial" w:cs="Arial"/>
                  <w:color w:val="0000FF"/>
                  <w:spacing w:val="12"/>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5"/>
                  <w:kern w:val="0"/>
                  <w:sz w:val="18"/>
                  <w:szCs w:val="18"/>
                  <w:u w:val="single"/>
                </w:rPr>
                <w:t> </w:t>
              </w:r>
              <w:r w:rsidRPr="00AC4931">
                <w:rPr>
                  <w:rFonts w:ascii="Arial" w:eastAsia="宋体" w:hAnsi="Arial" w:cs="Arial"/>
                  <w:color w:val="0000FF"/>
                  <w:kern w:val="0"/>
                  <w:sz w:val="18"/>
                  <w:szCs w:val="18"/>
                  <w:u w:val="single"/>
                </w:rPr>
                <w:t>Corporate</w:t>
              </w:r>
              <w:r w:rsidRPr="00AC4931">
                <w:rPr>
                  <w:rFonts w:ascii="Arial" w:eastAsia="宋体" w:hAnsi="Arial" w:cs="Arial"/>
                  <w:color w:val="0000FF"/>
                  <w:spacing w:val="16"/>
                  <w:kern w:val="0"/>
                  <w:sz w:val="18"/>
                  <w:szCs w:val="18"/>
                  <w:u w:val="single"/>
                </w:rPr>
                <w:t> </w:t>
              </w:r>
              <w:r w:rsidRPr="00AC4931">
                <w:rPr>
                  <w:rFonts w:ascii="Arial" w:eastAsia="宋体" w:hAnsi="Arial" w:cs="Arial"/>
                  <w:color w:val="0000FF"/>
                  <w:kern w:val="0"/>
                  <w:sz w:val="18"/>
                  <w:szCs w:val="18"/>
                  <w:u w:val="single"/>
                </w:rPr>
                <w:t>Governance</w:t>
              </w:r>
            </w:hyperlink>
          </w:p>
        </w:tc>
        <w:tc>
          <w:tcPr>
            <w:tcW w:w="1212" w:type="dxa"/>
            <w:hideMark/>
          </w:tcPr>
          <w:p w14:paraId="0C0F8AA0"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90</w:t>
            </w:r>
          </w:p>
        </w:tc>
      </w:tr>
      <w:tr w:rsidR="00AC4931" w:rsidRPr="00AC4931" w14:paraId="4BB05B86" w14:textId="77777777" w:rsidTr="00AC4931">
        <w:tc>
          <w:tcPr>
            <w:tcW w:w="1579" w:type="dxa"/>
            <w:hideMark/>
          </w:tcPr>
          <w:p w14:paraId="50D551A2"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11.</w:t>
            </w:r>
          </w:p>
        </w:tc>
        <w:tc>
          <w:tcPr>
            <w:tcW w:w="449" w:type="dxa"/>
            <w:hideMark/>
          </w:tcPr>
          <w:p w14:paraId="22A994E3"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5EC1848E" w14:textId="77777777" w:rsidR="00AC4931" w:rsidRPr="00AC4931" w:rsidRDefault="00AC4931" w:rsidP="00AC4931">
            <w:pPr>
              <w:widowControl/>
              <w:jc w:val="left"/>
              <w:rPr>
                <w:rFonts w:ascii="Arial" w:eastAsia="宋体" w:hAnsi="Arial" w:cs="Arial"/>
                <w:kern w:val="0"/>
                <w:sz w:val="18"/>
                <w:szCs w:val="18"/>
              </w:rPr>
            </w:pPr>
            <w:hyperlink r:id="rId24" w:anchor="ITEM_11_EXECUTIVE_COMPENSATION" w:history="1">
              <w:r w:rsidRPr="00AC4931">
                <w:rPr>
                  <w:rFonts w:ascii="Arial" w:eastAsia="宋体" w:hAnsi="Arial" w:cs="Arial"/>
                  <w:color w:val="0000FF"/>
                  <w:kern w:val="0"/>
                  <w:sz w:val="18"/>
                  <w:szCs w:val="18"/>
                  <w:u w:val="single"/>
                </w:rPr>
                <w:t>Executive</w:t>
              </w:r>
              <w:r w:rsidRPr="00AC4931">
                <w:rPr>
                  <w:rFonts w:ascii="Arial" w:eastAsia="宋体" w:hAnsi="Arial" w:cs="Arial"/>
                  <w:color w:val="0000FF"/>
                  <w:spacing w:val="16"/>
                  <w:kern w:val="0"/>
                  <w:sz w:val="18"/>
                  <w:szCs w:val="18"/>
                  <w:u w:val="single"/>
                </w:rPr>
                <w:t> </w:t>
              </w:r>
              <w:r w:rsidRPr="00AC4931">
                <w:rPr>
                  <w:rFonts w:ascii="Arial" w:eastAsia="宋体" w:hAnsi="Arial" w:cs="Arial"/>
                  <w:color w:val="0000FF"/>
                  <w:kern w:val="0"/>
                  <w:sz w:val="18"/>
                  <w:szCs w:val="18"/>
                  <w:u w:val="single"/>
                </w:rPr>
                <w:t>Compensation</w:t>
              </w:r>
            </w:hyperlink>
          </w:p>
        </w:tc>
        <w:tc>
          <w:tcPr>
            <w:tcW w:w="1212" w:type="dxa"/>
            <w:hideMark/>
          </w:tcPr>
          <w:p w14:paraId="41072F5A"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90</w:t>
            </w:r>
          </w:p>
        </w:tc>
      </w:tr>
      <w:tr w:rsidR="00AC4931" w:rsidRPr="00AC4931" w14:paraId="1E996556" w14:textId="77777777" w:rsidTr="00AC4931">
        <w:tc>
          <w:tcPr>
            <w:tcW w:w="1579" w:type="dxa"/>
            <w:hideMark/>
          </w:tcPr>
          <w:p w14:paraId="47B3F6A0"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12.</w:t>
            </w:r>
          </w:p>
        </w:tc>
        <w:tc>
          <w:tcPr>
            <w:tcW w:w="449" w:type="dxa"/>
            <w:hideMark/>
          </w:tcPr>
          <w:p w14:paraId="5E0934E2"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223EBD5C" w14:textId="77777777" w:rsidR="00AC4931" w:rsidRPr="00AC4931" w:rsidRDefault="00AC4931" w:rsidP="00AC4931">
            <w:pPr>
              <w:widowControl/>
              <w:jc w:val="left"/>
              <w:rPr>
                <w:rFonts w:ascii="Arial" w:eastAsia="宋体" w:hAnsi="Arial" w:cs="Arial"/>
                <w:kern w:val="0"/>
                <w:sz w:val="18"/>
                <w:szCs w:val="18"/>
              </w:rPr>
            </w:pPr>
            <w:hyperlink r:id="rId25" w:anchor="ITEM_12_SECURITY_OWNERSHIP_CERTAIN_BENEF" w:history="1">
              <w:r w:rsidRPr="00AC4931">
                <w:rPr>
                  <w:rFonts w:ascii="Arial" w:eastAsia="宋体" w:hAnsi="Arial" w:cs="Arial"/>
                  <w:color w:val="0000FF"/>
                  <w:kern w:val="0"/>
                  <w:sz w:val="18"/>
                  <w:szCs w:val="18"/>
                  <w:u w:val="single"/>
                </w:rPr>
                <w:t>Securi</w:t>
              </w:r>
              <w:r w:rsidRPr="00AC4931">
                <w:rPr>
                  <w:rFonts w:ascii="Arial" w:eastAsia="宋体" w:hAnsi="Arial" w:cs="Arial"/>
                  <w:color w:val="0000FF"/>
                  <w:spacing w:val="-1"/>
                  <w:kern w:val="0"/>
                  <w:sz w:val="18"/>
                  <w:szCs w:val="18"/>
                  <w:u w:val="single"/>
                </w:rPr>
                <w:t>t</w:t>
              </w:r>
              <w:r w:rsidRPr="00AC4931">
                <w:rPr>
                  <w:rFonts w:ascii="Arial" w:eastAsia="宋体" w:hAnsi="Arial" w:cs="Arial"/>
                  <w:color w:val="0000FF"/>
                  <w:kern w:val="0"/>
                  <w:sz w:val="18"/>
                  <w:szCs w:val="18"/>
                  <w:u w:val="single"/>
                </w:rPr>
                <w:t>y</w:t>
              </w:r>
              <w:r w:rsidRPr="00AC4931">
                <w:rPr>
                  <w:rFonts w:ascii="Arial" w:eastAsia="宋体" w:hAnsi="Arial" w:cs="Arial"/>
                  <w:color w:val="0000FF"/>
                  <w:spacing w:val="14"/>
                  <w:kern w:val="0"/>
                  <w:sz w:val="18"/>
                  <w:szCs w:val="18"/>
                  <w:u w:val="single"/>
                </w:rPr>
                <w:t> </w:t>
              </w:r>
              <w:r w:rsidRPr="00AC4931">
                <w:rPr>
                  <w:rFonts w:ascii="Arial" w:eastAsia="宋体" w:hAnsi="Arial" w:cs="Arial"/>
                  <w:color w:val="0000FF"/>
                  <w:kern w:val="0"/>
                  <w:sz w:val="18"/>
                  <w:szCs w:val="18"/>
                  <w:u w:val="single"/>
                </w:rPr>
                <w:t>Ownership</w:t>
              </w:r>
              <w:r w:rsidRPr="00AC4931">
                <w:rPr>
                  <w:rFonts w:ascii="Arial" w:eastAsia="宋体" w:hAnsi="Arial" w:cs="Arial"/>
                  <w:color w:val="0000FF"/>
                  <w:spacing w:val="18"/>
                  <w:kern w:val="0"/>
                  <w:sz w:val="18"/>
                  <w:szCs w:val="18"/>
                  <w:u w:val="single"/>
                </w:rPr>
                <w:t> </w:t>
              </w:r>
              <w:r w:rsidRPr="00AC4931">
                <w:rPr>
                  <w:rFonts w:ascii="Arial" w:eastAsia="宋体" w:hAnsi="Arial" w:cs="Arial"/>
                  <w:color w:val="0000FF"/>
                  <w:kern w:val="0"/>
                  <w:sz w:val="18"/>
                  <w:szCs w:val="18"/>
                  <w:u w:val="single"/>
                </w:rPr>
                <w:t>of</w:t>
              </w:r>
              <w:r w:rsidRPr="00AC4931">
                <w:rPr>
                  <w:rFonts w:ascii="Arial" w:eastAsia="宋体" w:hAnsi="Arial" w:cs="Arial"/>
                  <w:color w:val="0000FF"/>
                  <w:spacing w:val="4"/>
                  <w:kern w:val="0"/>
                  <w:sz w:val="18"/>
                  <w:szCs w:val="18"/>
                  <w:u w:val="single"/>
                </w:rPr>
                <w:t> </w:t>
              </w:r>
              <w:r w:rsidRPr="00AC4931">
                <w:rPr>
                  <w:rFonts w:ascii="Arial" w:eastAsia="宋体" w:hAnsi="Arial" w:cs="Arial"/>
                  <w:color w:val="0000FF"/>
                  <w:kern w:val="0"/>
                  <w:sz w:val="18"/>
                  <w:szCs w:val="18"/>
                  <w:u w:val="single"/>
                </w:rPr>
                <w:t>Cer</w:t>
              </w:r>
              <w:r w:rsidRPr="00AC4931">
                <w:rPr>
                  <w:rFonts w:ascii="Arial" w:eastAsia="宋体" w:hAnsi="Arial" w:cs="Arial"/>
                  <w:color w:val="0000FF"/>
                  <w:spacing w:val="1"/>
                  <w:kern w:val="0"/>
                  <w:sz w:val="18"/>
                  <w:szCs w:val="18"/>
                  <w:u w:val="single"/>
                </w:rPr>
                <w:t>t</w:t>
              </w:r>
              <w:r w:rsidRPr="00AC4931">
                <w:rPr>
                  <w:rFonts w:ascii="Arial" w:eastAsia="宋体" w:hAnsi="Arial" w:cs="Arial"/>
                  <w:color w:val="0000FF"/>
                  <w:kern w:val="0"/>
                  <w:sz w:val="18"/>
                  <w:szCs w:val="18"/>
                  <w:u w:val="single"/>
                </w:rPr>
                <w:t>a</w:t>
              </w:r>
              <w:r w:rsidRPr="00AC4931">
                <w:rPr>
                  <w:rFonts w:ascii="Arial" w:eastAsia="宋体" w:hAnsi="Arial" w:cs="Arial"/>
                  <w:color w:val="0000FF"/>
                  <w:spacing w:val="1"/>
                  <w:kern w:val="0"/>
                  <w:sz w:val="18"/>
                  <w:szCs w:val="18"/>
                  <w:u w:val="single"/>
                </w:rPr>
                <w:t>i</w:t>
              </w:r>
              <w:r w:rsidRPr="00AC4931">
                <w:rPr>
                  <w:rFonts w:ascii="Arial" w:eastAsia="宋体" w:hAnsi="Arial" w:cs="Arial"/>
                  <w:color w:val="0000FF"/>
                  <w:kern w:val="0"/>
                  <w:sz w:val="18"/>
                  <w:szCs w:val="18"/>
                  <w:u w:val="single"/>
                </w:rPr>
                <w:t>n</w:t>
              </w:r>
              <w:r w:rsidRPr="00AC4931">
                <w:rPr>
                  <w:rFonts w:ascii="Arial" w:eastAsia="宋体" w:hAnsi="Arial" w:cs="Arial"/>
                  <w:color w:val="0000FF"/>
                  <w:spacing w:val="12"/>
                  <w:kern w:val="0"/>
                  <w:sz w:val="18"/>
                  <w:szCs w:val="18"/>
                  <w:u w:val="single"/>
                </w:rPr>
                <w:t> </w:t>
              </w:r>
              <w:r w:rsidRPr="00AC4931">
                <w:rPr>
                  <w:rFonts w:ascii="Arial" w:eastAsia="宋体" w:hAnsi="Arial" w:cs="Arial"/>
                  <w:color w:val="0000FF"/>
                  <w:kern w:val="0"/>
                  <w:sz w:val="18"/>
                  <w:szCs w:val="18"/>
                  <w:u w:val="single"/>
                </w:rPr>
                <w:t>Beneficia</w:t>
              </w:r>
              <w:r w:rsidRPr="00AC4931">
                <w:rPr>
                  <w:rFonts w:ascii="Arial" w:eastAsia="宋体" w:hAnsi="Arial" w:cs="Arial"/>
                  <w:color w:val="0000FF"/>
                  <w:spacing w:val="-1"/>
                  <w:kern w:val="0"/>
                  <w:sz w:val="18"/>
                  <w:szCs w:val="18"/>
                  <w:u w:val="single"/>
                </w:rPr>
                <w:t>l</w:t>
              </w:r>
              <w:r w:rsidRPr="00AC4931">
                <w:rPr>
                  <w:rFonts w:ascii="Arial" w:eastAsia="宋体" w:hAnsi="Arial" w:cs="Arial"/>
                  <w:color w:val="0000FF"/>
                  <w:spacing w:val="17"/>
                  <w:kern w:val="0"/>
                  <w:sz w:val="18"/>
                  <w:szCs w:val="18"/>
                  <w:u w:val="single"/>
                </w:rPr>
                <w:t> </w:t>
              </w:r>
              <w:r w:rsidRPr="00AC4931">
                <w:rPr>
                  <w:rFonts w:ascii="Arial" w:eastAsia="宋体" w:hAnsi="Arial" w:cs="Arial"/>
                  <w:color w:val="0000FF"/>
                  <w:kern w:val="0"/>
                  <w:sz w:val="18"/>
                  <w:szCs w:val="18"/>
                  <w:u w:val="single"/>
                </w:rPr>
                <w:t>Owners</w:t>
              </w:r>
              <w:r w:rsidRPr="00AC4931">
                <w:rPr>
                  <w:rFonts w:ascii="Arial" w:eastAsia="宋体" w:hAnsi="Arial" w:cs="Arial"/>
                  <w:color w:val="0000FF"/>
                  <w:spacing w:val="12"/>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6"/>
                  <w:kern w:val="0"/>
                  <w:sz w:val="18"/>
                  <w:szCs w:val="18"/>
                  <w:u w:val="single"/>
                </w:rPr>
                <w:t> </w:t>
              </w:r>
              <w:r w:rsidRPr="00AC4931">
                <w:rPr>
                  <w:rFonts w:ascii="Arial" w:eastAsia="宋体" w:hAnsi="Arial" w:cs="Arial"/>
                  <w:color w:val="0000FF"/>
                  <w:kern w:val="0"/>
                  <w:sz w:val="18"/>
                  <w:szCs w:val="18"/>
                  <w:u w:val="single"/>
                </w:rPr>
                <w:t>Mana</w:t>
              </w:r>
              <w:r w:rsidRPr="00AC4931">
                <w:rPr>
                  <w:rFonts w:ascii="Arial" w:eastAsia="宋体" w:hAnsi="Arial" w:cs="Arial"/>
                  <w:color w:val="0000FF"/>
                  <w:spacing w:val="-1"/>
                  <w:kern w:val="0"/>
                  <w:sz w:val="18"/>
                  <w:szCs w:val="18"/>
                  <w:u w:val="single"/>
                </w:rPr>
                <w:t>g</w:t>
              </w:r>
              <w:r w:rsidRPr="00AC4931">
                <w:rPr>
                  <w:rFonts w:ascii="Arial" w:eastAsia="宋体" w:hAnsi="Arial" w:cs="Arial"/>
                  <w:color w:val="0000FF"/>
                  <w:kern w:val="0"/>
                  <w:sz w:val="18"/>
                  <w:szCs w:val="18"/>
                  <w:u w:val="single"/>
                </w:rPr>
                <w:t>ement</w:t>
              </w:r>
              <w:r w:rsidRPr="00AC4931">
                <w:rPr>
                  <w:rFonts w:ascii="Arial" w:eastAsia="宋体" w:hAnsi="Arial" w:cs="Arial"/>
                  <w:color w:val="0000FF"/>
                  <w:spacing w:val="20"/>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6"/>
                  <w:kern w:val="0"/>
                  <w:sz w:val="18"/>
                  <w:szCs w:val="18"/>
                  <w:u w:val="single"/>
                </w:rPr>
                <w:t> </w:t>
              </w:r>
              <w:r w:rsidRPr="00AC4931">
                <w:rPr>
                  <w:rFonts w:ascii="Arial" w:eastAsia="宋体" w:hAnsi="Arial" w:cs="Arial"/>
                  <w:color w:val="0000FF"/>
                  <w:kern w:val="0"/>
                  <w:sz w:val="18"/>
                  <w:szCs w:val="18"/>
                  <w:u w:val="single"/>
                </w:rPr>
                <w:t>Related</w:t>
              </w:r>
              <w:r w:rsidRPr="00AC4931">
                <w:rPr>
                  <w:rFonts w:ascii="Arial" w:eastAsia="宋体" w:hAnsi="Arial" w:cs="Arial"/>
                  <w:color w:val="0000FF"/>
                  <w:spacing w:val="12"/>
                  <w:kern w:val="0"/>
                  <w:sz w:val="18"/>
                  <w:szCs w:val="18"/>
                  <w:u w:val="single"/>
                </w:rPr>
                <w:t> </w:t>
              </w:r>
              <w:r w:rsidRPr="00AC4931">
                <w:rPr>
                  <w:rFonts w:ascii="Arial" w:eastAsia="宋体" w:hAnsi="Arial" w:cs="Arial"/>
                  <w:color w:val="0000FF"/>
                  <w:kern w:val="0"/>
                  <w:sz w:val="18"/>
                  <w:szCs w:val="18"/>
                  <w:u w:val="single"/>
                </w:rPr>
                <w:t>Stockholder</w:t>
              </w:r>
              <w:r w:rsidRPr="00AC4931">
                <w:rPr>
                  <w:rFonts w:ascii="Arial" w:eastAsia="宋体" w:hAnsi="Arial" w:cs="Arial"/>
                  <w:color w:val="0000FF"/>
                  <w:spacing w:val="18"/>
                  <w:kern w:val="0"/>
                  <w:sz w:val="18"/>
                  <w:szCs w:val="18"/>
                  <w:u w:val="single"/>
                </w:rPr>
                <w:t> </w:t>
              </w:r>
              <w:r w:rsidRPr="00AC4931">
                <w:rPr>
                  <w:rFonts w:ascii="Arial" w:eastAsia="宋体" w:hAnsi="Arial" w:cs="Arial"/>
                  <w:color w:val="0000FF"/>
                  <w:kern w:val="0"/>
                  <w:sz w:val="18"/>
                  <w:szCs w:val="18"/>
                  <w:u w:val="single"/>
                </w:rPr>
                <w:t>Matters</w:t>
              </w:r>
            </w:hyperlink>
          </w:p>
        </w:tc>
        <w:tc>
          <w:tcPr>
            <w:tcW w:w="1212" w:type="dxa"/>
            <w:hideMark/>
          </w:tcPr>
          <w:p w14:paraId="5BF3448B"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90</w:t>
            </w:r>
          </w:p>
        </w:tc>
      </w:tr>
      <w:tr w:rsidR="00AC4931" w:rsidRPr="00AC4931" w14:paraId="404804C5" w14:textId="77777777" w:rsidTr="00AC4931">
        <w:tc>
          <w:tcPr>
            <w:tcW w:w="1579" w:type="dxa"/>
            <w:hideMark/>
          </w:tcPr>
          <w:p w14:paraId="7DD149BD"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13.</w:t>
            </w:r>
          </w:p>
        </w:tc>
        <w:tc>
          <w:tcPr>
            <w:tcW w:w="449" w:type="dxa"/>
            <w:hideMark/>
          </w:tcPr>
          <w:p w14:paraId="6106CC06"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5CCDDF77" w14:textId="77777777" w:rsidR="00AC4931" w:rsidRPr="00AC4931" w:rsidRDefault="00AC4931" w:rsidP="00AC4931">
            <w:pPr>
              <w:widowControl/>
              <w:jc w:val="left"/>
              <w:rPr>
                <w:rFonts w:ascii="Arial" w:eastAsia="宋体" w:hAnsi="Arial" w:cs="Arial"/>
                <w:kern w:val="0"/>
                <w:sz w:val="18"/>
                <w:szCs w:val="18"/>
              </w:rPr>
            </w:pPr>
            <w:hyperlink r:id="rId26" w:anchor="ITEM_13_CERTAIN_RELATIONSHIPS_RELATED_TR" w:history="1">
              <w:r w:rsidRPr="00AC4931">
                <w:rPr>
                  <w:rFonts w:ascii="Arial" w:eastAsia="宋体" w:hAnsi="Arial" w:cs="Arial"/>
                  <w:color w:val="0000FF"/>
                  <w:kern w:val="0"/>
                  <w:sz w:val="18"/>
                  <w:szCs w:val="18"/>
                  <w:u w:val="single"/>
                </w:rPr>
                <w:t>Certain</w:t>
              </w:r>
              <w:r w:rsidRPr="00AC4931">
                <w:rPr>
                  <w:rFonts w:ascii="Arial" w:eastAsia="宋体" w:hAnsi="Arial" w:cs="Arial"/>
                  <w:color w:val="0000FF"/>
                  <w:spacing w:val="11"/>
                  <w:kern w:val="0"/>
                  <w:sz w:val="18"/>
                  <w:szCs w:val="18"/>
                  <w:u w:val="single"/>
                </w:rPr>
                <w:t> </w:t>
              </w:r>
              <w:r w:rsidRPr="00AC4931">
                <w:rPr>
                  <w:rFonts w:ascii="Arial" w:eastAsia="宋体" w:hAnsi="Arial" w:cs="Arial"/>
                  <w:color w:val="0000FF"/>
                  <w:kern w:val="0"/>
                  <w:sz w:val="18"/>
                  <w:szCs w:val="18"/>
                  <w:u w:val="single"/>
                </w:rPr>
                <w:t>Relationships</w:t>
              </w:r>
              <w:r w:rsidRPr="00AC4931">
                <w:rPr>
                  <w:rFonts w:ascii="Arial" w:eastAsia="宋体" w:hAnsi="Arial" w:cs="Arial"/>
                  <w:color w:val="0000FF"/>
                  <w:spacing w:val="21"/>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5"/>
                  <w:kern w:val="0"/>
                  <w:sz w:val="18"/>
                  <w:szCs w:val="18"/>
                  <w:u w:val="single"/>
                </w:rPr>
                <w:t> </w:t>
              </w:r>
              <w:r w:rsidRPr="00AC4931">
                <w:rPr>
                  <w:rFonts w:ascii="Arial" w:eastAsia="宋体" w:hAnsi="Arial" w:cs="Arial"/>
                  <w:color w:val="0000FF"/>
                  <w:kern w:val="0"/>
                  <w:sz w:val="18"/>
                  <w:szCs w:val="18"/>
                  <w:u w:val="single"/>
                </w:rPr>
                <w:t>Related</w:t>
              </w:r>
              <w:r w:rsidRPr="00AC4931">
                <w:rPr>
                  <w:rFonts w:ascii="Arial" w:eastAsia="宋体" w:hAnsi="Arial" w:cs="Arial"/>
                  <w:color w:val="0000FF"/>
                  <w:spacing w:val="13"/>
                  <w:kern w:val="0"/>
                  <w:sz w:val="18"/>
                  <w:szCs w:val="18"/>
                  <w:u w:val="single"/>
                </w:rPr>
                <w:t> </w:t>
              </w:r>
              <w:r w:rsidRPr="00AC4931">
                <w:rPr>
                  <w:rFonts w:ascii="Arial" w:eastAsia="宋体" w:hAnsi="Arial" w:cs="Arial"/>
                  <w:color w:val="0000FF"/>
                  <w:kern w:val="0"/>
                  <w:sz w:val="18"/>
                  <w:szCs w:val="18"/>
                  <w:u w:val="single"/>
                </w:rPr>
                <w:t>T</w:t>
              </w:r>
              <w:r w:rsidRPr="00AC4931">
                <w:rPr>
                  <w:rFonts w:ascii="Arial" w:eastAsia="宋体" w:hAnsi="Arial" w:cs="Arial"/>
                  <w:color w:val="0000FF"/>
                  <w:spacing w:val="-2"/>
                  <w:kern w:val="0"/>
                  <w:sz w:val="18"/>
                  <w:szCs w:val="18"/>
                  <w:u w:val="single"/>
                </w:rPr>
                <w:t>r</w:t>
              </w:r>
              <w:r w:rsidRPr="00AC4931">
                <w:rPr>
                  <w:rFonts w:ascii="Arial" w:eastAsia="宋体" w:hAnsi="Arial" w:cs="Arial"/>
                  <w:color w:val="0000FF"/>
                  <w:kern w:val="0"/>
                  <w:sz w:val="18"/>
                  <w:szCs w:val="18"/>
                  <w:u w:val="single"/>
                </w:rPr>
                <w:t>ansactions,</w:t>
              </w:r>
              <w:r w:rsidRPr="00AC4931">
                <w:rPr>
                  <w:rFonts w:ascii="Arial" w:eastAsia="宋体" w:hAnsi="Arial" w:cs="Arial"/>
                  <w:color w:val="0000FF"/>
                  <w:spacing w:val="21"/>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5"/>
                  <w:kern w:val="0"/>
                  <w:sz w:val="18"/>
                  <w:szCs w:val="18"/>
                  <w:u w:val="single"/>
                </w:rPr>
                <w:t> </w:t>
              </w:r>
              <w:r w:rsidRPr="00AC4931">
                <w:rPr>
                  <w:rFonts w:ascii="Arial" w:eastAsia="宋体" w:hAnsi="Arial" w:cs="Arial"/>
                  <w:color w:val="0000FF"/>
                  <w:kern w:val="0"/>
                  <w:sz w:val="18"/>
                  <w:szCs w:val="18"/>
                  <w:u w:val="single"/>
                </w:rPr>
                <w:t>Director</w:t>
              </w:r>
              <w:r w:rsidRPr="00AC4931">
                <w:rPr>
                  <w:rFonts w:ascii="Arial" w:eastAsia="宋体" w:hAnsi="Arial" w:cs="Arial"/>
                  <w:color w:val="0000FF"/>
                  <w:spacing w:val="13"/>
                  <w:kern w:val="0"/>
                  <w:sz w:val="18"/>
                  <w:szCs w:val="18"/>
                  <w:u w:val="single"/>
                </w:rPr>
                <w:t> </w:t>
              </w:r>
              <w:r w:rsidRPr="00AC4931">
                <w:rPr>
                  <w:rFonts w:ascii="Arial" w:eastAsia="宋体" w:hAnsi="Arial" w:cs="Arial"/>
                  <w:color w:val="0000FF"/>
                  <w:kern w:val="0"/>
                  <w:sz w:val="18"/>
                  <w:szCs w:val="18"/>
                  <w:u w:val="single"/>
                </w:rPr>
                <w:t>Independence</w:t>
              </w:r>
            </w:hyperlink>
          </w:p>
        </w:tc>
        <w:tc>
          <w:tcPr>
            <w:tcW w:w="1212" w:type="dxa"/>
            <w:hideMark/>
          </w:tcPr>
          <w:p w14:paraId="6102B78A"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90</w:t>
            </w:r>
          </w:p>
        </w:tc>
      </w:tr>
      <w:tr w:rsidR="00AC4931" w:rsidRPr="00AC4931" w14:paraId="4A09D747" w14:textId="77777777" w:rsidTr="00AC4931">
        <w:tc>
          <w:tcPr>
            <w:tcW w:w="1579" w:type="dxa"/>
            <w:hideMark/>
          </w:tcPr>
          <w:p w14:paraId="25EBD907"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14.</w:t>
            </w:r>
          </w:p>
        </w:tc>
        <w:tc>
          <w:tcPr>
            <w:tcW w:w="449" w:type="dxa"/>
            <w:hideMark/>
          </w:tcPr>
          <w:p w14:paraId="63F1A4C0"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484A5754" w14:textId="77777777" w:rsidR="00AC4931" w:rsidRPr="00AC4931" w:rsidRDefault="00AC4931" w:rsidP="00AC4931">
            <w:pPr>
              <w:widowControl/>
              <w:jc w:val="left"/>
              <w:rPr>
                <w:rFonts w:ascii="Arial" w:eastAsia="宋体" w:hAnsi="Arial" w:cs="Arial"/>
                <w:kern w:val="0"/>
                <w:sz w:val="18"/>
                <w:szCs w:val="18"/>
              </w:rPr>
            </w:pPr>
            <w:hyperlink r:id="rId27" w:anchor="ITEM_14_PRINCIPAL_ACCOUNTING_FEES_SERVIC" w:history="1">
              <w:r w:rsidRPr="00AC4931">
                <w:rPr>
                  <w:rFonts w:ascii="Arial" w:eastAsia="宋体" w:hAnsi="Arial" w:cs="Arial"/>
                  <w:color w:val="0000FF"/>
                  <w:kern w:val="0"/>
                  <w:sz w:val="18"/>
                  <w:szCs w:val="18"/>
                  <w:u w:val="single"/>
                </w:rPr>
                <w:t>Principal</w:t>
              </w:r>
              <w:r w:rsidRPr="00AC4931">
                <w:rPr>
                  <w:rFonts w:ascii="Arial" w:eastAsia="宋体" w:hAnsi="Arial" w:cs="Arial"/>
                  <w:color w:val="0000FF"/>
                  <w:spacing w:val="15"/>
                  <w:kern w:val="0"/>
                  <w:sz w:val="18"/>
                  <w:szCs w:val="18"/>
                  <w:u w:val="single"/>
                </w:rPr>
                <w:t> </w:t>
              </w:r>
              <w:r w:rsidRPr="00AC4931">
                <w:rPr>
                  <w:rFonts w:ascii="Arial" w:eastAsia="宋体" w:hAnsi="Arial" w:cs="Arial"/>
                  <w:color w:val="0000FF"/>
                  <w:kern w:val="0"/>
                  <w:sz w:val="18"/>
                  <w:szCs w:val="18"/>
                  <w:u w:val="single"/>
                </w:rPr>
                <w:t>Accounti</w:t>
              </w:r>
              <w:r w:rsidRPr="00AC4931">
                <w:rPr>
                  <w:rFonts w:ascii="Arial" w:eastAsia="宋体" w:hAnsi="Arial" w:cs="Arial"/>
                  <w:color w:val="0000FF"/>
                  <w:spacing w:val="1"/>
                  <w:kern w:val="0"/>
                  <w:sz w:val="18"/>
                  <w:szCs w:val="18"/>
                  <w:u w:val="single"/>
                </w:rPr>
                <w:t>n</w:t>
              </w:r>
              <w:r w:rsidRPr="00AC4931">
                <w:rPr>
                  <w:rFonts w:ascii="Arial" w:eastAsia="宋体" w:hAnsi="Arial" w:cs="Arial"/>
                  <w:color w:val="0000FF"/>
                  <w:kern w:val="0"/>
                  <w:sz w:val="18"/>
                  <w:szCs w:val="18"/>
                  <w:u w:val="single"/>
                </w:rPr>
                <w:t>g</w:t>
              </w:r>
              <w:r w:rsidRPr="00AC4931">
                <w:rPr>
                  <w:rFonts w:ascii="Arial" w:eastAsia="宋体" w:hAnsi="Arial" w:cs="Arial"/>
                  <w:color w:val="0000FF"/>
                  <w:spacing w:val="19"/>
                  <w:kern w:val="0"/>
                  <w:sz w:val="18"/>
                  <w:szCs w:val="18"/>
                  <w:u w:val="single"/>
                </w:rPr>
                <w:t> </w:t>
              </w:r>
              <w:r w:rsidRPr="00AC4931">
                <w:rPr>
                  <w:rFonts w:ascii="Arial" w:eastAsia="宋体" w:hAnsi="Arial" w:cs="Arial"/>
                  <w:color w:val="0000FF"/>
                  <w:kern w:val="0"/>
                  <w:sz w:val="18"/>
                  <w:szCs w:val="18"/>
                  <w:u w:val="single"/>
                </w:rPr>
                <w:t>Fees</w:t>
              </w:r>
              <w:r w:rsidRPr="00AC4931">
                <w:rPr>
                  <w:rFonts w:ascii="Arial" w:eastAsia="宋体" w:hAnsi="Arial" w:cs="Arial"/>
                  <w:color w:val="0000FF"/>
                  <w:spacing w:val="8"/>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6"/>
                  <w:kern w:val="0"/>
                  <w:sz w:val="18"/>
                  <w:szCs w:val="18"/>
                  <w:u w:val="single"/>
                </w:rPr>
                <w:t> </w:t>
              </w:r>
              <w:r w:rsidRPr="00AC4931">
                <w:rPr>
                  <w:rFonts w:ascii="Arial" w:eastAsia="宋体" w:hAnsi="Arial" w:cs="Arial"/>
                  <w:color w:val="0000FF"/>
                  <w:kern w:val="0"/>
                  <w:sz w:val="18"/>
                  <w:szCs w:val="18"/>
                  <w:u w:val="single"/>
                </w:rPr>
                <w:t>Services</w:t>
              </w:r>
            </w:hyperlink>
          </w:p>
        </w:tc>
        <w:tc>
          <w:tcPr>
            <w:tcW w:w="1212" w:type="dxa"/>
            <w:hideMark/>
          </w:tcPr>
          <w:p w14:paraId="67051BD6" w14:textId="77777777" w:rsidR="00AC4931" w:rsidRPr="00AC4931" w:rsidRDefault="00AC4931" w:rsidP="00AC4931">
            <w:pPr>
              <w:widowControl/>
              <w:jc w:val="right"/>
              <w:rPr>
                <w:rFonts w:ascii="Arial" w:eastAsia="宋体" w:hAnsi="Arial" w:cs="Arial"/>
                <w:kern w:val="0"/>
                <w:sz w:val="20"/>
                <w:szCs w:val="20"/>
              </w:rPr>
            </w:pPr>
            <w:r w:rsidRPr="00AC4931">
              <w:rPr>
                <w:rFonts w:ascii="Arial" w:eastAsia="宋体" w:hAnsi="Arial" w:cs="Arial"/>
                <w:kern w:val="0"/>
                <w:sz w:val="20"/>
                <w:szCs w:val="20"/>
              </w:rPr>
              <w:t>90</w:t>
            </w:r>
          </w:p>
        </w:tc>
      </w:tr>
      <w:tr w:rsidR="00AC4931" w:rsidRPr="00AC4931" w14:paraId="04A7361E" w14:textId="77777777" w:rsidTr="00AC4931">
        <w:tc>
          <w:tcPr>
            <w:tcW w:w="1579" w:type="dxa"/>
            <w:hideMark/>
          </w:tcPr>
          <w:p w14:paraId="7694A644" w14:textId="77777777" w:rsidR="00AC4931" w:rsidRPr="00AC4931" w:rsidRDefault="00AC4931" w:rsidP="00AC4931">
            <w:pPr>
              <w:widowControl/>
              <w:jc w:val="lef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449" w:type="dxa"/>
            <w:hideMark/>
          </w:tcPr>
          <w:p w14:paraId="3FBB78FD"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161D462C"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212" w:type="dxa"/>
            <w:hideMark/>
          </w:tcPr>
          <w:p w14:paraId="7C19CBAA" w14:textId="77777777" w:rsidR="00AC4931" w:rsidRPr="00AC4931" w:rsidRDefault="00AC4931" w:rsidP="00AC4931">
            <w:pPr>
              <w:widowControl/>
              <w:jc w:val="righ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r>
      <w:tr w:rsidR="00AC4931" w:rsidRPr="00AC4931" w14:paraId="61470C0C" w14:textId="77777777" w:rsidTr="00AC4931">
        <w:tc>
          <w:tcPr>
            <w:tcW w:w="20614" w:type="dxa"/>
            <w:gridSpan w:val="4"/>
            <w:hideMark/>
          </w:tcPr>
          <w:p w14:paraId="1DD3CC08" w14:textId="77777777" w:rsidR="00AC4931" w:rsidRPr="00AC4931" w:rsidRDefault="00AC4931" w:rsidP="00AC4931">
            <w:pPr>
              <w:widowControl/>
              <w:jc w:val="center"/>
              <w:rPr>
                <w:rFonts w:ascii="Arial" w:eastAsia="宋体" w:hAnsi="Arial" w:cs="Arial"/>
                <w:b/>
                <w:bCs/>
                <w:spacing w:val="-1"/>
                <w:kern w:val="0"/>
                <w:sz w:val="18"/>
                <w:szCs w:val="18"/>
              </w:rPr>
            </w:pPr>
            <w:hyperlink r:id="rId28" w:anchor="PART_IV" w:history="1">
              <w:r w:rsidRPr="00AC4931">
                <w:rPr>
                  <w:rFonts w:ascii="Arial" w:eastAsia="宋体" w:hAnsi="Arial" w:cs="Arial"/>
                  <w:b/>
                  <w:bCs/>
                  <w:color w:val="0000FF"/>
                  <w:spacing w:val="-1"/>
                  <w:kern w:val="0"/>
                  <w:sz w:val="18"/>
                  <w:szCs w:val="18"/>
                  <w:u w:val="single"/>
                </w:rPr>
                <w:t>PART</w:t>
              </w:r>
              <w:r w:rsidRPr="00AC4931">
                <w:rPr>
                  <w:rFonts w:ascii="Arial" w:eastAsia="宋体" w:hAnsi="Arial" w:cs="Arial"/>
                  <w:b/>
                  <w:bCs/>
                  <w:color w:val="0000FF"/>
                  <w:spacing w:val="10"/>
                  <w:kern w:val="0"/>
                  <w:sz w:val="18"/>
                  <w:szCs w:val="18"/>
                  <w:u w:val="single"/>
                </w:rPr>
                <w:t> </w:t>
              </w:r>
              <w:r w:rsidRPr="00AC4931">
                <w:rPr>
                  <w:rFonts w:ascii="Arial" w:eastAsia="宋体" w:hAnsi="Arial" w:cs="Arial"/>
                  <w:b/>
                  <w:bCs/>
                  <w:color w:val="0000FF"/>
                  <w:spacing w:val="-1"/>
                  <w:kern w:val="0"/>
                  <w:sz w:val="18"/>
                  <w:szCs w:val="18"/>
                  <w:u w:val="single"/>
                </w:rPr>
                <w:t>IV</w:t>
              </w:r>
            </w:hyperlink>
          </w:p>
        </w:tc>
      </w:tr>
      <w:tr w:rsidR="00AC4931" w:rsidRPr="00AC4931" w14:paraId="6A89AC97" w14:textId="77777777" w:rsidTr="00AC4931">
        <w:tc>
          <w:tcPr>
            <w:tcW w:w="1579" w:type="dxa"/>
            <w:hideMark/>
          </w:tcPr>
          <w:p w14:paraId="7DA60A96" w14:textId="77777777" w:rsidR="00AC4931" w:rsidRPr="00AC4931" w:rsidRDefault="00AC4931" w:rsidP="00AC4931">
            <w:pPr>
              <w:widowControl/>
              <w:jc w:val="left"/>
              <w:rPr>
                <w:rFonts w:ascii="宋体" w:eastAsia="宋体" w:hAnsi="宋体" w:cs="宋体"/>
                <w:b/>
                <w:bCs/>
                <w:kern w:val="0"/>
                <w:sz w:val="18"/>
                <w:szCs w:val="18"/>
              </w:rPr>
            </w:pPr>
            <w:r w:rsidRPr="00AC4931">
              <w:rPr>
                <w:rFonts w:ascii="宋体" w:eastAsia="宋体" w:hAnsi="宋体" w:cs="宋体"/>
                <w:b/>
                <w:bCs/>
                <w:kern w:val="0"/>
                <w:sz w:val="18"/>
                <w:szCs w:val="18"/>
              </w:rPr>
              <w:t> </w:t>
            </w:r>
          </w:p>
        </w:tc>
        <w:tc>
          <w:tcPr>
            <w:tcW w:w="449" w:type="dxa"/>
            <w:hideMark/>
          </w:tcPr>
          <w:p w14:paraId="65F121B6"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6EA741D2" w14:textId="77777777" w:rsidR="00AC4931" w:rsidRPr="00AC4931" w:rsidRDefault="00AC4931" w:rsidP="00AC4931">
            <w:pPr>
              <w:widowControl/>
              <w:jc w:val="lef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212" w:type="dxa"/>
            <w:hideMark/>
          </w:tcPr>
          <w:p w14:paraId="2194F50D" w14:textId="77777777" w:rsidR="00AC4931" w:rsidRPr="00AC4931" w:rsidRDefault="00AC4931" w:rsidP="00AC4931">
            <w:pPr>
              <w:widowControl/>
              <w:jc w:val="righ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r>
      <w:tr w:rsidR="00AC4931" w:rsidRPr="00AC4931" w14:paraId="0A02047D" w14:textId="77777777" w:rsidTr="00AC4931">
        <w:tc>
          <w:tcPr>
            <w:tcW w:w="1579" w:type="dxa"/>
            <w:hideMark/>
          </w:tcPr>
          <w:p w14:paraId="3EAF17E3" w14:textId="77777777" w:rsidR="00AC4931" w:rsidRPr="00AC4931" w:rsidRDefault="00AC4931" w:rsidP="00AC4931">
            <w:pPr>
              <w:widowControl/>
              <w:jc w:val="left"/>
              <w:rPr>
                <w:rFonts w:ascii="Arial" w:eastAsia="宋体" w:hAnsi="Arial" w:cs="Arial"/>
                <w:b/>
                <w:bCs/>
                <w:kern w:val="0"/>
                <w:sz w:val="18"/>
                <w:szCs w:val="18"/>
              </w:rPr>
            </w:pPr>
            <w:r w:rsidRPr="00AC4931">
              <w:rPr>
                <w:rFonts w:ascii="Arial" w:eastAsia="宋体" w:hAnsi="Arial" w:cs="Arial"/>
                <w:b/>
                <w:bCs/>
                <w:kern w:val="0"/>
                <w:sz w:val="18"/>
                <w:szCs w:val="18"/>
              </w:rPr>
              <w:t>Item</w:t>
            </w:r>
            <w:r w:rsidRPr="00AC4931">
              <w:rPr>
                <w:rFonts w:ascii="Arial" w:eastAsia="宋体" w:hAnsi="Arial" w:cs="Arial"/>
                <w:b/>
                <w:bCs/>
                <w:spacing w:val="9"/>
                <w:kern w:val="0"/>
                <w:sz w:val="18"/>
                <w:szCs w:val="18"/>
              </w:rPr>
              <w:t> </w:t>
            </w:r>
            <w:r w:rsidRPr="00AC4931">
              <w:rPr>
                <w:rFonts w:ascii="Arial" w:eastAsia="宋体" w:hAnsi="Arial" w:cs="Arial"/>
                <w:b/>
                <w:bCs/>
                <w:kern w:val="0"/>
                <w:sz w:val="18"/>
                <w:szCs w:val="18"/>
              </w:rPr>
              <w:t>15.</w:t>
            </w:r>
          </w:p>
        </w:tc>
        <w:tc>
          <w:tcPr>
            <w:tcW w:w="449" w:type="dxa"/>
            <w:hideMark/>
          </w:tcPr>
          <w:p w14:paraId="5E34430B"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17374" w:type="dxa"/>
            <w:hideMark/>
          </w:tcPr>
          <w:p w14:paraId="15FCE633" w14:textId="77777777" w:rsidR="00AC4931" w:rsidRPr="00AC4931" w:rsidRDefault="00AC4931" w:rsidP="00AC4931">
            <w:pPr>
              <w:widowControl/>
              <w:jc w:val="left"/>
              <w:rPr>
                <w:rFonts w:ascii="Arial" w:eastAsia="宋体" w:hAnsi="Arial" w:cs="Arial"/>
                <w:kern w:val="0"/>
                <w:sz w:val="18"/>
                <w:szCs w:val="18"/>
              </w:rPr>
            </w:pPr>
            <w:hyperlink r:id="rId29" w:anchor="ITEM_15_EXHIBITS_FINANCIAL_STATEMENT_SCH" w:history="1">
              <w:r w:rsidRPr="00AC4931">
                <w:rPr>
                  <w:rFonts w:ascii="Arial" w:eastAsia="宋体" w:hAnsi="Arial" w:cs="Arial"/>
                  <w:color w:val="0000FF"/>
                  <w:kern w:val="0"/>
                  <w:sz w:val="18"/>
                  <w:szCs w:val="18"/>
                  <w:u w:val="single"/>
                </w:rPr>
                <w:t>Exhibi</w:t>
              </w:r>
              <w:r w:rsidRPr="00AC4931">
                <w:rPr>
                  <w:rFonts w:ascii="Arial" w:eastAsia="宋体" w:hAnsi="Arial" w:cs="Arial"/>
                  <w:color w:val="0000FF"/>
                  <w:spacing w:val="1"/>
                  <w:kern w:val="0"/>
                  <w:sz w:val="18"/>
                  <w:szCs w:val="18"/>
                  <w:u w:val="single"/>
                </w:rPr>
                <w:t>t</w:t>
              </w:r>
              <w:r w:rsidRPr="00AC4931">
                <w:rPr>
                  <w:rFonts w:ascii="Arial" w:eastAsia="宋体" w:hAnsi="Arial" w:cs="Arial"/>
                  <w:color w:val="0000FF"/>
                  <w:kern w:val="0"/>
                  <w:sz w:val="18"/>
                  <w:szCs w:val="18"/>
                  <w:u w:val="single"/>
                </w:rPr>
                <w:t>s</w:t>
              </w:r>
              <w:r w:rsidRPr="00AC4931">
                <w:rPr>
                  <w:rFonts w:ascii="Arial" w:eastAsia="宋体" w:hAnsi="Arial" w:cs="Arial"/>
                  <w:color w:val="0000FF"/>
                  <w:spacing w:val="13"/>
                  <w:kern w:val="0"/>
                  <w:sz w:val="18"/>
                  <w:szCs w:val="18"/>
                  <w:u w:val="single"/>
                </w:rPr>
                <w:t> </w:t>
              </w:r>
              <w:r w:rsidRPr="00AC4931">
                <w:rPr>
                  <w:rFonts w:ascii="Arial" w:eastAsia="宋体" w:hAnsi="Arial" w:cs="Arial"/>
                  <w:color w:val="0000FF"/>
                  <w:kern w:val="0"/>
                  <w:sz w:val="18"/>
                  <w:szCs w:val="18"/>
                  <w:u w:val="single"/>
                </w:rPr>
                <w:t>and</w:t>
              </w:r>
              <w:r w:rsidRPr="00AC4931">
                <w:rPr>
                  <w:rFonts w:ascii="Arial" w:eastAsia="宋体" w:hAnsi="Arial" w:cs="Arial"/>
                  <w:color w:val="0000FF"/>
                  <w:spacing w:val="6"/>
                  <w:kern w:val="0"/>
                  <w:sz w:val="18"/>
                  <w:szCs w:val="18"/>
                  <w:u w:val="single"/>
                </w:rPr>
                <w:t> </w:t>
              </w:r>
              <w:r w:rsidRPr="00AC4931">
                <w:rPr>
                  <w:rFonts w:ascii="Arial" w:eastAsia="宋体" w:hAnsi="Arial" w:cs="Arial"/>
                  <w:color w:val="0000FF"/>
                  <w:kern w:val="0"/>
                  <w:sz w:val="18"/>
                  <w:szCs w:val="18"/>
                  <w:u w:val="single"/>
                </w:rPr>
                <w:t>F</w:t>
              </w:r>
              <w:r w:rsidRPr="00AC4931">
                <w:rPr>
                  <w:rFonts w:ascii="Arial" w:eastAsia="宋体" w:hAnsi="Arial" w:cs="Arial"/>
                  <w:color w:val="0000FF"/>
                  <w:spacing w:val="1"/>
                  <w:kern w:val="0"/>
                  <w:sz w:val="18"/>
                  <w:szCs w:val="18"/>
                  <w:u w:val="single"/>
                </w:rPr>
                <w:t>i</w:t>
              </w:r>
              <w:r w:rsidRPr="00AC4931">
                <w:rPr>
                  <w:rFonts w:ascii="Arial" w:eastAsia="宋体" w:hAnsi="Arial" w:cs="Arial"/>
                  <w:color w:val="0000FF"/>
                  <w:kern w:val="0"/>
                  <w:sz w:val="18"/>
                  <w:szCs w:val="18"/>
                  <w:u w:val="single"/>
                </w:rPr>
                <w:t>nancia</w:t>
              </w:r>
              <w:r w:rsidRPr="00AC4931">
                <w:rPr>
                  <w:rFonts w:ascii="Arial" w:eastAsia="宋体" w:hAnsi="Arial" w:cs="Arial"/>
                  <w:color w:val="0000FF"/>
                  <w:spacing w:val="-1"/>
                  <w:kern w:val="0"/>
                  <w:sz w:val="18"/>
                  <w:szCs w:val="18"/>
                  <w:u w:val="single"/>
                </w:rPr>
                <w:t>l</w:t>
              </w:r>
              <w:r w:rsidRPr="00AC4931">
                <w:rPr>
                  <w:rFonts w:ascii="Arial" w:eastAsia="宋体" w:hAnsi="Arial" w:cs="Arial"/>
                  <w:color w:val="0000FF"/>
                  <w:spacing w:val="15"/>
                  <w:kern w:val="0"/>
                  <w:sz w:val="18"/>
                  <w:szCs w:val="18"/>
                  <w:u w:val="single"/>
                </w:rPr>
                <w:t> </w:t>
              </w:r>
              <w:r w:rsidRPr="00AC4931">
                <w:rPr>
                  <w:rFonts w:ascii="Arial" w:eastAsia="宋体" w:hAnsi="Arial" w:cs="Arial"/>
                  <w:color w:val="0000FF"/>
                  <w:kern w:val="0"/>
                  <w:sz w:val="18"/>
                  <w:szCs w:val="18"/>
                  <w:u w:val="single"/>
                </w:rPr>
                <w:t>Sta</w:t>
              </w:r>
              <w:r w:rsidRPr="00AC4931">
                <w:rPr>
                  <w:rFonts w:ascii="Arial" w:eastAsia="宋体" w:hAnsi="Arial" w:cs="Arial"/>
                  <w:color w:val="0000FF"/>
                  <w:spacing w:val="1"/>
                  <w:kern w:val="0"/>
                  <w:sz w:val="18"/>
                  <w:szCs w:val="18"/>
                  <w:u w:val="single"/>
                </w:rPr>
                <w:t>t</w:t>
              </w:r>
              <w:r w:rsidRPr="00AC4931">
                <w:rPr>
                  <w:rFonts w:ascii="Arial" w:eastAsia="宋体" w:hAnsi="Arial" w:cs="Arial"/>
                  <w:color w:val="0000FF"/>
                  <w:kern w:val="0"/>
                  <w:sz w:val="18"/>
                  <w:szCs w:val="18"/>
                  <w:u w:val="single"/>
                </w:rPr>
                <w:t>ement</w:t>
              </w:r>
              <w:r w:rsidRPr="00AC4931">
                <w:rPr>
                  <w:rFonts w:ascii="Arial" w:eastAsia="宋体" w:hAnsi="Arial" w:cs="Arial"/>
                  <w:color w:val="0000FF"/>
                  <w:spacing w:val="15"/>
                  <w:kern w:val="0"/>
                  <w:sz w:val="18"/>
                  <w:szCs w:val="18"/>
                  <w:u w:val="single"/>
                </w:rPr>
                <w:t> </w:t>
              </w:r>
              <w:r w:rsidRPr="00AC4931">
                <w:rPr>
                  <w:rFonts w:ascii="Arial" w:eastAsia="宋体" w:hAnsi="Arial" w:cs="Arial"/>
                  <w:color w:val="0000FF"/>
                  <w:kern w:val="0"/>
                  <w:sz w:val="18"/>
                  <w:szCs w:val="18"/>
                  <w:u w:val="single"/>
                </w:rPr>
                <w:t>Schedules</w:t>
              </w:r>
            </w:hyperlink>
          </w:p>
        </w:tc>
        <w:tc>
          <w:tcPr>
            <w:tcW w:w="1212" w:type="dxa"/>
            <w:hideMark/>
          </w:tcPr>
          <w:p w14:paraId="2217E6E8" w14:textId="77777777" w:rsidR="00AC4931" w:rsidRPr="00AC4931" w:rsidRDefault="00AC4931" w:rsidP="00AC4931">
            <w:pPr>
              <w:widowControl/>
              <w:jc w:val="right"/>
              <w:rPr>
                <w:rFonts w:ascii="Arial" w:eastAsia="宋体" w:hAnsi="Arial" w:cs="Arial"/>
                <w:kern w:val="0"/>
                <w:sz w:val="18"/>
                <w:szCs w:val="18"/>
              </w:rPr>
            </w:pPr>
            <w:r w:rsidRPr="00AC4931">
              <w:rPr>
                <w:rFonts w:ascii="Arial" w:eastAsia="宋体" w:hAnsi="Arial" w:cs="Arial"/>
                <w:kern w:val="0"/>
                <w:sz w:val="18"/>
                <w:szCs w:val="18"/>
              </w:rPr>
              <w:t>91</w:t>
            </w:r>
          </w:p>
        </w:tc>
      </w:tr>
    </w:tbl>
    <w:p w14:paraId="0A72D75A"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2BC440D"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1</w:t>
      </w:r>
    </w:p>
    <w:p w14:paraId="3B8B94F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4DDC2E1"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A8A301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262DF9C"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269C64B">
          <v:rect id="_x0000_i1026" style="width:0;height:1.5pt" o:hralign="center" o:hrstd="t" o:hrnoshade="t" o:hr="t" fillcolor="black" stroked="f"/>
        </w:pict>
      </w:r>
    </w:p>
    <w:p w14:paraId="462918A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1A35BE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3090D8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D58A365" w14:textId="77777777" w:rsidR="00AC4931" w:rsidRPr="00AC4931" w:rsidRDefault="00AC4931" w:rsidP="00AC4931">
      <w:pPr>
        <w:widowControl/>
        <w:jc w:val="center"/>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NOTE ABOUT FORWARD-LOOKING STATEMENTS</w:t>
      </w:r>
    </w:p>
    <w:p w14:paraId="7C815219"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p w14:paraId="08378564"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This Annual Report on Form 10-K contains statements that are not historical facts but rather forward-looking statements within the meaning of the Private Securities Litigation Reform Act of 1995. Such forward-looking statements include those that address activities, events or developments that Autoliv, Inc. (“Autoliv,” the “Company” or “we”) or its management believes or anticipates may occur in the future. All forward-looking statements are based upon our current expectations, various assumptions and/or data available from third parties. Our expectations and assumptions are expressed in good faith and we believe there is a reasonable basis for them. However, there can be no assurance that such forward-looking statements will materialize or prove to be correct as forward-looking statements are inherently subject to known and unknown risks, uncertainties and other factors which may cause actual future results, performance or achievements to differ materially from the future results, performance or achievements expressed in or implied by such forward-looking statements.</w:t>
      </w:r>
    </w:p>
    <w:p w14:paraId="55050DFE"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3DF699BF"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In some cases, you can identify these statements by forward-looking words such as “estimates,” “expects,” “anticipates,” “projects,” “plans,” “intends,” “believes,” “may,” “likely,” “might,” “would,” “should,” “could,” or the negative of these terms and other comparable terminology, although not all forward-looking statements contain such words.</w:t>
      </w:r>
    </w:p>
    <w:p w14:paraId="38751160"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E28534F"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 xml:space="preserve">Because these forward-looking statements involve risks and uncertainties, the outcome could differ materially from those set out in the forward-looking statements for a variety of reasons, including without limitation: changes in light vehicle production; fluctuation in vehicle production schedules for which the Company is a supplier; changes in general industry and market conditions or regional growth or decline; changes in and the successful execution of our capacity alignment: restructuring and cost reduction and </w:t>
      </w:r>
      <w:r w:rsidRPr="00AC4931">
        <w:rPr>
          <w:rFonts w:ascii="Arial" w:eastAsia="宋体" w:hAnsi="Arial" w:cs="Arial"/>
          <w:color w:val="000000"/>
          <w:kern w:val="0"/>
          <w:sz w:val="18"/>
          <w:szCs w:val="18"/>
        </w:rPr>
        <w:lastRenderedPageBreak/>
        <w:t>efficiency initiatives and the market reaction thereto; loss of business from increased competition; higher raw material, fuel and energy costs; changes in consumer and customer preferences for end products; customer losses; changes in regulatory conditions; customer bankruptcies; consolidations or restructuring; or divestiture of customer brands; unfavorable fluctuations in currencies or interest rates among the various jurisdictions in which we operate; component shortages; market acceptance of our new products; costs or difficulties related to the integration of any new or acquired businesses and technologies; continued uncertainty in pricing negotiations with customers; successful integration of acquisitions and operations of joint ventures; successful implementation of strategic partnerships and collaborations; our ability to be awarded new business; product liability, warranty and recall claims and investigations and other litigation and customer reactions thereto; higher expenses for our pension and other postretirement benefits, including higher funding needs for our pension plans; work stoppages or other labor issues; possible adverse results of pending or future litigation or infringement claims; our ability to protect our intellectual property rights; negative impacts of antitrust investigations or other governmental investigations and associated litigation relating to the conduct of our business; tax assessments by governmental authorities and changes in our effective tax rate; dependence on key personnel; legislative or regulatory changes impacting or limiting our business; political conditions; dependence on and relationships with customers and suppliers; and other risks and uncertainties identified in Item 1A -“Risk Factors” and Item 7 - “Management’s Discussion and Analysis of Financial Condition and Results of Operations” in this Form 10-K.</w:t>
      </w:r>
    </w:p>
    <w:p w14:paraId="6C10E9D2"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FE6FB53"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For any forward-looking statements contained in this or any other document, we claim the protection of the safe harbor for forward- looking statements contained in the Private Securities Litigation Reform Act of 1995, and we assume no obligation to update publicly or revise any forward-looking statements in light of new information or future events, except as required by law.</w:t>
      </w:r>
    </w:p>
    <w:p w14:paraId="3B44777E"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2</w:t>
      </w:r>
    </w:p>
    <w:p w14:paraId="4CA8FC8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9ECCC7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C6DC481"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A1874AF"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4EE8FF64">
          <v:rect id="_x0000_i1027" style="width:0;height:1.5pt" o:hralign="center" o:hrstd="t" o:hrnoshade="t" o:hr="t" fillcolor="black" stroked="f"/>
        </w:pict>
      </w:r>
    </w:p>
    <w:p w14:paraId="1741460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E28361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7B0B98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1CA0BFE" w14:textId="77777777" w:rsidR="00AC4931" w:rsidRPr="00AC4931" w:rsidRDefault="00AC4931" w:rsidP="00AC4931">
      <w:pPr>
        <w:widowControl/>
        <w:jc w:val="center"/>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PART I</w:t>
      </w:r>
    </w:p>
    <w:p w14:paraId="7F3ADF9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0A0BFA2" w14:textId="77777777" w:rsidR="00AC4931" w:rsidRPr="00AC4931" w:rsidRDefault="00AC4931" w:rsidP="00AC4931">
      <w:pPr>
        <w:widowControl/>
        <w:spacing w:before="60"/>
        <w:rPr>
          <w:rFonts w:ascii="Arial" w:eastAsia="宋体" w:hAnsi="Arial" w:cs="Arial" w:hint="eastAsia"/>
          <w:b/>
          <w:bCs/>
          <w:color w:val="000000"/>
          <w:kern w:val="0"/>
          <w:sz w:val="22"/>
        </w:rPr>
      </w:pPr>
      <w:r w:rsidRPr="00AC4931">
        <w:rPr>
          <w:rFonts w:ascii="Arial" w:eastAsia="宋体" w:hAnsi="Arial" w:cs="Arial"/>
          <w:b/>
          <w:bCs/>
          <w:color w:val="000000"/>
          <w:kern w:val="0"/>
          <w:sz w:val="22"/>
        </w:rPr>
        <w:t>Item 1. Business</w:t>
      </w:r>
    </w:p>
    <w:p w14:paraId="01E4759C" w14:textId="77777777" w:rsidR="00AC4931" w:rsidRPr="00AC4931" w:rsidRDefault="00AC4931" w:rsidP="00AC4931">
      <w:pPr>
        <w:widowControl/>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p w14:paraId="34808749" w14:textId="77777777" w:rsidR="00AC4931" w:rsidRPr="00AC4931" w:rsidRDefault="00AC4931" w:rsidP="00AC4931">
      <w:pPr>
        <w:widowControl/>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General</w:t>
      </w:r>
    </w:p>
    <w:p w14:paraId="41D2DC6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Autoliv, Inc. (“Autoliv”, the “Company” or “we”) is a Delaware corporation with its principal executive offices in Stockholm, Sweden. The Company functions as a holding corporation and owns two principal subsidiaries, Autoliv AB and Autoliv ASP, Inc. Our fiscal year ends on December 31.</w:t>
      </w:r>
    </w:p>
    <w:p w14:paraId="515E46F0"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28D45821" w14:textId="77777777" w:rsidR="00AC4931" w:rsidRPr="00AC4931" w:rsidRDefault="00AC4931" w:rsidP="00AC4931">
      <w:pPr>
        <w:widowControl/>
        <w:spacing w:before="160"/>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Business</w:t>
      </w:r>
    </w:p>
    <w:p w14:paraId="7545B5E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Autoliv is a leading developer, manufacturer and supplier of safety systems to the automotive industry with a broad range of product offerings, primarily passive safety systems.</w:t>
      </w:r>
    </w:p>
    <w:p w14:paraId="0E5FC5BF"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B31E2AB"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Passive safety systems are primarily meant to improve vehicle safety. Passive safety systems include modules and components for frontal-impact airbag protection systems, side-impact airbag protection systems, seatbelts, steering wheels, inflator technologies, battery cable cutters and protection systems for vulnerable road users such as pedestrians and cyclists.</w:t>
      </w:r>
    </w:p>
    <w:p w14:paraId="13D16907"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3B70024"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Including joint venture operations, Autoliv has approximately 65 production facilities in 25 countries and its customers include the world’s largest car manufacturers. Autoliv’s sales in 2020 were $7.4 billion, approximately 65% of which consisted of airbag and steering wheel products and approximately 35% of which consisted of seatbelt products. Our business is conducted in the following geographical regions: Europe, the Americas, China, Japan and the Rest of Asia (ROA).</w:t>
      </w:r>
    </w:p>
    <w:p w14:paraId="7E8D53AB"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ECFCB39"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Autoliv’s head office is located in Stockholm, Sweden, where we currently employ approximately 70 people. At December 31, 2020, Autoliv had approximately 61,000 employees worldwide, and a total headcount of approximately 68,000, which includes 7,000 temporary personnel.</w:t>
      </w:r>
    </w:p>
    <w:p w14:paraId="54B4062C"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95DB63B"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Additional information required by this Item 1 regarding developments in the Company’s business during 2020 is contained under Item 7 in this Annual Report.</w:t>
      </w:r>
    </w:p>
    <w:p w14:paraId="3B24ACA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9007DDB" w14:textId="77777777" w:rsidR="00AC4931" w:rsidRPr="00AC4931" w:rsidRDefault="00AC4931" w:rsidP="00AC4931">
      <w:pPr>
        <w:widowControl/>
        <w:spacing w:before="160"/>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Reportable Segment</w:t>
      </w:r>
    </w:p>
    <w:p w14:paraId="72E8DF5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Upon completion of the spin-off of its former Electronics segment on June 29, 2018, Autoliv concluded that it has one reportable segment based on the way the Company evaluates its financial performance and manages its operations. Autoliv’s remaining business is comprised of passive safety products - principally airbags (including steering wheels and inflators) and seatbelts. For more information regarding the Company’s segment reporting, see Note 1 to the Consolidated Financial Statements in this Annual Report.</w:t>
      </w:r>
    </w:p>
    <w:p w14:paraId="6ACD3A49"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E420485" w14:textId="77777777" w:rsidR="00AC4931" w:rsidRPr="00AC4931" w:rsidRDefault="00AC4931" w:rsidP="00AC4931">
      <w:pPr>
        <w:widowControl/>
        <w:spacing w:before="160"/>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Products, Market and Competition</w:t>
      </w:r>
    </w:p>
    <w:p w14:paraId="25B441DA"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u w:val="single"/>
        </w:rPr>
        <w:t>Products</w:t>
      </w:r>
    </w:p>
    <w:p w14:paraId="0F4F126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Saving more lives on the road is a key health priority as our world population grows and develops. However, population expansion in growth markets and the rise of megacities creates new complexities. To meet this challenge, we develop automotive safety solutions that work in real life situations.</w:t>
      </w:r>
    </w:p>
    <w:p w14:paraId="6780BFF8"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Our safety systems such as seatbelts and airbags substantially mitigate human consequences of traffic accidents.</w:t>
      </w:r>
    </w:p>
    <w:p w14:paraId="515177CA"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airbag module is designed to inflate extremely rapidly then quickly deflate during a collision or impact. It consists of the container, airbag cushion and an inflator. The purpose of the airbag is to provide the occupants a cushioning and restraint during a crash event to prevent any impact or impact-caused injuries between the occupant and the interior of the vehicle.</w:t>
      </w:r>
    </w:p>
    <w:p w14:paraId="3D6D7366"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Seatbelts can reduce the overall risk of serious injuries in frontal crashes by as much as 60% due to advanced seatbelt technologies such as pretensioners and load limiters.</w:t>
      </w:r>
    </w:p>
    <w:p w14:paraId="2AF0E2E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Autoliv also manufactures steering wheels that are crafted to ensure they meet safety requirements and are functional as well as stylish.</w:t>
      </w:r>
    </w:p>
    <w:p w14:paraId="763E73E3"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u w:val="single"/>
        </w:rPr>
        <w:t>Market and Competition</w:t>
      </w:r>
    </w:p>
    <w:p w14:paraId="54F0CAD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Consumer research clearly shows that consumers want safe vehicles, and several significant trends are likely to have a positive influence on overall safety content per vehicle. These include:</w:t>
      </w: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64D3213E" w14:textId="77777777" w:rsidTr="00AC4931">
        <w:tc>
          <w:tcPr>
            <w:tcW w:w="919" w:type="dxa"/>
            <w:noWrap/>
            <w:hideMark/>
          </w:tcPr>
          <w:p w14:paraId="34A29237"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w:t>
            </w:r>
          </w:p>
        </w:tc>
        <w:tc>
          <w:tcPr>
            <w:tcW w:w="919" w:type="dxa"/>
            <w:noWrap/>
            <w:hideMark/>
          </w:tcPr>
          <w:p w14:paraId="5BD02856"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1)</w:t>
            </w:r>
          </w:p>
        </w:tc>
        <w:tc>
          <w:tcPr>
            <w:tcW w:w="0" w:type="auto"/>
            <w:hideMark/>
          </w:tcPr>
          <w:p w14:paraId="5BA85BB5"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Society becoming increasingly focused on Vision Zero, which includes a goal of reducing traffic fatalities and their associated costs;</w:t>
            </w:r>
          </w:p>
        </w:tc>
      </w:tr>
      <w:tr w:rsidR="00AC4931" w:rsidRPr="00AC4931" w14:paraId="7CC84330" w14:textId="77777777" w:rsidTr="00AC4931">
        <w:tc>
          <w:tcPr>
            <w:tcW w:w="919" w:type="dxa"/>
            <w:noWrap/>
            <w:hideMark/>
          </w:tcPr>
          <w:p w14:paraId="12AF365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w:t>
            </w:r>
          </w:p>
        </w:tc>
        <w:tc>
          <w:tcPr>
            <w:tcW w:w="919" w:type="dxa"/>
            <w:noWrap/>
            <w:hideMark/>
          </w:tcPr>
          <w:p w14:paraId="66C49A3E"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2)</w:t>
            </w:r>
          </w:p>
        </w:tc>
        <w:tc>
          <w:tcPr>
            <w:tcW w:w="0" w:type="auto"/>
            <w:hideMark/>
          </w:tcPr>
          <w:p w14:paraId="1F5E394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Demographic trends of increased urbanization, aging driver populations and increased safety focus in growth markets;</w:t>
            </w:r>
          </w:p>
        </w:tc>
      </w:tr>
    </w:tbl>
    <w:p w14:paraId="29C685F2"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3</w:t>
      </w:r>
    </w:p>
    <w:p w14:paraId="400D51F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A0EE572"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885296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791DF81"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B9A787E">
          <v:rect id="_x0000_i1028" style="width:0;height:1.5pt" o:hralign="center" o:hrstd="t" o:hrnoshade="t" o:hr="t" fillcolor="black" stroked="f"/>
        </w:pict>
      </w:r>
    </w:p>
    <w:p w14:paraId="3238539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5EADDAF"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E474DA8"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07AD9A8"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00A4DEB9" w14:textId="77777777" w:rsidTr="00AC4931">
        <w:tc>
          <w:tcPr>
            <w:tcW w:w="919" w:type="dxa"/>
            <w:noWrap/>
            <w:hideMark/>
          </w:tcPr>
          <w:p w14:paraId="63FCE1A3"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w:t>
            </w:r>
          </w:p>
        </w:tc>
        <w:tc>
          <w:tcPr>
            <w:tcW w:w="919" w:type="dxa"/>
            <w:noWrap/>
            <w:hideMark/>
          </w:tcPr>
          <w:p w14:paraId="776921B9"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3)</w:t>
            </w:r>
          </w:p>
        </w:tc>
        <w:tc>
          <w:tcPr>
            <w:tcW w:w="0" w:type="auto"/>
            <w:hideMark/>
          </w:tcPr>
          <w:p w14:paraId="173FAB8C"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Evolving government regulations and test rating systems to improve the safety of vehicles in various markets, such as the updated Euro New Car Assessment Program (NCAP), China NCAP and USNCAP; and</w:t>
            </w:r>
          </w:p>
        </w:tc>
      </w:tr>
      <w:tr w:rsidR="00AC4931" w:rsidRPr="00AC4931" w14:paraId="5EB885BA" w14:textId="77777777" w:rsidTr="00AC4931">
        <w:tc>
          <w:tcPr>
            <w:tcW w:w="919" w:type="dxa"/>
            <w:noWrap/>
            <w:hideMark/>
          </w:tcPr>
          <w:p w14:paraId="50010FE9"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w:t>
            </w:r>
          </w:p>
        </w:tc>
        <w:tc>
          <w:tcPr>
            <w:tcW w:w="919" w:type="dxa"/>
            <w:noWrap/>
            <w:hideMark/>
          </w:tcPr>
          <w:p w14:paraId="53CC3A0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4)</w:t>
            </w:r>
          </w:p>
        </w:tc>
        <w:tc>
          <w:tcPr>
            <w:tcW w:w="0" w:type="auto"/>
            <w:hideMark/>
          </w:tcPr>
          <w:p w14:paraId="5CDB28C9"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trend towards autonomous driving vehicles will add new demands, and to provide protection of occupants in new seating positions, regardless of how a driver or other passenger are seated, will require new and more complex solutions.</w:t>
            </w:r>
          </w:p>
        </w:tc>
      </w:tr>
    </w:tbl>
    <w:p w14:paraId="67EF212F" w14:textId="77777777" w:rsidR="00AC4931" w:rsidRPr="00AC4931" w:rsidRDefault="00AC4931" w:rsidP="00AC4931">
      <w:pPr>
        <w:widowControl/>
        <w:spacing w:before="120"/>
        <w:ind w:left="1841" w:hanging="546"/>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BD90880" w14:textId="77777777" w:rsidR="00AC4931" w:rsidRPr="00AC4931" w:rsidRDefault="00AC4931" w:rsidP="00AC4931">
      <w:pPr>
        <w:widowControl/>
        <w:spacing w:before="24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The automotive safety market is driven by two primary factors: light vehicle production (LVP) and content per vehicle (CPV).</w:t>
      </w:r>
    </w:p>
    <w:p w14:paraId="3027FD14"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first growth driver, LVP, has increased at an average annual growth rate of around 1.3% since the start of Autoliv in 1997 despite the substantial drop in LVP in 2020 due to the COVID-19 pandemic. LVP is forecasted to grow to close to 88 million by 2023 from approximately 72 million in 2020, as the market is expected to recover from the effects of the COVID-19 pandemic, according to IHS Markit.</w:t>
      </w:r>
    </w:p>
    <w:p w14:paraId="0924B54C"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Unlike LVP, where Autoliv can only aim to be on the best-selling platforms, Autoliv can influence CPV more directly by continuously developing and introducing new technologies with higher value-added features. Over the long term, this increases average safety CPV and has caused our markets to grow faster than the LVP.</w:t>
      </w:r>
    </w:p>
    <w:p w14:paraId="604BCD98"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571B27C5" w14:textId="77777777" w:rsidR="00AC4931" w:rsidRPr="00AC4931" w:rsidRDefault="00AC4931" w:rsidP="00AC4931">
      <w:pPr>
        <w:widowControl/>
        <w:spacing w:before="12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 xml:space="preserve">Since 1997, the Company’s sales compound annual growth rate (CAGR) for passive safety has been 4.4% compared to the market rate of around 1.9% which includes an LVP growth of around 1.3%. Our outperformance is a result of a steady flow of new passive safety technologies, strong focus on quality </w:t>
      </w:r>
      <w:r w:rsidRPr="00AC4931">
        <w:rPr>
          <w:rFonts w:ascii="Arial" w:eastAsia="宋体" w:hAnsi="Arial" w:cs="Arial"/>
          <w:color w:val="000000"/>
          <w:kern w:val="0"/>
          <w:sz w:val="18"/>
          <w:szCs w:val="18"/>
        </w:rPr>
        <w:lastRenderedPageBreak/>
        <w:t>and a superior global footprint both in products and engineering. This has enabled Autoliv to increase its market share from 27% in 1997 to 42% in 2020.</w:t>
      </w:r>
    </w:p>
    <w:p w14:paraId="47D18B74"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the Developed Markets (Western Europe, North America, Japan and South Korea) the CPV is around $300. CPV growth in these regions will mainly come from new safety systems such as active seatbelts, knee airbags and front-center airbags along with improved protection for pedestrians and rear-seat occupants like bag-in-belt or more advanced seatbelts.</w:t>
      </w:r>
    </w:p>
    <w:p w14:paraId="4CDFC7A4"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our Growth Markets (all markets other than the Developed Markets), we see great opportunities for CPV growth from more airbags and advanced seatbelt products. Average CPV in our Growth Markets is around $190, approximately $110 less than in the Developed Markets.</w:t>
      </w:r>
    </w:p>
    <w:p w14:paraId="3FFACB00"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As a result of higher installation rates of airbags, more advanced seatbelt products and more complex steering wheels, CPV is expected to increase at a similar pace in both Developed and Growth markets over the next 3-4 years. LVP in Growth Markets is expected to increase faster than in the Developed Markets during the same period. Despite a negative LVP mix effect from higher growth in low CPV markets, the annual passive safety market (seatbelts and airbags, including steering wheels), is expected to grow from around $17 billion in 2020 to more than $23 billion over the next 3-4 years, based on the current macro-economic outlook and our internal market intelligence and estimates. The highest growth rate is expected in steering wheels, where Autoliv has a global market share of around 37%, generated by the trend toward higher-value steering wheels with leather and additional features.</w:t>
      </w:r>
    </w:p>
    <w:p w14:paraId="134A9279"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seatbelts, Autoliv has reached a global market share of around 44%, primarily due to being the technology leader with several important innovations such as pretensioners and active seatbelts. Our strong market position is also a reflection of our superior global footprint. Seatbelts are the primary life-saving safety product and are also an important requirement in low-end vehicles for the Growth Markets. This provides us with an excellent opportunity to benefit from the expected growth in this segment of the market.</w:t>
      </w:r>
    </w:p>
    <w:p w14:paraId="2EE1ECC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market for airbags, where Autoliv has a market share of around 42%, is expected to grow mainly as result of higher installation rates of inflatable curtains, side airbags and knee airbags. Additionally, the new front center airbag is expected to start to contribute to the market growth.</w:t>
      </w:r>
    </w:p>
    <w:p w14:paraId="2C451FFA"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2E88E90"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u w:val="single"/>
        </w:rPr>
        <w:t>Our competitors</w:t>
      </w:r>
    </w:p>
    <w:p w14:paraId="5EB214DC"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Autoliv is the clear market leader in passive safety with an estimated global market share of 42%.</w:t>
      </w:r>
    </w:p>
    <w:p w14:paraId="70D72126"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ZF, our largest competitor, is a global leader in driveline and chassis technology as well as in passive safety technologies, and is one of the largest global automotive suppliers.</w:t>
      </w:r>
    </w:p>
    <w:p w14:paraId="081F97DC"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Our second largest competitor is U.S.-based Joyson Safety Systems (JSS). JSS is a Chinese owned company and is the result of the merger between Key Safety Systems (KSS) and Takata Corporation after KSS acquired Takata in 2018.</w:t>
      </w:r>
    </w:p>
    <w:p w14:paraId="3F117983"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In Japan, Brazil, South Korea and China there are a number of local suppliers that have close ties with the domestic vehicle manufacturers. For example, Toyota uses “keiretsu” (in-house) suppliers Tokai Rika </w:t>
      </w:r>
      <w:r w:rsidRPr="00AC4931">
        <w:rPr>
          <w:rFonts w:ascii="Arial" w:eastAsia="宋体" w:hAnsi="Arial" w:cs="Arial"/>
          <w:color w:val="000000"/>
          <w:kern w:val="0"/>
          <w:sz w:val="18"/>
          <w:szCs w:val="18"/>
        </w:rPr>
        <w:lastRenderedPageBreak/>
        <w:t>for seatbelts and Toyoda Gosei for airbags and steering wheels. These suppliers generally receive most of the Toyota business in Japan, in the same way, Mobis, a major supplier to Hyundai/Kia in South Korea, generally receives a significant part of their business.</w:t>
      </w:r>
    </w:p>
    <w:p w14:paraId="1C6F5EF9"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Other competitors include Nihon Plast and Ashimori of Japan, Jinheng of China, Samsong in South Korea and Chris Cintos de Seguranca in South America. Collectively, these competitors account for the majority of the remaining market share in passive safety.</w:t>
      </w:r>
    </w:p>
    <w:p w14:paraId="779B3BC3"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Additional information concerning our products, markets and competition is included in the “Risks and Risk Management” section under Item 7 of this Annual Report.</w:t>
      </w:r>
    </w:p>
    <w:p w14:paraId="1950A8B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46655E81"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4</w:t>
      </w:r>
    </w:p>
    <w:p w14:paraId="39E7558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AC8EDA3"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9517F01"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681F559"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00D5975">
          <v:rect id="_x0000_i1029" style="width:0;height:1.5pt" o:hralign="center" o:hrstd="t" o:hrnoshade="t" o:hr="t" fillcolor="black" stroked="f"/>
        </w:pict>
      </w:r>
    </w:p>
    <w:p w14:paraId="12AE22B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D766F9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3A4CF8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4BA1A53"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5290C967" w14:textId="77777777" w:rsidR="00AC4931" w:rsidRPr="00AC4931" w:rsidRDefault="00AC4931" w:rsidP="00AC4931">
      <w:pPr>
        <w:widowControl/>
        <w:spacing w:before="160"/>
        <w:rPr>
          <w:rFonts w:ascii="Arial" w:eastAsia="宋体" w:hAnsi="Arial" w:cs="Arial"/>
          <w:b/>
          <w:bCs/>
          <w:i/>
          <w:iCs/>
          <w:color w:val="000000"/>
          <w:kern w:val="0"/>
          <w:sz w:val="18"/>
          <w:szCs w:val="18"/>
        </w:rPr>
      </w:pPr>
      <w:r w:rsidRPr="00AC4931">
        <w:rPr>
          <w:rFonts w:ascii="Arial" w:eastAsia="宋体" w:hAnsi="Arial" w:cs="Arial"/>
          <w:b/>
          <w:bCs/>
          <w:i/>
          <w:iCs/>
          <w:color w:val="000000"/>
          <w:kern w:val="0"/>
          <w:sz w:val="18"/>
          <w:szCs w:val="18"/>
        </w:rPr>
        <w:t>Manufacturing and Production</w:t>
      </w:r>
    </w:p>
    <w:p w14:paraId="178B59CC"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See “Item 2. Properties” for a description of Autoliv’s principal properties. The component factories manufacture inflators, propellant, initiators, textile cushions, webbing, pressed steel parts, springs and overmoulded steel parts used in seatbelt and airbag assembly and steering wheels. The assembly factories source components from a number of parties, including Autoliv’s own component factories, and assemble complete restraint systems for “just-in-time” delivery to customers. The products manufactured by Autoliv’s consolidated subsidiaries in 2020 consisted of approximately 126 million complete seatbelt systems (of which approximately 80 million were fitted with pretensioners), approximately 87 million side airbags (including curtain airbags and front center airbags), approximately 49 million frontal airbags, approximately 0.5 million other airbags and approximately 17 million steering wheels.</w:t>
      </w:r>
    </w:p>
    <w:p w14:paraId="5800B7BB"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2E956BDC"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Autoliv’s “just-in-time” delivery system is designed to accommodate the specific requirements of each customer for low levels of inventory and rapid stock delivery service. “Just-in-time” deliveries require final assembly or, at least, distribution centers in geographic areas close to customers to facilitate rapid delivery. The fact that the major automobile manufacturers are continually expanding their production activities into more countries and require the same or similar safety systems as those produced in Europe, Japan or the U.S. increases the importance for suppliers to have assembly capacity in several countries. Consolidation among our customers also supports this trend.</w:t>
      </w:r>
    </w:p>
    <w:p w14:paraId="3557921E"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B8D4F67"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 xml:space="preserve">Autoliv’s assembly operations generally are not constrained by capacity considerations unless there is a disruption in the supply of raw materials and components. When dramatic shifts in LVP occur, Autoliv can generally adjust capacity in response to any changes in demand within a few days by adding or removing work shifts and within a few months by adding or removing standardized production and assembly lines. </w:t>
      </w:r>
      <w:r w:rsidRPr="00AC4931">
        <w:rPr>
          <w:rFonts w:ascii="Arial" w:eastAsia="宋体" w:hAnsi="Arial" w:cs="Arial"/>
          <w:color w:val="000000"/>
          <w:kern w:val="0"/>
          <w:sz w:val="18"/>
          <w:szCs w:val="18"/>
        </w:rPr>
        <w:lastRenderedPageBreak/>
        <w:t>Most of Autoliv’s assembly factories can make sufficient space available to accommodate additional production lines to satisfy foreseeable increases in capacity. As a result, Autoliv can usually adjust its manufacturing capacity faster than its customers can adjust their capacity as a result of fluctuations in the general demand for vehicles or in the demand for a specific vehicle model, provided that customers promptly notify Autoliv when they become aware of such changes in demand.</w:t>
      </w:r>
    </w:p>
    <w:p w14:paraId="772C1FB2"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2C8E479"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When dramatic shifts in LVP occur or when there is a shift in regional LVP, the capacity adjustments can take more time and be more costly. Additionally, when there is significant demand for a given product due to a major recall of a competitor’s product, like certain of our customers have experienced, capacity adjustments may take time.</w:t>
      </w:r>
    </w:p>
    <w:p w14:paraId="1FF1FD0E"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2185C8BF"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We could experience disruption in our supply or delivery chain, which could cause one or more of our customers to halt or delay production. For more information, see Item 1A – “Risk Factors” in this Annual Report.</w:t>
      </w:r>
    </w:p>
    <w:p w14:paraId="247305E1"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BB54EF2" w14:textId="77777777" w:rsidR="00AC4931" w:rsidRPr="00AC4931" w:rsidRDefault="00AC4931" w:rsidP="00AC4931">
      <w:pPr>
        <w:widowControl/>
        <w:spacing w:before="160"/>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Quality Management</w:t>
      </w:r>
    </w:p>
    <w:p w14:paraId="25A27B5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Autoliv believes that superior quality is a prerequisite to being considered a leading global supplier of automotive safety systems and is key to our financial performance, because quality excellence is critical for winning new orders, preventing recalls and maintaining low scrap rates. Autoliv has for many years emphasized a “zero-defect” proactive quality policy and continues to strive to improve its working methods. This means that Autoliv’s products are expected to always meet performance expectations and be delivered to its customers at the right times and in the right amounts. Furthermore, we believe our continued quality improvements further enhance our reputation among our customers, employees and governmental authorities.</w:t>
      </w:r>
    </w:p>
    <w:p w14:paraId="6561D7B9"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59DB35D"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Although quality has always been paramount in the automotive industry, especially for safety products, automobile manufacturers have become increasingly focused on quality with even less tolerance for any deviations. This intensified focus on quality is partially due to an increase in the number of vehicle recalls for a variety of reasons (not just safety), including a few high-profile vehicle recalls. This trend is likely to continue as automobile manufacturers introduce even stricter quality requirements and regulating agencies and other authorities increase the level of scrutiny given to vehicle safety issues. We have not been immune to the recalls that have been impacting the automotive industry.</w:t>
      </w:r>
    </w:p>
    <w:p w14:paraId="3DF6EAD9"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449C6E9C"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We continue to drive our quality initiative called “Q5” which was initiated in the summer of 2010. It is an integral part of our strategy of shaping a proactive quality culture of zero defects. It is called “Q5” because it addresses quality in five dimensions: products, customers, growth, behavior and suppliers. The goal of Q5 is to firmly tie together quality with value within all of our processes and for all of our employees, thereby leading to the best value for our customers. Since 2010, we have continually expanded this quality initiative to provide additional skills training to more employees and suppliers. These activities have significantly improved our quality performance.</w:t>
      </w:r>
    </w:p>
    <w:p w14:paraId="404C201A"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43785F96"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 xml:space="preserve">In our pursuit of excellence in quality, we have developed a chain of four “defense lines” against potential quality issues. These defense lines consist of: 1) robust product designs, 2) flawless components from </w:t>
      </w:r>
      <w:r w:rsidRPr="00AC4931">
        <w:rPr>
          <w:rFonts w:ascii="Arial" w:eastAsia="宋体" w:hAnsi="Arial" w:cs="Arial"/>
          <w:color w:val="000000"/>
          <w:kern w:val="0"/>
          <w:sz w:val="18"/>
          <w:szCs w:val="18"/>
        </w:rPr>
        <w:lastRenderedPageBreak/>
        <w:t>suppliers and our own in-house component companies, 3) manufacturing flawless products with a system for verifying that our products conform with specifications and 4) an advanced traceability system in the event of a recall.</w:t>
      </w:r>
    </w:p>
    <w:p w14:paraId="7BF7C4AC"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B40E9C0"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Our pursuit of quality excellence extends from the earliest phases of product development to the proper disposal of a product following many years of use in a vehicle. Autoliv’s comprehensive Autoliv Product Development System includes several key check points during the process of developing new products that are designed to ensure that such products are well-built and have no hidden defects. Through this process, we work closely with our suppliers and customers to set clear standards that help to ensure robust component design and lowest cost for function in order to proactively prevent problems and ensure we deliver only the best designs to the market.</w:t>
      </w:r>
    </w:p>
    <w:p w14:paraId="345460EA"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2416B5B8"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The Autoliv Production System (“APS”), based on the goals of improving quality and efficiency, is at the core of Autoliv’s manufacturing philosophy. APS integrates essential quality elements, such as mistake proofing, statistical process control and operator involvement, into the manufacturing processes so all Autoliv associates are aware of and understand the critical connection between themselves and our lifesaving products. This “zero-defect” principle extends beyond Autoliv to the entire supplier base. All of our suppliers must accept the strict quality standards in the global Autoliv Supplier Manual, which defines our quality requirements and focuses on preventing bad parts from being produced by our suppliers and helps eliminate defective intermediate products in our assembly lines as early as possible. In</w:t>
      </w:r>
    </w:p>
    <w:p w14:paraId="16461CFA"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5</w:t>
      </w:r>
    </w:p>
    <w:p w14:paraId="1AD2611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3E360A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4FFFACE"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B456849"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B2DB59F">
          <v:rect id="_x0000_i1030" style="width:0;height:1.5pt" o:hralign="center" o:hrstd="t" o:hrnoshade="t" o:hr="t" fillcolor="black" stroked="f"/>
        </w:pict>
      </w:r>
    </w:p>
    <w:p w14:paraId="70BE7BE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6A34BE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1A34C0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0A9BA50"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addition, Autoliv’s One Product One Process (“1P1P”) initiative is our strategy for developing and managing standardization of both core products and customer-specific features, leading not only to improved quality, but also greater cost efficiency and more efficient supply chain management.</w:t>
      </w:r>
    </w:p>
    <w:p w14:paraId="0A5D40E5"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368F3CA7"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IATF 16949:2016 is one of the automotive industry’s most widely used international standards for quality management. All of our facilities that ship products to OEMs are regularly certified according to the International Automotive Task Force (IATF) standards.</w:t>
      </w:r>
    </w:p>
    <w:p w14:paraId="30169F22"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EE3B005" w14:textId="77777777" w:rsidR="00AC4931" w:rsidRPr="00AC4931" w:rsidRDefault="00AC4931" w:rsidP="00AC4931">
      <w:pPr>
        <w:widowControl/>
        <w:spacing w:before="160"/>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Environmental and Safety Regulations</w:t>
      </w:r>
    </w:p>
    <w:p w14:paraId="2FE49366"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For information on how environmental and safety regulations impact our business, see “Risk Factors – ‘Our business may be adversely affected by laws or regulations, including environmental, occupational health and safety or other governmental regulations’ and ‘Our business may be adversely affected by changes in automotive safety regulations or concerns that drive further regulation of the automobile safety market’” in Item 1A and “Risks and Risk Management” in Item 7 of this Annual Report.</w:t>
      </w:r>
    </w:p>
    <w:p w14:paraId="6EF772F7"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lastRenderedPageBreak/>
        <w:t> </w:t>
      </w:r>
    </w:p>
    <w:p w14:paraId="26024F70" w14:textId="77777777" w:rsidR="00AC4931" w:rsidRPr="00AC4931" w:rsidRDefault="00AC4931" w:rsidP="00AC4931">
      <w:pPr>
        <w:widowControl/>
        <w:spacing w:before="160"/>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Raw Materials</w:t>
      </w:r>
    </w:p>
    <w:p w14:paraId="41AE5022" w14:textId="77777777" w:rsidR="00AC4931" w:rsidRPr="00AC4931" w:rsidRDefault="00AC4931" w:rsidP="00AC4931">
      <w:pPr>
        <w:widowControl/>
        <w:spacing w:before="160"/>
        <w:rPr>
          <w:rFonts w:ascii="Arial" w:eastAsia="宋体" w:hAnsi="Arial" w:cs="Arial"/>
          <w:color w:val="000000"/>
          <w:kern w:val="0"/>
          <w:sz w:val="18"/>
          <w:szCs w:val="18"/>
        </w:rPr>
      </w:pPr>
      <w:r w:rsidRPr="00AC4931">
        <w:rPr>
          <w:rFonts w:ascii="Arial" w:eastAsia="宋体" w:hAnsi="Arial" w:cs="Arial"/>
          <w:color w:val="000000"/>
          <w:kern w:val="0"/>
          <w:sz w:val="18"/>
          <w:szCs w:val="18"/>
        </w:rPr>
        <w:t>Approximately 50% of our sales comes from direct material purchased from external suppliers. Autoliv mainly purchases manufactured components and raw materials for its operations. We take several actions to mitigate raw material fluctuations, such as competitive sourcing and looking for alternative materials.</w:t>
      </w:r>
    </w:p>
    <w:p w14:paraId="5744F706"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BC596BF"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For information on the sources and availability of raw materials, see “Risk Factors – ‘Changes in the source, cost, availability of and regulations pertaining to raw materials and components may adversely affect our profit margins’” in Item 1A of this Annual Report.</w:t>
      </w:r>
    </w:p>
    <w:p w14:paraId="3634D0A3" w14:textId="77777777" w:rsidR="00AC4931" w:rsidRPr="00AC4931" w:rsidRDefault="00AC4931" w:rsidP="00AC4931">
      <w:pPr>
        <w:widowControl/>
        <w:spacing w:before="160"/>
        <w:rPr>
          <w:rFonts w:ascii="Arial" w:eastAsia="宋体" w:hAnsi="Arial" w:cs="Arial"/>
          <w:b/>
          <w:bCs/>
          <w:i/>
          <w:iCs/>
          <w:color w:val="000000"/>
          <w:kern w:val="0"/>
          <w:sz w:val="18"/>
          <w:szCs w:val="18"/>
        </w:rPr>
      </w:pPr>
      <w:r w:rsidRPr="00AC4931">
        <w:rPr>
          <w:rFonts w:ascii="Arial" w:eastAsia="宋体" w:hAnsi="Arial" w:cs="Arial"/>
          <w:b/>
          <w:bCs/>
          <w:i/>
          <w:iCs/>
          <w:color w:val="000000"/>
          <w:kern w:val="0"/>
          <w:sz w:val="18"/>
          <w:szCs w:val="18"/>
        </w:rPr>
        <w:t>Intellectual Property</w:t>
      </w:r>
    </w:p>
    <w:p w14:paraId="2334E05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have developed a considerable amount of proprietary technology related to automotive safety systems and rely on many patents to protect such technology. Our intellectual property plays an important role in maintaining our competitive position in a number of the markets we serve. For information on our use of intellectual property and its importance to us, see “Risk Factors – ‘If our patents are declared invalid or our technology infringes on the proprietary rights of others, our ability to compete may be impaired’” in Item 1A of this Annual Report.</w:t>
      </w:r>
    </w:p>
    <w:p w14:paraId="3E8F75B9"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20A4074F" w14:textId="77777777" w:rsidR="00AC4931" w:rsidRPr="00AC4931" w:rsidRDefault="00AC4931" w:rsidP="00AC4931">
      <w:pPr>
        <w:widowControl/>
        <w:spacing w:before="160"/>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Backlog</w:t>
      </w:r>
    </w:p>
    <w:p w14:paraId="4FB93804"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Autoliv has frame contracts with automobile manufacturers and such contracts are typically entered into up to three years before the start of production of the relevant car model or platform and provide for a term covering the life of such car model or platform including service parts after a vehicle model is no longer produced. However, typically these contracts do not provide minimum quantities, firm prices or exclusivity but instead permit the automobile manufacturer to resource the relevant products at given intervals (or at any time) from other suppliers.</w:t>
      </w:r>
    </w:p>
    <w:p w14:paraId="0FA6D4E3"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E41BD5E" w14:textId="77777777" w:rsidR="00AC4931" w:rsidRPr="00AC4931" w:rsidRDefault="00AC4931" w:rsidP="00AC4931">
      <w:pPr>
        <w:widowControl/>
        <w:spacing w:before="160"/>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Dependence on Customers</w:t>
      </w:r>
    </w:p>
    <w:p w14:paraId="0B0A7BC5"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 2020, our top five customers represented around 53% of our annual sales and our top ten customers represented around 81% of our annual sales. This reflects the concentration of manufacturers in the automotive industry. The five largest OEMs in 2020 accounted for around 51% of global LVP and the ten largest OEMs accounted for around 75% of global LVP. A delivery contract is typically for the lifetime of a vehicle model, which is normally between five and seven years depending on customer platform sourcing preferences and strategies.</w:t>
      </w:r>
    </w:p>
    <w:p w14:paraId="2C3AE605"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133"/>
        <w:gridCol w:w="452"/>
        <w:gridCol w:w="199"/>
        <w:gridCol w:w="3888"/>
        <w:gridCol w:w="200"/>
        <w:gridCol w:w="453"/>
        <w:gridCol w:w="200"/>
        <w:gridCol w:w="3888"/>
        <w:gridCol w:w="201"/>
      </w:tblGrid>
      <w:tr w:rsidR="00AC4931" w:rsidRPr="00AC4931" w14:paraId="72C52596" w14:textId="77777777" w:rsidTr="00AC4931">
        <w:tc>
          <w:tcPr>
            <w:tcW w:w="11095" w:type="dxa"/>
            <w:tcBorders>
              <w:bottom w:val="single" w:sz="6" w:space="0" w:color="000000"/>
            </w:tcBorders>
            <w:shd w:val="clear" w:color="auto" w:fill="FFFFFF"/>
            <w:tcMar>
              <w:top w:w="15" w:type="dxa"/>
              <w:left w:w="0" w:type="dxa"/>
              <w:bottom w:w="0" w:type="dxa"/>
              <w:right w:w="15" w:type="dxa"/>
            </w:tcMar>
            <w:vAlign w:val="bottom"/>
            <w:hideMark/>
          </w:tcPr>
          <w:p w14:paraId="6A972328" w14:textId="77777777" w:rsidR="00AC4931" w:rsidRPr="00AC4931" w:rsidRDefault="00AC4931" w:rsidP="00AC4931">
            <w:pPr>
              <w:widowControl/>
              <w:jc w:val="left"/>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rPr>
              <w:t>Customer</w:t>
            </w:r>
          </w:p>
        </w:tc>
        <w:tc>
          <w:tcPr>
            <w:tcW w:w="451" w:type="dxa"/>
            <w:shd w:val="clear" w:color="auto" w:fill="FFFFFF"/>
            <w:tcMar>
              <w:top w:w="15" w:type="dxa"/>
              <w:left w:w="0" w:type="dxa"/>
              <w:bottom w:w="0" w:type="dxa"/>
              <w:right w:w="15" w:type="dxa"/>
            </w:tcMar>
            <w:vAlign w:val="bottom"/>
            <w:hideMark/>
          </w:tcPr>
          <w:p w14:paraId="432CB17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065" w:type="dxa"/>
            <w:gridSpan w:val="2"/>
            <w:tcBorders>
              <w:bottom w:val="single" w:sz="6" w:space="0" w:color="000000"/>
            </w:tcBorders>
            <w:shd w:val="clear" w:color="auto" w:fill="FFFFFF"/>
            <w:tcMar>
              <w:top w:w="15" w:type="dxa"/>
              <w:left w:w="0" w:type="dxa"/>
              <w:bottom w:w="0" w:type="dxa"/>
              <w:right w:w="15" w:type="dxa"/>
            </w:tcMar>
            <w:vAlign w:val="bottom"/>
            <w:hideMark/>
          </w:tcPr>
          <w:p w14:paraId="24A0E65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of Autoliv</w:t>
            </w:r>
          </w:p>
          <w:p w14:paraId="4BB175B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Sales</w:t>
            </w:r>
          </w:p>
        </w:tc>
        <w:tc>
          <w:tcPr>
            <w:tcW w:w="191" w:type="dxa"/>
            <w:shd w:val="clear" w:color="auto" w:fill="FFFFFF"/>
            <w:noWrap/>
            <w:tcMar>
              <w:top w:w="15" w:type="dxa"/>
              <w:left w:w="0" w:type="dxa"/>
              <w:bottom w:w="0" w:type="dxa"/>
              <w:right w:w="15" w:type="dxa"/>
            </w:tcMar>
            <w:vAlign w:val="bottom"/>
            <w:hideMark/>
          </w:tcPr>
          <w:p w14:paraId="71FDCCB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51" w:type="dxa"/>
            <w:shd w:val="clear" w:color="auto" w:fill="FFFFFF"/>
            <w:tcMar>
              <w:top w:w="15" w:type="dxa"/>
              <w:left w:w="0" w:type="dxa"/>
              <w:bottom w:w="0" w:type="dxa"/>
              <w:right w:w="15" w:type="dxa"/>
            </w:tcMar>
            <w:vAlign w:val="bottom"/>
            <w:hideMark/>
          </w:tcPr>
          <w:p w14:paraId="30A35D2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065" w:type="dxa"/>
            <w:gridSpan w:val="2"/>
            <w:tcBorders>
              <w:bottom w:val="single" w:sz="6" w:space="0" w:color="000000"/>
            </w:tcBorders>
            <w:shd w:val="clear" w:color="auto" w:fill="FFFFFF"/>
            <w:tcMar>
              <w:top w:w="15" w:type="dxa"/>
              <w:left w:w="0" w:type="dxa"/>
              <w:bottom w:w="0" w:type="dxa"/>
              <w:right w:w="15" w:type="dxa"/>
            </w:tcMar>
            <w:vAlign w:val="bottom"/>
            <w:hideMark/>
          </w:tcPr>
          <w:p w14:paraId="06395E8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of Global</w:t>
            </w:r>
          </w:p>
          <w:p w14:paraId="61EC7E8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LVP</w:t>
            </w:r>
            <w:r w:rsidRPr="00AC4931">
              <w:rPr>
                <w:rFonts w:ascii="Arial" w:eastAsia="宋体" w:hAnsi="Arial" w:cs="Arial"/>
                <w:b/>
                <w:bCs/>
                <w:color w:val="000000"/>
                <w:kern w:val="0"/>
                <w:sz w:val="18"/>
                <w:szCs w:val="18"/>
                <w:vertAlign w:val="superscript"/>
              </w:rPr>
              <w:t>1)</w:t>
            </w:r>
          </w:p>
        </w:tc>
        <w:tc>
          <w:tcPr>
            <w:tcW w:w="192" w:type="dxa"/>
            <w:shd w:val="clear" w:color="auto" w:fill="FFFFFF"/>
            <w:noWrap/>
            <w:tcMar>
              <w:top w:w="15" w:type="dxa"/>
              <w:left w:w="0" w:type="dxa"/>
              <w:bottom w:w="0" w:type="dxa"/>
              <w:right w:w="15" w:type="dxa"/>
            </w:tcMar>
            <w:vAlign w:val="bottom"/>
            <w:hideMark/>
          </w:tcPr>
          <w:p w14:paraId="48BF6CFE"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r w:rsidR="00AC4931" w:rsidRPr="00AC4931" w14:paraId="54D2ED77" w14:textId="77777777" w:rsidTr="00AC4931">
        <w:tc>
          <w:tcPr>
            <w:tcW w:w="11095" w:type="dxa"/>
            <w:tcBorders>
              <w:top w:val="single" w:sz="6" w:space="0" w:color="000000"/>
            </w:tcBorders>
            <w:shd w:val="clear" w:color="auto" w:fill="CFF0FC"/>
            <w:tcMar>
              <w:top w:w="15" w:type="dxa"/>
              <w:left w:w="0" w:type="dxa"/>
              <w:bottom w:w="0" w:type="dxa"/>
              <w:right w:w="15" w:type="dxa"/>
            </w:tcMar>
            <w:vAlign w:val="center"/>
            <w:hideMark/>
          </w:tcPr>
          <w:p w14:paraId="103FD9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Renault/Nissan/Mitsubishi</w:t>
            </w:r>
          </w:p>
        </w:tc>
        <w:tc>
          <w:tcPr>
            <w:tcW w:w="451" w:type="dxa"/>
            <w:shd w:val="clear" w:color="auto" w:fill="CFF0FC"/>
            <w:tcMar>
              <w:top w:w="15" w:type="dxa"/>
              <w:left w:w="0" w:type="dxa"/>
              <w:bottom w:w="0" w:type="dxa"/>
              <w:right w:w="15" w:type="dxa"/>
            </w:tcMar>
            <w:vAlign w:val="bottom"/>
            <w:hideMark/>
          </w:tcPr>
          <w:p w14:paraId="7C78FD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center"/>
            <w:hideMark/>
          </w:tcPr>
          <w:p w14:paraId="48A150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tcBorders>
              <w:top w:val="single" w:sz="6" w:space="0" w:color="000000"/>
            </w:tcBorders>
            <w:shd w:val="clear" w:color="auto" w:fill="CFF0FC"/>
            <w:noWrap/>
            <w:tcMar>
              <w:top w:w="15" w:type="dxa"/>
              <w:left w:w="0" w:type="dxa"/>
              <w:bottom w:w="0" w:type="dxa"/>
              <w:right w:w="15" w:type="dxa"/>
            </w:tcMar>
            <w:vAlign w:val="center"/>
            <w:hideMark/>
          </w:tcPr>
          <w:p w14:paraId="6F9E9DD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w:t>
            </w:r>
          </w:p>
        </w:tc>
        <w:tc>
          <w:tcPr>
            <w:tcW w:w="191" w:type="dxa"/>
            <w:shd w:val="clear" w:color="auto" w:fill="CFF0FC"/>
            <w:noWrap/>
            <w:tcMar>
              <w:top w:w="15" w:type="dxa"/>
              <w:left w:w="0" w:type="dxa"/>
              <w:bottom w:w="0" w:type="dxa"/>
              <w:right w:w="15" w:type="dxa"/>
            </w:tcMar>
            <w:vAlign w:val="center"/>
            <w:hideMark/>
          </w:tcPr>
          <w:p w14:paraId="3319C5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51" w:type="dxa"/>
            <w:shd w:val="clear" w:color="auto" w:fill="CFF0FC"/>
            <w:tcMar>
              <w:top w:w="15" w:type="dxa"/>
              <w:left w:w="0" w:type="dxa"/>
              <w:bottom w:w="0" w:type="dxa"/>
              <w:right w:w="15" w:type="dxa"/>
            </w:tcMar>
            <w:vAlign w:val="bottom"/>
            <w:hideMark/>
          </w:tcPr>
          <w:p w14:paraId="7EB8BB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center"/>
            <w:hideMark/>
          </w:tcPr>
          <w:p w14:paraId="0FF629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tcBorders>
              <w:top w:val="single" w:sz="6" w:space="0" w:color="000000"/>
            </w:tcBorders>
            <w:shd w:val="clear" w:color="auto" w:fill="CFF0FC"/>
            <w:noWrap/>
            <w:tcMar>
              <w:top w:w="15" w:type="dxa"/>
              <w:left w:w="0" w:type="dxa"/>
              <w:bottom w:w="0" w:type="dxa"/>
              <w:right w:w="15" w:type="dxa"/>
            </w:tcMar>
            <w:vAlign w:val="center"/>
            <w:hideMark/>
          </w:tcPr>
          <w:p w14:paraId="719E2EE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w:t>
            </w:r>
          </w:p>
        </w:tc>
        <w:tc>
          <w:tcPr>
            <w:tcW w:w="192" w:type="dxa"/>
            <w:shd w:val="clear" w:color="auto" w:fill="CFF0FC"/>
            <w:noWrap/>
            <w:tcMar>
              <w:top w:w="15" w:type="dxa"/>
              <w:left w:w="0" w:type="dxa"/>
              <w:bottom w:w="0" w:type="dxa"/>
              <w:right w:w="15" w:type="dxa"/>
            </w:tcMar>
            <w:vAlign w:val="center"/>
            <w:hideMark/>
          </w:tcPr>
          <w:p w14:paraId="5C7A24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EC773BE" w14:textId="77777777" w:rsidTr="00AC4931">
        <w:tc>
          <w:tcPr>
            <w:tcW w:w="11095" w:type="dxa"/>
            <w:shd w:val="clear" w:color="auto" w:fill="FFFFFF"/>
            <w:tcMar>
              <w:top w:w="15" w:type="dxa"/>
              <w:left w:w="0" w:type="dxa"/>
              <w:bottom w:w="0" w:type="dxa"/>
              <w:right w:w="15" w:type="dxa"/>
            </w:tcMar>
            <w:vAlign w:val="center"/>
            <w:hideMark/>
          </w:tcPr>
          <w:p w14:paraId="3AECBF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VW</w:t>
            </w:r>
          </w:p>
        </w:tc>
        <w:tc>
          <w:tcPr>
            <w:tcW w:w="451" w:type="dxa"/>
            <w:shd w:val="clear" w:color="auto" w:fill="FFFFFF"/>
            <w:tcMar>
              <w:top w:w="15" w:type="dxa"/>
              <w:left w:w="0" w:type="dxa"/>
              <w:bottom w:w="0" w:type="dxa"/>
              <w:right w:w="15" w:type="dxa"/>
            </w:tcMar>
            <w:vAlign w:val="bottom"/>
            <w:hideMark/>
          </w:tcPr>
          <w:p w14:paraId="277F5A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5BCC2F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FFFFFF"/>
            <w:noWrap/>
            <w:tcMar>
              <w:top w:w="15" w:type="dxa"/>
              <w:left w:w="0" w:type="dxa"/>
              <w:bottom w:w="0" w:type="dxa"/>
              <w:right w:w="15" w:type="dxa"/>
            </w:tcMar>
            <w:vAlign w:val="center"/>
            <w:hideMark/>
          </w:tcPr>
          <w:p w14:paraId="4341CD0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w:t>
            </w:r>
          </w:p>
        </w:tc>
        <w:tc>
          <w:tcPr>
            <w:tcW w:w="191" w:type="dxa"/>
            <w:shd w:val="clear" w:color="auto" w:fill="FFFFFF"/>
            <w:noWrap/>
            <w:tcMar>
              <w:top w:w="15" w:type="dxa"/>
              <w:left w:w="0" w:type="dxa"/>
              <w:bottom w:w="0" w:type="dxa"/>
              <w:right w:w="15" w:type="dxa"/>
            </w:tcMar>
            <w:vAlign w:val="center"/>
            <w:hideMark/>
          </w:tcPr>
          <w:p w14:paraId="4E63D2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51" w:type="dxa"/>
            <w:shd w:val="clear" w:color="auto" w:fill="FFFFFF"/>
            <w:tcMar>
              <w:top w:w="15" w:type="dxa"/>
              <w:left w:w="0" w:type="dxa"/>
              <w:bottom w:w="0" w:type="dxa"/>
              <w:right w:w="15" w:type="dxa"/>
            </w:tcMar>
            <w:vAlign w:val="bottom"/>
            <w:hideMark/>
          </w:tcPr>
          <w:p w14:paraId="6696DD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44B260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FFFFFF"/>
            <w:noWrap/>
            <w:tcMar>
              <w:top w:w="15" w:type="dxa"/>
              <w:left w:w="0" w:type="dxa"/>
              <w:bottom w:w="0" w:type="dxa"/>
              <w:right w:w="15" w:type="dxa"/>
            </w:tcMar>
            <w:vAlign w:val="center"/>
            <w:hideMark/>
          </w:tcPr>
          <w:p w14:paraId="0A2ED09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w:t>
            </w:r>
          </w:p>
        </w:tc>
        <w:tc>
          <w:tcPr>
            <w:tcW w:w="192" w:type="dxa"/>
            <w:shd w:val="clear" w:color="auto" w:fill="FFFFFF"/>
            <w:noWrap/>
            <w:tcMar>
              <w:top w:w="15" w:type="dxa"/>
              <w:left w:w="0" w:type="dxa"/>
              <w:bottom w:w="0" w:type="dxa"/>
              <w:right w:w="15" w:type="dxa"/>
            </w:tcMar>
            <w:vAlign w:val="center"/>
            <w:hideMark/>
          </w:tcPr>
          <w:p w14:paraId="410458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ACF29EF" w14:textId="77777777" w:rsidTr="00AC4931">
        <w:tc>
          <w:tcPr>
            <w:tcW w:w="11095" w:type="dxa"/>
            <w:shd w:val="clear" w:color="auto" w:fill="CFF0FC"/>
            <w:tcMar>
              <w:top w:w="15" w:type="dxa"/>
              <w:left w:w="0" w:type="dxa"/>
              <w:bottom w:w="0" w:type="dxa"/>
              <w:right w:w="15" w:type="dxa"/>
            </w:tcMar>
            <w:vAlign w:val="center"/>
            <w:hideMark/>
          </w:tcPr>
          <w:p w14:paraId="24B026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Stellantis</w:t>
            </w:r>
          </w:p>
        </w:tc>
        <w:tc>
          <w:tcPr>
            <w:tcW w:w="451" w:type="dxa"/>
            <w:shd w:val="clear" w:color="auto" w:fill="CFF0FC"/>
            <w:tcMar>
              <w:top w:w="15" w:type="dxa"/>
              <w:left w:w="0" w:type="dxa"/>
              <w:bottom w:w="0" w:type="dxa"/>
              <w:right w:w="15" w:type="dxa"/>
            </w:tcMar>
            <w:vAlign w:val="bottom"/>
            <w:hideMark/>
          </w:tcPr>
          <w:p w14:paraId="14C2CF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108FEB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CFF0FC"/>
            <w:noWrap/>
            <w:tcMar>
              <w:top w:w="15" w:type="dxa"/>
              <w:left w:w="0" w:type="dxa"/>
              <w:bottom w:w="0" w:type="dxa"/>
              <w:right w:w="15" w:type="dxa"/>
            </w:tcMar>
            <w:vAlign w:val="center"/>
            <w:hideMark/>
          </w:tcPr>
          <w:p w14:paraId="7C5A572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w:t>
            </w:r>
          </w:p>
        </w:tc>
        <w:tc>
          <w:tcPr>
            <w:tcW w:w="191" w:type="dxa"/>
            <w:shd w:val="clear" w:color="auto" w:fill="CFF0FC"/>
            <w:noWrap/>
            <w:tcMar>
              <w:top w:w="15" w:type="dxa"/>
              <w:left w:w="0" w:type="dxa"/>
              <w:bottom w:w="0" w:type="dxa"/>
              <w:right w:w="15" w:type="dxa"/>
            </w:tcMar>
            <w:vAlign w:val="center"/>
            <w:hideMark/>
          </w:tcPr>
          <w:p w14:paraId="30CF84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51" w:type="dxa"/>
            <w:shd w:val="clear" w:color="auto" w:fill="CFF0FC"/>
            <w:tcMar>
              <w:top w:w="15" w:type="dxa"/>
              <w:left w:w="0" w:type="dxa"/>
              <w:bottom w:w="0" w:type="dxa"/>
              <w:right w:w="15" w:type="dxa"/>
            </w:tcMar>
            <w:vAlign w:val="bottom"/>
            <w:hideMark/>
          </w:tcPr>
          <w:p w14:paraId="241A5D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228CF8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CFF0FC"/>
            <w:noWrap/>
            <w:tcMar>
              <w:top w:w="15" w:type="dxa"/>
              <w:left w:w="0" w:type="dxa"/>
              <w:bottom w:w="0" w:type="dxa"/>
              <w:right w:w="15" w:type="dxa"/>
            </w:tcMar>
            <w:vAlign w:val="center"/>
            <w:hideMark/>
          </w:tcPr>
          <w:p w14:paraId="1536A78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w:t>
            </w:r>
          </w:p>
        </w:tc>
        <w:tc>
          <w:tcPr>
            <w:tcW w:w="192" w:type="dxa"/>
            <w:shd w:val="clear" w:color="auto" w:fill="CFF0FC"/>
            <w:noWrap/>
            <w:tcMar>
              <w:top w:w="15" w:type="dxa"/>
              <w:left w:w="0" w:type="dxa"/>
              <w:bottom w:w="0" w:type="dxa"/>
              <w:right w:w="15" w:type="dxa"/>
            </w:tcMar>
            <w:vAlign w:val="center"/>
            <w:hideMark/>
          </w:tcPr>
          <w:p w14:paraId="6CC634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7062F9F" w14:textId="77777777" w:rsidTr="00AC4931">
        <w:tc>
          <w:tcPr>
            <w:tcW w:w="11095" w:type="dxa"/>
            <w:shd w:val="clear" w:color="auto" w:fill="FFFFFF"/>
            <w:tcMar>
              <w:top w:w="15" w:type="dxa"/>
              <w:left w:w="0" w:type="dxa"/>
              <w:bottom w:w="0" w:type="dxa"/>
              <w:right w:w="15" w:type="dxa"/>
            </w:tcMar>
            <w:vAlign w:val="center"/>
            <w:hideMark/>
          </w:tcPr>
          <w:p w14:paraId="48886F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Honda</w:t>
            </w:r>
          </w:p>
        </w:tc>
        <w:tc>
          <w:tcPr>
            <w:tcW w:w="451" w:type="dxa"/>
            <w:shd w:val="clear" w:color="auto" w:fill="FFFFFF"/>
            <w:tcMar>
              <w:top w:w="15" w:type="dxa"/>
              <w:left w:w="0" w:type="dxa"/>
              <w:bottom w:w="0" w:type="dxa"/>
              <w:right w:w="15" w:type="dxa"/>
            </w:tcMar>
            <w:vAlign w:val="bottom"/>
            <w:hideMark/>
          </w:tcPr>
          <w:p w14:paraId="352DF5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3F3AD2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FFFFFF"/>
            <w:noWrap/>
            <w:tcMar>
              <w:top w:w="15" w:type="dxa"/>
              <w:left w:w="0" w:type="dxa"/>
              <w:bottom w:w="0" w:type="dxa"/>
              <w:right w:w="15" w:type="dxa"/>
            </w:tcMar>
            <w:vAlign w:val="center"/>
            <w:hideMark/>
          </w:tcPr>
          <w:p w14:paraId="4E9CC3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w:t>
            </w:r>
          </w:p>
        </w:tc>
        <w:tc>
          <w:tcPr>
            <w:tcW w:w="191" w:type="dxa"/>
            <w:shd w:val="clear" w:color="auto" w:fill="FFFFFF"/>
            <w:noWrap/>
            <w:tcMar>
              <w:top w:w="15" w:type="dxa"/>
              <w:left w:w="0" w:type="dxa"/>
              <w:bottom w:w="0" w:type="dxa"/>
              <w:right w:w="15" w:type="dxa"/>
            </w:tcMar>
            <w:vAlign w:val="center"/>
            <w:hideMark/>
          </w:tcPr>
          <w:p w14:paraId="6EF6EC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51" w:type="dxa"/>
            <w:shd w:val="clear" w:color="auto" w:fill="FFFFFF"/>
            <w:tcMar>
              <w:top w:w="15" w:type="dxa"/>
              <w:left w:w="0" w:type="dxa"/>
              <w:bottom w:w="0" w:type="dxa"/>
              <w:right w:w="15" w:type="dxa"/>
            </w:tcMar>
            <w:vAlign w:val="bottom"/>
            <w:hideMark/>
          </w:tcPr>
          <w:p w14:paraId="11DDF1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0A83ED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FFFFFF"/>
            <w:noWrap/>
            <w:tcMar>
              <w:top w:w="15" w:type="dxa"/>
              <w:left w:w="0" w:type="dxa"/>
              <w:bottom w:w="0" w:type="dxa"/>
              <w:right w:w="15" w:type="dxa"/>
            </w:tcMar>
            <w:vAlign w:val="center"/>
            <w:hideMark/>
          </w:tcPr>
          <w:p w14:paraId="024A110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w:t>
            </w:r>
          </w:p>
        </w:tc>
        <w:tc>
          <w:tcPr>
            <w:tcW w:w="192" w:type="dxa"/>
            <w:shd w:val="clear" w:color="auto" w:fill="FFFFFF"/>
            <w:noWrap/>
            <w:tcMar>
              <w:top w:w="15" w:type="dxa"/>
              <w:left w:w="0" w:type="dxa"/>
              <w:bottom w:w="0" w:type="dxa"/>
              <w:right w:w="15" w:type="dxa"/>
            </w:tcMar>
            <w:vAlign w:val="center"/>
            <w:hideMark/>
          </w:tcPr>
          <w:p w14:paraId="6E7B30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7BE4549" w14:textId="77777777" w:rsidTr="00AC4931">
        <w:tc>
          <w:tcPr>
            <w:tcW w:w="11095" w:type="dxa"/>
            <w:shd w:val="clear" w:color="auto" w:fill="CFF0FC"/>
            <w:tcMar>
              <w:top w:w="15" w:type="dxa"/>
              <w:left w:w="0" w:type="dxa"/>
              <w:bottom w:w="0" w:type="dxa"/>
              <w:right w:w="15" w:type="dxa"/>
            </w:tcMar>
            <w:vAlign w:val="center"/>
            <w:hideMark/>
          </w:tcPr>
          <w:p w14:paraId="135D8C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Hyundai/Kia</w:t>
            </w:r>
          </w:p>
        </w:tc>
        <w:tc>
          <w:tcPr>
            <w:tcW w:w="451" w:type="dxa"/>
            <w:shd w:val="clear" w:color="auto" w:fill="CFF0FC"/>
            <w:tcMar>
              <w:top w:w="15" w:type="dxa"/>
              <w:left w:w="0" w:type="dxa"/>
              <w:bottom w:w="0" w:type="dxa"/>
              <w:right w:w="15" w:type="dxa"/>
            </w:tcMar>
            <w:vAlign w:val="bottom"/>
            <w:hideMark/>
          </w:tcPr>
          <w:p w14:paraId="06ED7F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60323B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CFF0FC"/>
            <w:noWrap/>
            <w:tcMar>
              <w:top w:w="15" w:type="dxa"/>
              <w:left w:w="0" w:type="dxa"/>
              <w:bottom w:w="0" w:type="dxa"/>
              <w:right w:w="15" w:type="dxa"/>
            </w:tcMar>
            <w:vAlign w:val="center"/>
            <w:hideMark/>
          </w:tcPr>
          <w:p w14:paraId="021F82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w:t>
            </w:r>
          </w:p>
        </w:tc>
        <w:tc>
          <w:tcPr>
            <w:tcW w:w="191" w:type="dxa"/>
            <w:shd w:val="clear" w:color="auto" w:fill="CFF0FC"/>
            <w:noWrap/>
            <w:tcMar>
              <w:top w:w="15" w:type="dxa"/>
              <w:left w:w="0" w:type="dxa"/>
              <w:bottom w:w="0" w:type="dxa"/>
              <w:right w:w="15" w:type="dxa"/>
            </w:tcMar>
            <w:vAlign w:val="center"/>
            <w:hideMark/>
          </w:tcPr>
          <w:p w14:paraId="0DD657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51" w:type="dxa"/>
            <w:shd w:val="clear" w:color="auto" w:fill="CFF0FC"/>
            <w:tcMar>
              <w:top w:w="15" w:type="dxa"/>
              <w:left w:w="0" w:type="dxa"/>
              <w:bottom w:w="0" w:type="dxa"/>
              <w:right w:w="15" w:type="dxa"/>
            </w:tcMar>
            <w:vAlign w:val="bottom"/>
            <w:hideMark/>
          </w:tcPr>
          <w:p w14:paraId="72D780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5062A3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CFF0FC"/>
            <w:noWrap/>
            <w:tcMar>
              <w:top w:w="15" w:type="dxa"/>
              <w:left w:w="0" w:type="dxa"/>
              <w:bottom w:w="0" w:type="dxa"/>
              <w:right w:w="15" w:type="dxa"/>
            </w:tcMar>
            <w:vAlign w:val="center"/>
            <w:hideMark/>
          </w:tcPr>
          <w:p w14:paraId="7323898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w:t>
            </w:r>
          </w:p>
        </w:tc>
        <w:tc>
          <w:tcPr>
            <w:tcW w:w="192" w:type="dxa"/>
            <w:shd w:val="clear" w:color="auto" w:fill="CFF0FC"/>
            <w:noWrap/>
            <w:tcMar>
              <w:top w:w="15" w:type="dxa"/>
              <w:left w:w="0" w:type="dxa"/>
              <w:bottom w:w="0" w:type="dxa"/>
              <w:right w:w="15" w:type="dxa"/>
            </w:tcMar>
            <w:vAlign w:val="center"/>
            <w:hideMark/>
          </w:tcPr>
          <w:p w14:paraId="3560A5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4B816AF" w14:textId="77777777" w:rsidTr="00AC4931">
        <w:tc>
          <w:tcPr>
            <w:tcW w:w="11095" w:type="dxa"/>
            <w:shd w:val="clear" w:color="auto" w:fill="FFFFFF"/>
            <w:tcMar>
              <w:top w:w="15" w:type="dxa"/>
              <w:left w:w="0" w:type="dxa"/>
              <w:bottom w:w="0" w:type="dxa"/>
              <w:right w:w="15" w:type="dxa"/>
            </w:tcMar>
            <w:vAlign w:val="center"/>
            <w:hideMark/>
          </w:tcPr>
          <w:p w14:paraId="3974E5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Toyota</w:t>
            </w:r>
          </w:p>
        </w:tc>
        <w:tc>
          <w:tcPr>
            <w:tcW w:w="451" w:type="dxa"/>
            <w:shd w:val="clear" w:color="auto" w:fill="FFFFFF"/>
            <w:tcMar>
              <w:top w:w="15" w:type="dxa"/>
              <w:left w:w="0" w:type="dxa"/>
              <w:bottom w:w="0" w:type="dxa"/>
              <w:right w:w="15" w:type="dxa"/>
            </w:tcMar>
            <w:vAlign w:val="bottom"/>
            <w:hideMark/>
          </w:tcPr>
          <w:p w14:paraId="549FB8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0E6732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FFFFFF"/>
            <w:noWrap/>
            <w:tcMar>
              <w:top w:w="15" w:type="dxa"/>
              <w:left w:w="0" w:type="dxa"/>
              <w:bottom w:w="0" w:type="dxa"/>
              <w:right w:w="15" w:type="dxa"/>
            </w:tcMar>
            <w:vAlign w:val="center"/>
            <w:hideMark/>
          </w:tcPr>
          <w:p w14:paraId="2818F09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w:t>
            </w:r>
          </w:p>
        </w:tc>
        <w:tc>
          <w:tcPr>
            <w:tcW w:w="191" w:type="dxa"/>
            <w:shd w:val="clear" w:color="auto" w:fill="FFFFFF"/>
            <w:noWrap/>
            <w:tcMar>
              <w:top w:w="15" w:type="dxa"/>
              <w:left w:w="0" w:type="dxa"/>
              <w:bottom w:w="0" w:type="dxa"/>
              <w:right w:w="15" w:type="dxa"/>
            </w:tcMar>
            <w:vAlign w:val="center"/>
            <w:hideMark/>
          </w:tcPr>
          <w:p w14:paraId="5FD259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51" w:type="dxa"/>
            <w:shd w:val="clear" w:color="auto" w:fill="FFFFFF"/>
            <w:tcMar>
              <w:top w:w="15" w:type="dxa"/>
              <w:left w:w="0" w:type="dxa"/>
              <w:bottom w:w="0" w:type="dxa"/>
              <w:right w:w="15" w:type="dxa"/>
            </w:tcMar>
            <w:vAlign w:val="bottom"/>
            <w:hideMark/>
          </w:tcPr>
          <w:p w14:paraId="23B0ED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558789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FFFFFF"/>
            <w:noWrap/>
            <w:tcMar>
              <w:top w:w="15" w:type="dxa"/>
              <w:left w:w="0" w:type="dxa"/>
              <w:bottom w:w="0" w:type="dxa"/>
              <w:right w:w="15" w:type="dxa"/>
            </w:tcMar>
            <w:vAlign w:val="center"/>
            <w:hideMark/>
          </w:tcPr>
          <w:p w14:paraId="4BBA744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w:t>
            </w:r>
          </w:p>
        </w:tc>
        <w:tc>
          <w:tcPr>
            <w:tcW w:w="192" w:type="dxa"/>
            <w:shd w:val="clear" w:color="auto" w:fill="FFFFFF"/>
            <w:noWrap/>
            <w:tcMar>
              <w:top w:w="15" w:type="dxa"/>
              <w:left w:w="0" w:type="dxa"/>
              <w:bottom w:w="0" w:type="dxa"/>
              <w:right w:w="15" w:type="dxa"/>
            </w:tcMar>
            <w:vAlign w:val="center"/>
            <w:hideMark/>
          </w:tcPr>
          <w:p w14:paraId="4B0B1F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A115FD4" w14:textId="77777777" w:rsidTr="00AC4931">
        <w:tc>
          <w:tcPr>
            <w:tcW w:w="11095" w:type="dxa"/>
            <w:shd w:val="clear" w:color="auto" w:fill="CFF0FC"/>
            <w:tcMar>
              <w:top w:w="15" w:type="dxa"/>
              <w:left w:w="0" w:type="dxa"/>
              <w:bottom w:w="0" w:type="dxa"/>
              <w:right w:w="15" w:type="dxa"/>
            </w:tcMar>
            <w:vAlign w:val="center"/>
            <w:hideMark/>
          </w:tcPr>
          <w:p w14:paraId="254AEB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Ford</w:t>
            </w:r>
          </w:p>
        </w:tc>
        <w:tc>
          <w:tcPr>
            <w:tcW w:w="451" w:type="dxa"/>
            <w:shd w:val="clear" w:color="auto" w:fill="CFF0FC"/>
            <w:tcMar>
              <w:top w:w="15" w:type="dxa"/>
              <w:left w:w="0" w:type="dxa"/>
              <w:bottom w:w="0" w:type="dxa"/>
              <w:right w:w="15" w:type="dxa"/>
            </w:tcMar>
            <w:vAlign w:val="bottom"/>
            <w:hideMark/>
          </w:tcPr>
          <w:p w14:paraId="463682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3442C4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CFF0FC"/>
            <w:noWrap/>
            <w:tcMar>
              <w:top w:w="15" w:type="dxa"/>
              <w:left w:w="0" w:type="dxa"/>
              <w:bottom w:w="0" w:type="dxa"/>
              <w:right w:w="15" w:type="dxa"/>
            </w:tcMar>
            <w:vAlign w:val="center"/>
            <w:hideMark/>
          </w:tcPr>
          <w:p w14:paraId="007A8BD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w:t>
            </w:r>
          </w:p>
        </w:tc>
        <w:tc>
          <w:tcPr>
            <w:tcW w:w="191" w:type="dxa"/>
            <w:shd w:val="clear" w:color="auto" w:fill="CFF0FC"/>
            <w:noWrap/>
            <w:tcMar>
              <w:top w:w="15" w:type="dxa"/>
              <w:left w:w="0" w:type="dxa"/>
              <w:bottom w:w="0" w:type="dxa"/>
              <w:right w:w="15" w:type="dxa"/>
            </w:tcMar>
            <w:vAlign w:val="center"/>
            <w:hideMark/>
          </w:tcPr>
          <w:p w14:paraId="7854A4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51" w:type="dxa"/>
            <w:shd w:val="clear" w:color="auto" w:fill="CFF0FC"/>
            <w:tcMar>
              <w:top w:w="15" w:type="dxa"/>
              <w:left w:w="0" w:type="dxa"/>
              <w:bottom w:w="0" w:type="dxa"/>
              <w:right w:w="15" w:type="dxa"/>
            </w:tcMar>
            <w:vAlign w:val="bottom"/>
            <w:hideMark/>
          </w:tcPr>
          <w:p w14:paraId="622A6A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104758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CFF0FC"/>
            <w:noWrap/>
            <w:tcMar>
              <w:top w:w="15" w:type="dxa"/>
              <w:left w:w="0" w:type="dxa"/>
              <w:bottom w:w="0" w:type="dxa"/>
              <w:right w:w="15" w:type="dxa"/>
            </w:tcMar>
            <w:vAlign w:val="center"/>
            <w:hideMark/>
          </w:tcPr>
          <w:p w14:paraId="1C2A650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w:t>
            </w:r>
          </w:p>
        </w:tc>
        <w:tc>
          <w:tcPr>
            <w:tcW w:w="192" w:type="dxa"/>
            <w:shd w:val="clear" w:color="auto" w:fill="CFF0FC"/>
            <w:noWrap/>
            <w:tcMar>
              <w:top w:w="15" w:type="dxa"/>
              <w:left w:w="0" w:type="dxa"/>
              <w:bottom w:w="0" w:type="dxa"/>
              <w:right w:w="15" w:type="dxa"/>
            </w:tcMar>
            <w:vAlign w:val="center"/>
            <w:hideMark/>
          </w:tcPr>
          <w:p w14:paraId="217329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468E5D3" w14:textId="77777777" w:rsidTr="00AC4931">
        <w:tc>
          <w:tcPr>
            <w:tcW w:w="11095" w:type="dxa"/>
            <w:shd w:val="clear" w:color="auto" w:fill="FFFFFF"/>
            <w:tcMar>
              <w:top w:w="15" w:type="dxa"/>
              <w:left w:w="0" w:type="dxa"/>
              <w:bottom w:w="0" w:type="dxa"/>
              <w:right w:w="15" w:type="dxa"/>
            </w:tcMar>
            <w:vAlign w:val="center"/>
            <w:hideMark/>
          </w:tcPr>
          <w:p w14:paraId="67962D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General Motors</w:t>
            </w:r>
          </w:p>
        </w:tc>
        <w:tc>
          <w:tcPr>
            <w:tcW w:w="451" w:type="dxa"/>
            <w:shd w:val="clear" w:color="auto" w:fill="FFFFFF"/>
            <w:tcMar>
              <w:top w:w="15" w:type="dxa"/>
              <w:left w:w="0" w:type="dxa"/>
              <w:bottom w:w="0" w:type="dxa"/>
              <w:right w:w="15" w:type="dxa"/>
            </w:tcMar>
            <w:vAlign w:val="bottom"/>
            <w:hideMark/>
          </w:tcPr>
          <w:p w14:paraId="07584C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617483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FFFFFF"/>
            <w:noWrap/>
            <w:tcMar>
              <w:top w:w="15" w:type="dxa"/>
              <w:left w:w="0" w:type="dxa"/>
              <w:bottom w:w="0" w:type="dxa"/>
              <w:right w:w="15" w:type="dxa"/>
            </w:tcMar>
            <w:vAlign w:val="center"/>
            <w:hideMark/>
          </w:tcPr>
          <w:p w14:paraId="4DF83C1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w:t>
            </w:r>
          </w:p>
        </w:tc>
        <w:tc>
          <w:tcPr>
            <w:tcW w:w="191" w:type="dxa"/>
            <w:shd w:val="clear" w:color="auto" w:fill="FFFFFF"/>
            <w:noWrap/>
            <w:tcMar>
              <w:top w:w="15" w:type="dxa"/>
              <w:left w:w="0" w:type="dxa"/>
              <w:bottom w:w="0" w:type="dxa"/>
              <w:right w:w="15" w:type="dxa"/>
            </w:tcMar>
            <w:vAlign w:val="center"/>
            <w:hideMark/>
          </w:tcPr>
          <w:p w14:paraId="47269E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51" w:type="dxa"/>
            <w:shd w:val="clear" w:color="auto" w:fill="FFFFFF"/>
            <w:tcMar>
              <w:top w:w="15" w:type="dxa"/>
              <w:left w:w="0" w:type="dxa"/>
              <w:bottom w:w="0" w:type="dxa"/>
              <w:right w:w="15" w:type="dxa"/>
            </w:tcMar>
            <w:vAlign w:val="bottom"/>
            <w:hideMark/>
          </w:tcPr>
          <w:p w14:paraId="2F9460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6A40DE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FFFFFF"/>
            <w:noWrap/>
            <w:tcMar>
              <w:top w:w="15" w:type="dxa"/>
              <w:left w:w="0" w:type="dxa"/>
              <w:bottom w:w="0" w:type="dxa"/>
              <w:right w:w="15" w:type="dxa"/>
            </w:tcMar>
            <w:vAlign w:val="center"/>
            <w:hideMark/>
          </w:tcPr>
          <w:p w14:paraId="55A18F8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w:t>
            </w:r>
          </w:p>
        </w:tc>
        <w:tc>
          <w:tcPr>
            <w:tcW w:w="192" w:type="dxa"/>
            <w:shd w:val="clear" w:color="auto" w:fill="FFFFFF"/>
            <w:noWrap/>
            <w:tcMar>
              <w:top w:w="15" w:type="dxa"/>
              <w:left w:w="0" w:type="dxa"/>
              <w:bottom w:w="0" w:type="dxa"/>
              <w:right w:w="15" w:type="dxa"/>
            </w:tcMar>
            <w:vAlign w:val="center"/>
            <w:hideMark/>
          </w:tcPr>
          <w:p w14:paraId="320C14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AA9926A" w14:textId="77777777" w:rsidTr="00AC4931">
        <w:tc>
          <w:tcPr>
            <w:tcW w:w="11095" w:type="dxa"/>
            <w:shd w:val="clear" w:color="auto" w:fill="CFF0FC"/>
            <w:tcMar>
              <w:top w:w="15" w:type="dxa"/>
              <w:left w:w="0" w:type="dxa"/>
              <w:bottom w:w="0" w:type="dxa"/>
              <w:right w:w="15" w:type="dxa"/>
            </w:tcMar>
            <w:vAlign w:val="center"/>
            <w:hideMark/>
          </w:tcPr>
          <w:p w14:paraId="174599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BMW</w:t>
            </w:r>
          </w:p>
        </w:tc>
        <w:tc>
          <w:tcPr>
            <w:tcW w:w="451" w:type="dxa"/>
            <w:shd w:val="clear" w:color="auto" w:fill="CFF0FC"/>
            <w:tcMar>
              <w:top w:w="15" w:type="dxa"/>
              <w:left w:w="0" w:type="dxa"/>
              <w:bottom w:w="0" w:type="dxa"/>
              <w:right w:w="15" w:type="dxa"/>
            </w:tcMar>
            <w:vAlign w:val="bottom"/>
            <w:hideMark/>
          </w:tcPr>
          <w:p w14:paraId="6422B3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225AF5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CFF0FC"/>
            <w:noWrap/>
            <w:tcMar>
              <w:top w:w="15" w:type="dxa"/>
              <w:left w:w="0" w:type="dxa"/>
              <w:bottom w:w="0" w:type="dxa"/>
              <w:right w:w="15" w:type="dxa"/>
            </w:tcMar>
            <w:vAlign w:val="center"/>
            <w:hideMark/>
          </w:tcPr>
          <w:p w14:paraId="169B901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w:t>
            </w:r>
          </w:p>
        </w:tc>
        <w:tc>
          <w:tcPr>
            <w:tcW w:w="191" w:type="dxa"/>
            <w:shd w:val="clear" w:color="auto" w:fill="CFF0FC"/>
            <w:noWrap/>
            <w:tcMar>
              <w:top w:w="15" w:type="dxa"/>
              <w:left w:w="0" w:type="dxa"/>
              <w:bottom w:w="0" w:type="dxa"/>
              <w:right w:w="15" w:type="dxa"/>
            </w:tcMar>
            <w:vAlign w:val="center"/>
            <w:hideMark/>
          </w:tcPr>
          <w:p w14:paraId="68F306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51" w:type="dxa"/>
            <w:shd w:val="clear" w:color="auto" w:fill="CFF0FC"/>
            <w:tcMar>
              <w:top w:w="15" w:type="dxa"/>
              <w:left w:w="0" w:type="dxa"/>
              <w:bottom w:w="0" w:type="dxa"/>
              <w:right w:w="15" w:type="dxa"/>
            </w:tcMar>
            <w:vAlign w:val="bottom"/>
            <w:hideMark/>
          </w:tcPr>
          <w:p w14:paraId="4E46FE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149DD4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CFF0FC"/>
            <w:noWrap/>
            <w:tcMar>
              <w:top w:w="15" w:type="dxa"/>
              <w:left w:w="0" w:type="dxa"/>
              <w:bottom w:w="0" w:type="dxa"/>
              <w:right w:w="15" w:type="dxa"/>
            </w:tcMar>
            <w:vAlign w:val="center"/>
            <w:hideMark/>
          </w:tcPr>
          <w:p w14:paraId="05F9C30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w:t>
            </w:r>
          </w:p>
        </w:tc>
        <w:tc>
          <w:tcPr>
            <w:tcW w:w="192" w:type="dxa"/>
            <w:shd w:val="clear" w:color="auto" w:fill="CFF0FC"/>
            <w:noWrap/>
            <w:tcMar>
              <w:top w:w="15" w:type="dxa"/>
              <w:left w:w="0" w:type="dxa"/>
              <w:bottom w:w="0" w:type="dxa"/>
              <w:right w:w="15" w:type="dxa"/>
            </w:tcMar>
            <w:vAlign w:val="center"/>
            <w:hideMark/>
          </w:tcPr>
          <w:p w14:paraId="59BC5F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C0D527C" w14:textId="77777777" w:rsidTr="00AC4931">
        <w:tc>
          <w:tcPr>
            <w:tcW w:w="11095" w:type="dxa"/>
            <w:shd w:val="clear" w:color="auto" w:fill="FFFFFF"/>
            <w:tcMar>
              <w:top w:w="15" w:type="dxa"/>
              <w:left w:w="0" w:type="dxa"/>
              <w:bottom w:w="0" w:type="dxa"/>
              <w:right w:w="15" w:type="dxa"/>
            </w:tcMar>
            <w:vAlign w:val="center"/>
            <w:hideMark/>
          </w:tcPr>
          <w:p w14:paraId="4662B4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Daimler</w:t>
            </w:r>
          </w:p>
        </w:tc>
        <w:tc>
          <w:tcPr>
            <w:tcW w:w="451" w:type="dxa"/>
            <w:shd w:val="clear" w:color="auto" w:fill="FFFFFF"/>
            <w:tcMar>
              <w:top w:w="15" w:type="dxa"/>
              <w:left w:w="0" w:type="dxa"/>
              <w:bottom w:w="0" w:type="dxa"/>
              <w:right w:w="15" w:type="dxa"/>
            </w:tcMar>
            <w:vAlign w:val="bottom"/>
            <w:hideMark/>
          </w:tcPr>
          <w:p w14:paraId="53A875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00A8E4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FFFFFF"/>
            <w:noWrap/>
            <w:tcMar>
              <w:top w:w="15" w:type="dxa"/>
              <w:left w:w="0" w:type="dxa"/>
              <w:bottom w:w="0" w:type="dxa"/>
              <w:right w:w="15" w:type="dxa"/>
            </w:tcMar>
            <w:vAlign w:val="center"/>
            <w:hideMark/>
          </w:tcPr>
          <w:p w14:paraId="6A47D24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w:t>
            </w:r>
          </w:p>
        </w:tc>
        <w:tc>
          <w:tcPr>
            <w:tcW w:w="191" w:type="dxa"/>
            <w:shd w:val="clear" w:color="auto" w:fill="FFFFFF"/>
            <w:noWrap/>
            <w:tcMar>
              <w:top w:w="15" w:type="dxa"/>
              <w:left w:w="0" w:type="dxa"/>
              <w:bottom w:w="0" w:type="dxa"/>
              <w:right w:w="15" w:type="dxa"/>
            </w:tcMar>
            <w:vAlign w:val="center"/>
            <w:hideMark/>
          </w:tcPr>
          <w:p w14:paraId="605A75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51" w:type="dxa"/>
            <w:shd w:val="clear" w:color="auto" w:fill="FFFFFF"/>
            <w:tcMar>
              <w:top w:w="15" w:type="dxa"/>
              <w:left w:w="0" w:type="dxa"/>
              <w:bottom w:w="0" w:type="dxa"/>
              <w:right w:w="15" w:type="dxa"/>
            </w:tcMar>
            <w:vAlign w:val="bottom"/>
            <w:hideMark/>
          </w:tcPr>
          <w:p w14:paraId="0949BD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6CF7DD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59" w:type="dxa"/>
            <w:shd w:val="clear" w:color="auto" w:fill="FFFFFF"/>
            <w:noWrap/>
            <w:tcMar>
              <w:top w:w="15" w:type="dxa"/>
              <w:left w:w="0" w:type="dxa"/>
              <w:bottom w:w="0" w:type="dxa"/>
              <w:right w:w="15" w:type="dxa"/>
            </w:tcMar>
            <w:vAlign w:val="center"/>
            <w:hideMark/>
          </w:tcPr>
          <w:p w14:paraId="7C03BB9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w:t>
            </w:r>
          </w:p>
        </w:tc>
        <w:tc>
          <w:tcPr>
            <w:tcW w:w="192" w:type="dxa"/>
            <w:shd w:val="clear" w:color="auto" w:fill="FFFFFF"/>
            <w:noWrap/>
            <w:tcMar>
              <w:top w:w="15" w:type="dxa"/>
              <w:left w:w="0" w:type="dxa"/>
              <w:bottom w:w="0" w:type="dxa"/>
              <w:right w:w="15" w:type="dxa"/>
            </w:tcMar>
            <w:vAlign w:val="center"/>
            <w:hideMark/>
          </w:tcPr>
          <w:p w14:paraId="36404E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bl>
    <w:p w14:paraId="0622434E"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02D23C39" w14:textId="77777777" w:rsidTr="00AC4931">
        <w:tc>
          <w:tcPr>
            <w:tcW w:w="919" w:type="dxa"/>
            <w:noWrap/>
            <w:hideMark/>
          </w:tcPr>
          <w:p w14:paraId="6B7CBC28" w14:textId="77777777" w:rsidR="00AC4931" w:rsidRPr="00AC4931" w:rsidRDefault="00AC4931" w:rsidP="00AC4931">
            <w:pPr>
              <w:widowControl/>
              <w:rPr>
                <w:rFonts w:ascii="Arial" w:eastAsia="宋体" w:hAnsi="Arial" w:cs="Arial" w:hint="eastAsia"/>
                <w:kern w:val="0"/>
                <w:sz w:val="14"/>
                <w:szCs w:val="14"/>
              </w:rPr>
            </w:pPr>
            <w:r w:rsidRPr="00AC4931">
              <w:rPr>
                <w:rFonts w:ascii="Arial" w:eastAsia="宋体" w:hAnsi="Arial" w:cs="Arial"/>
                <w:kern w:val="0"/>
                <w:sz w:val="14"/>
                <w:szCs w:val="14"/>
              </w:rPr>
              <w:t>1)</w:t>
            </w:r>
          </w:p>
        </w:tc>
        <w:tc>
          <w:tcPr>
            <w:tcW w:w="0" w:type="auto"/>
            <w:hideMark/>
          </w:tcPr>
          <w:p w14:paraId="2B4B4CE8"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6"/>
                <w:szCs w:val="16"/>
              </w:rPr>
              <w:t>Source: IHS Markit</w:t>
            </w:r>
          </w:p>
        </w:tc>
      </w:tr>
    </w:tbl>
    <w:p w14:paraId="565D0550" w14:textId="77777777" w:rsidR="00AC4931" w:rsidRPr="00AC4931" w:rsidRDefault="00AC4931" w:rsidP="00AC4931">
      <w:pPr>
        <w:widowControl/>
        <w:spacing w:before="340"/>
        <w:rPr>
          <w:rFonts w:ascii="Arial" w:eastAsia="宋体" w:hAnsi="Arial" w:cs="Arial"/>
          <w:b/>
          <w:bCs/>
          <w:i/>
          <w:iCs/>
          <w:color w:val="000000"/>
          <w:kern w:val="0"/>
          <w:sz w:val="18"/>
          <w:szCs w:val="18"/>
        </w:rPr>
      </w:pPr>
      <w:r w:rsidRPr="00AC4931">
        <w:rPr>
          <w:rFonts w:ascii="Arial" w:eastAsia="宋体" w:hAnsi="Arial" w:cs="Arial"/>
          <w:b/>
          <w:bCs/>
          <w:i/>
          <w:iCs/>
          <w:color w:val="000000"/>
          <w:kern w:val="0"/>
          <w:sz w:val="18"/>
          <w:szCs w:val="18"/>
        </w:rPr>
        <w:t>Customer sales trends</w:t>
      </w:r>
    </w:p>
    <w:p w14:paraId="49A1A72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Asian vehicle producers have steadily become more important to Autoliv, and now represent around 47% of our global sales compared to 40% five years ago. The largest increase comes from Japanese OEMs that represented 26% of our global sales five years ago but now accounts for 34% of our global sales in 2020. This is a result of our stronger market position based on our local presence in Japan. European based brands accounted for 31% of our global sales in 2020. The U.S. based OEMs (including Tesla and Chrysler) accounted</w:t>
      </w:r>
    </w:p>
    <w:p w14:paraId="599672E3"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6</w:t>
      </w:r>
    </w:p>
    <w:p w14:paraId="7BC241A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65CD58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27817ED"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43A92F3"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139D5F9E">
          <v:rect id="_x0000_i1031" style="width:0;height:1.5pt" o:hralign="center" o:hrstd="t" o:hrnoshade="t" o:hr="t" fillcolor="black" stroked="f"/>
        </w:pict>
      </w:r>
    </w:p>
    <w:p w14:paraId="7624426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8153AB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17B81A3"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A29124C" w14:textId="77777777" w:rsidR="00AC4931" w:rsidRPr="00AC4931" w:rsidRDefault="00AC4931" w:rsidP="00AC4931">
      <w:pPr>
        <w:widowControl/>
        <w:spacing w:before="12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for 21% of our global sales. The local Chinese OEMs as a group accounted for around 4% of our global sales in 2020, with Great Wall representing 2%. The fastest growing customer from 2019 to 2020 was Tesla, followed by General Motors.</w:t>
      </w:r>
    </w:p>
    <w:p w14:paraId="24AFBD69"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For information on our dependence on customers, see “Risk Factors – ‘Our business could be materially and adversely affected if we lost any of our largest customers or if they were unable to pay their invoices’” in Item 1A of this Annual Report and “Dependence on Customers” under the section “Risks and Risk Management” in Item 7 of this Annual Report and Note 21 to the Consolidated Financial Statements.</w:t>
      </w:r>
    </w:p>
    <w:p w14:paraId="050229C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3F099FD1" w14:textId="77777777" w:rsidR="00AC4931" w:rsidRPr="00AC4931" w:rsidRDefault="00AC4931" w:rsidP="00AC4931">
      <w:pPr>
        <w:widowControl/>
        <w:spacing w:before="160"/>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Research, Development and Engineering, net (R,D&amp;E)</w:t>
      </w:r>
    </w:p>
    <w:p w14:paraId="6F44FDAC"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No single customer project accounted for more than 5.5% of Autoliv’s total R,D&amp;E, net spending during 2020. To fuel Autoliv’s product portfolio, additional expertise is brought in-house via technology partnerships and licensing agreements.</w:t>
      </w:r>
    </w:p>
    <w:p w14:paraId="44C4AD24"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During 2020, gross expenditures for Research, Development and Application Engineering (R,D&amp;E) amounted to $557 million compared to $605 million in 2019. Of these amounts, $181 million in 2020 and $199 million in 2019 were related to customer-funded engineering projects and crash tests. Net of this income, R,D&amp;E expenditures decreased in 2020 compared to 2019 by 7.4% to 375 million. Of the R,D&amp;E, </w:t>
      </w:r>
      <w:r w:rsidRPr="00AC4931">
        <w:rPr>
          <w:rFonts w:ascii="Arial" w:eastAsia="宋体" w:hAnsi="Arial" w:cs="Arial"/>
          <w:color w:val="000000"/>
          <w:kern w:val="0"/>
          <w:sz w:val="18"/>
          <w:szCs w:val="18"/>
        </w:rPr>
        <w:lastRenderedPageBreak/>
        <w:t>net expense in 2020, 82% was for projects and programs for which we have customer orders, typically related to vehicle models in development. The remaining 18% was not only for completely new innovations but also for improvements of existing products, standardization and cost reduction projects that will yield greater benefits over time.</w:t>
      </w:r>
    </w:p>
    <w:p w14:paraId="48330915" w14:textId="77777777" w:rsidR="00AC4931" w:rsidRPr="00AC4931" w:rsidRDefault="00AC4931" w:rsidP="00AC4931">
      <w:pPr>
        <w:widowControl/>
        <w:spacing w:before="160"/>
        <w:rPr>
          <w:rFonts w:ascii="Arial" w:eastAsia="宋体" w:hAnsi="Arial" w:cs="Arial"/>
          <w:b/>
          <w:bCs/>
          <w:i/>
          <w:iCs/>
          <w:color w:val="000000"/>
          <w:kern w:val="0"/>
          <w:sz w:val="18"/>
          <w:szCs w:val="18"/>
        </w:rPr>
      </w:pPr>
      <w:r w:rsidRPr="00AC4931">
        <w:rPr>
          <w:rFonts w:ascii="Arial" w:eastAsia="宋体" w:hAnsi="Arial" w:cs="Arial"/>
          <w:b/>
          <w:bCs/>
          <w:i/>
          <w:iCs/>
          <w:color w:val="000000"/>
          <w:kern w:val="0"/>
          <w:sz w:val="18"/>
          <w:szCs w:val="18"/>
        </w:rPr>
        <w:t>Regulatory Costs</w:t>
      </w:r>
    </w:p>
    <w:p w14:paraId="68F03DA6"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fitting of seatbelts in most types of motor vehicles is mandatory in almost all countries and many countries have strict laws regarding the use of seatbelts while in vehicles. In addition, most developed countries require that seats in intercity buses and commercial vehicles be fitted with seatbelts. In the U.S., federal legislation requires frontal airbags on the driver-side and the passenger-side of all new passenger cars since 1998 and in all sport utility vehicles, pickup trucks, and vans since 1999.</w:t>
      </w:r>
    </w:p>
    <w:p w14:paraId="6379ED0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787430B"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For information concerning the material effects on our business relating to our compliance with government safety regulations, see “Risk Factors – ‘Our business may be adversely affected by laws or regulations, including environmental, occupational health and safety or other governmental regulations’ and ‘Our business may be adversely affected by changes in automotive safety regulations or concerns that drive further regulation of the automobile safety market’” in Item 1A of this Annual Report and in Item 7 under the section “Risks and Risk Management” of this Annual Report.</w:t>
      </w:r>
    </w:p>
    <w:p w14:paraId="7B23CF7D"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27DBEE17" w14:textId="77777777" w:rsidR="00AC4931" w:rsidRPr="00AC4931" w:rsidRDefault="00AC4931" w:rsidP="00AC4931">
      <w:pPr>
        <w:widowControl/>
        <w:spacing w:before="160"/>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Human Resources</w:t>
      </w:r>
    </w:p>
    <w:p w14:paraId="3B49AF9D"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Our drive for excellence is what makes us the world’s leading supplier of automotive safety systems. From the earliest stages of product development to sales and design to the final delivery of the finished product our employees are driven by our passion to save more lives.</w:t>
      </w:r>
    </w:p>
    <w:p w14:paraId="14E2E9E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successful execution of our strategies relies on our ability to shape a quality and performance-oriented culture, and to adapt quickly to sudden shifts in our circumstances, as illustrated by the COVID-19 crisis. A turbulent external environment presents many challenges but also opportunities. As we move forward we strive to respond with agility to new possibilities to grow and improve our business whilst delivering with excellence to our customers. We build a winning team by focusing on creating a work environment that attracts, retains, and engages our employees. We take great pride in working together to provide lifesaving solutions for mobility and society, and are always looking for new team members who share this passion. For additional information, see our Sustainability Report 2021 available at our corporate website at www.autoliv.com.</w:t>
      </w:r>
    </w:p>
    <w:p w14:paraId="60345B3F"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539D644A" w14:textId="77777777" w:rsidR="00AC4931" w:rsidRPr="00AC4931" w:rsidRDefault="00AC4931" w:rsidP="00AC4931">
      <w:pPr>
        <w:widowControl/>
        <w:spacing w:after="20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u w:val="single"/>
        </w:rPr>
        <w:t>Development of our employees</w:t>
      </w:r>
    </w:p>
    <w:p w14:paraId="581D5402" w14:textId="77777777" w:rsidR="00AC4931" w:rsidRPr="00AC4931" w:rsidRDefault="00AC4931" w:rsidP="00AC4931">
      <w:pPr>
        <w:widowControl/>
        <w:spacing w:after="20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We offer a collaborative work environment where we tackle challenges and achieve great things together. Supporting the development of our employees is essential in a highly competitive and rapidly changing environment. An important cornerstone of each employee’s growth is the ongoing dialogue between the team member and manager, which is summarized during an annual Performance and Development Dialogue (PDD). During 2020, 99% of targeted employees conducted a PDD with their managers. To provide opportunities for professional and personal growth of our employees, we have a multitude of development channels, including technical and specialist career paths, international assignments and </w:t>
      </w:r>
      <w:r w:rsidRPr="00AC4931">
        <w:rPr>
          <w:rFonts w:ascii="Arial" w:eastAsia="宋体" w:hAnsi="Arial" w:cs="Arial"/>
          <w:color w:val="000000"/>
          <w:kern w:val="0"/>
          <w:sz w:val="18"/>
          <w:szCs w:val="18"/>
        </w:rPr>
        <w:lastRenderedPageBreak/>
        <w:t>other such programs. We promote continuous development on the job every day, and more than 1,500 employees attended at least one training program this year, despite restrictions related to COVID-19.</w:t>
      </w:r>
    </w:p>
    <w:p w14:paraId="782CA47E"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63AF78D2" w14:textId="77777777" w:rsidR="00AC4931" w:rsidRPr="00AC4931" w:rsidRDefault="00AC4931" w:rsidP="00AC4931">
      <w:pPr>
        <w:widowControl/>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u w:val="single"/>
        </w:rPr>
        <w:t>Health and Safety</w:t>
      </w:r>
    </w:p>
    <w:p w14:paraId="5DBB04A7"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are committed to providing a work environment that promotes the health, safety and welfare of our employees. Each Autoliv facility implements our health and safety management system, which is supported by leadership teams. The implementation of the system is monitored through internal and external audits. During 2020 our main focus has been the health and safety of our employees during the Covid-19 pandemic.  </w:t>
      </w:r>
    </w:p>
    <w:p w14:paraId="6AAE57E0"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3D6E2B14"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7</w:t>
      </w:r>
    </w:p>
    <w:p w14:paraId="46777E06"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12A8B43"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82D767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3256C25"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1769F57C">
          <v:rect id="_x0000_i1032" style="width:0;height:1.5pt" o:hralign="center" o:hrstd="t" o:hrnoshade="t" o:hr="t" fillcolor="black" stroked="f"/>
        </w:pict>
      </w:r>
    </w:p>
    <w:p w14:paraId="5DB2AFE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B129F9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481FF1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A23B98D"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1791FF70" w14:textId="77777777" w:rsidR="00AC4931" w:rsidRPr="00AC4931" w:rsidRDefault="00AC4931" w:rsidP="00AC4931">
      <w:pPr>
        <w:widowControl/>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u w:val="single"/>
        </w:rPr>
        <w:t>Diversity</w:t>
      </w:r>
    </w:p>
    <w:p w14:paraId="57011B6A"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value diversity and different backgrounds and experiences among our employees. Our workforce reflects the diversity of the countries and cultures in which we operate. At the end of 2020, 47% of our workforce and 22% of our senior management positions were filled by women.</w:t>
      </w:r>
    </w:p>
    <w:p w14:paraId="6085A665" w14:textId="77777777" w:rsidR="00AC4931" w:rsidRPr="00AC4931" w:rsidRDefault="00AC4931" w:rsidP="00AC4931">
      <w:pPr>
        <w:widowControl/>
        <w:spacing w:after="120"/>
        <w:jc w:val="left"/>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24D5852" w14:textId="77777777" w:rsidR="00AC4931" w:rsidRPr="00AC4931" w:rsidRDefault="00AC4931" w:rsidP="00AC4931">
      <w:pPr>
        <w:widowControl/>
        <w:spacing w:after="12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We have operations in 27 different countries, with 28% of our workforce located in Asia, 32% in the Americas and 40% in Europe (including Africa, Russia and Turkey).</w:t>
      </w:r>
    </w:p>
    <w:p w14:paraId="6C41FD48" w14:textId="77777777" w:rsidR="00AC4931" w:rsidRPr="00AC4931" w:rsidRDefault="00AC4931" w:rsidP="00AC4931">
      <w:pPr>
        <w:widowControl/>
        <w:spacing w:after="120"/>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br/>
      </w:r>
      <w:r w:rsidRPr="00AC4931">
        <w:rPr>
          <w:rFonts w:ascii="Arial" w:eastAsia="宋体" w:hAnsi="Arial" w:cs="Arial"/>
          <w:b/>
          <w:bCs/>
          <w:color w:val="000000"/>
          <w:kern w:val="0"/>
          <w:sz w:val="18"/>
          <w:szCs w:val="18"/>
          <w:u w:val="single"/>
        </w:rPr>
        <w:t>Labor rights</w:t>
      </w:r>
    </w:p>
    <w:p w14:paraId="3A9E958A" w14:textId="77777777" w:rsidR="00AC4931" w:rsidRPr="00AC4931" w:rsidRDefault="00AC4931" w:rsidP="00AC4931">
      <w:pPr>
        <w:widowControl/>
        <w:spacing w:after="120"/>
        <w:rPr>
          <w:rFonts w:ascii="Arial" w:eastAsia="宋体" w:hAnsi="Arial" w:cs="Arial"/>
          <w:color w:val="000000"/>
          <w:kern w:val="0"/>
          <w:sz w:val="18"/>
          <w:szCs w:val="18"/>
        </w:rPr>
      </w:pPr>
      <w:r w:rsidRPr="00AC4931">
        <w:rPr>
          <w:rFonts w:ascii="Arial" w:eastAsia="宋体" w:hAnsi="Arial" w:cs="Arial"/>
          <w:color w:val="000000"/>
          <w:kern w:val="0"/>
          <w:sz w:val="18"/>
          <w:szCs w:val="18"/>
        </w:rPr>
        <w:t>We offer fair terms and conditions of employment. Our values, Code of Conduct, talent development strategies and employment policies support the principles in the United Nations Universal Declaration of Human Rights, and the International Labor Organization’s Fundamental Principles and Labor Standards.</w:t>
      </w:r>
    </w:p>
    <w:p w14:paraId="70DBAC9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Autoliv considers its relationship with its personnel to be good. While there have been a small number of minor labor disputes during the year, such disputes have not had a significant or lasting impact on our relationship with our employees, customer perception of our employee practices or our business results.</w:t>
      </w:r>
    </w:p>
    <w:p w14:paraId="367823EC"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Major unions to which some of Autoliv’s employees belong in Europe include: IG Metall in Germany; Unite the union in the United Kingdom; Confédération Générale des Travailleurs (CGT), Confédération Française Démocratique du Travail (CFDT), Confédération Française de l’Encadrement Confédération Générale des cadres (CFE-CGC), Force Ouvrière (FO), Confédération Française des Travailleurs Chrétiens (CFTC), Solidaires, Unitaires, Démocratiques (SUD) and Conféderation Autonome du Travail (CAT) in France; Union General de Trabajadores (UGT), Union Sindical Obrera (USO), Comisiones </w:t>
      </w:r>
      <w:r w:rsidRPr="00AC4931">
        <w:rPr>
          <w:rFonts w:ascii="Arial" w:eastAsia="宋体" w:hAnsi="Arial" w:cs="Arial"/>
          <w:color w:val="000000"/>
          <w:kern w:val="0"/>
          <w:sz w:val="18"/>
          <w:szCs w:val="18"/>
        </w:rPr>
        <w:lastRenderedPageBreak/>
        <w:t>Obereras (CCOO) and Confederacion General de Trabajadores (CGT) in Spain; IF Metall, Unionen, Sveriges Ingenjörer and Ledarna in Sweden; Industriaal- ja Metallitöötajate Ametiühingute Liit (IMTAL) in Estonia; Vasas Szakszervezeti Szövetség (Hungarian Metallworkers‘ Federation) in Hungary; Samorządny NiezaleĪny Związek Zawodowy Pracowników and Zakáadowa Organizacja Związkowa NSZZ SolidarnoĞü in Poland; Union Générale des Travailleurs Tunisiens (UGTT) and Union des travailleurs Tunisiens (UTT) in Tunisia and Türk Metal Sendikasi in Turkey.</w:t>
      </w:r>
    </w:p>
    <w:p w14:paraId="3A06E848"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addition, Autoliv’s employees in other regions are represented by the following unions: Unifor in Canada; Sindicato de Jornaleros y Obreros Industriales y de la Industria Maquiladora </w:t>
      </w:r>
      <w:r w:rsidRPr="00AC4931">
        <w:rPr>
          <w:rFonts w:ascii="Arial" w:eastAsia="宋体" w:hAnsi="Arial" w:cs="Arial"/>
          <w:color w:val="000000"/>
          <w:kern w:val="0"/>
          <w:sz w:val="18"/>
          <w:szCs w:val="18"/>
          <w:shd w:val="clear" w:color="auto" w:fill="FFFFFF"/>
        </w:rPr>
        <w:t>de H.Matamoros, Tamaulipas (CTM)</w:t>
      </w:r>
      <w:r w:rsidRPr="00AC4931">
        <w:rPr>
          <w:rFonts w:ascii="Arial" w:eastAsia="宋体" w:hAnsi="Arial" w:cs="Arial"/>
          <w:color w:val="000000"/>
          <w:kern w:val="0"/>
          <w:sz w:val="18"/>
          <w:szCs w:val="18"/>
        </w:rPr>
        <w:t>; Sindicato Nacional de Trabajadores de la Industria Metalúrgica y Similares (CTM); Sindicato Industrial de Trabajadores de la Pequeña y Mediana Industria, Talleres, Maquiladoras, Negociaciones Mercantiles y Comercios, Similares, Anexos y Conexos del Estado de Querétaro (CTM); “Nueva Cultura Laboral” “de trabajadores de la fabricación, manufactura, ensamble de autopartes </w:t>
      </w:r>
      <w:r w:rsidRPr="00AC4931">
        <w:rPr>
          <w:rFonts w:ascii="Arial" w:eastAsia="宋体" w:hAnsi="Arial" w:cs="Arial"/>
          <w:color w:val="000000"/>
          <w:kern w:val="0"/>
          <w:sz w:val="18"/>
          <w:szCs w:val="18"/>
          <w:shd w:val="clear" w:color="auto" w:fill="FFFFFF"/>
        </w:rPr>
        <w:t>mecánicas y eléctricas </w:t>
      </w:r>
      <w:r w:rsidRPr="00AC4931">
        <w:rPr>
          <w:rFonts w:ascii="Arial" w:eastAsia="宋体" w:hAnsi="Arial" w:cs="Arial"/>
          <w:color w:val="000000"/>
          <w:kern w:val="0"/>
          <w:sz w:val="18"/>
          <w:szCs w:val="18"/>
        </w:rPr>
        <w:t>y componentes de la industria Automotriz (CROC) in Mexico; Sindicato dos Metalúrgicos de Taubaté e Região in Brazil; Autoliv India Employees Association, Bangalore in India; the Korean Metal Workers Union (FKTU) in Korea; Autoliv Japan Roudou Kumiai in Japan and Federasi Perjuangan Buruh Indonesia (FPBI) in Indonesia.</w:t>
      </w:r>
    </w:p>
    <w:p w14:paraId="3609D9F0"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many European countries, Canada, Mexico, Brazil and Korea, wages, salaries and general working conditions are negotiated with local unions and/or are subject to centrally negotiated collective bargaining agreements. The terms of our various agreements with unions typically range between 1-3 years. Some of our subsidiaries in Europe, Canada, Mexico, Brazil and Korea must negotiate with the applicable local unions with respect to important changes in operations, working and employment conditions. Twice a year, members of the Company’s management conduct a meeting with the European Works Council (EWC) to provide employee representatives with important information about the Company and a forum for the exchange of ideas and opinions.</w:t>
      </w:r>
    </w:p>
    <w:p w14:paraId="32FAA67A"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4D16B70"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In many Asia Pacific countries, the central or regional governments provide guidance each year for salary adjustments or statutory minimum wage for workers.</w:t>
      </w:r>
    </w:p>
    <w:p w14:paraId="01138EB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656D2F4"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Autoliv’s employees may join associations in accordance with local legislation and rules, although the level of unionization varies significantly throughout our operations.</w:t>
      </w:r>
    </w:p>
    <w:p w14:paraId="2BE7B7A1"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37C6A63" w14:textId="77777777" w:rsidR="00AC4931" w:rsidRPr="00AC4931" w:rsidRDefault="00AC4931" w:rsidP="00AC4931">
      <w:pPr>
        <w:widowControl/>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u w:val="single"/>
        </w:rPr>
        <w:t>Well-balanced Workforce</w:t>
      </w:r>
    </w:p>
    <w:p w14:paraId="070A3C13"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2EAF4BCB"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The table below show Autoliv’s well-balance workforce by age, group and gender in % at the end of 2020.</w:t>
      </w:r>
    </w:p>
    <w:p w14:paraId="15FB68A4"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6179"/>
        <w:gridCol w:w="200"/>
        <w:gridCol w:w="6817"/>
        <w:gridCol w:w="7218"/>
        <w:gridCol w:w="200"/>
      </w:tblGrid>
      <w:tr w:rsidR="00AC4931" w:rsidRPr="00AC4931" w14:paraId="30154B2C" w14:textId="77777777" w:rsidTr="00AC4931">
        <w:tc>
          <w:tcPr>
            <w:tcW w:w="6162" w:type="dxa"/>
            <w:tcBorders>
              <w:bottom w:val="single" w:sz="6" w:space="0" w:color="000000"/>
            </w:tcBorders>
            <w:shd w:val="clear" w:color="auto" w:fill="FFFFFF"/>
            <w:tcMar>
              <w:top w:w="15" w:type="dxa"/>
              <w:left w:w="0" w:type="dxa"/>
              <w:bottom w:w="0" w:type="dxa"/>
              <w:right w:w="15" w:type="dxa"/>
            </w:tcMar>
            <w:vAlign w:val="bottom"/>
            <w:hideMark/>
          </w:tcPr>
          <w:p w14:paraId="68EA1067" w14:textId="77777777" w:rsidR="00AC4931" w:rsidRPr="00AC4931" w:rsidRDefault="00AC4931" w:rsidP="00AC4931">
            <w:pPr>
              <w:widowControl/>
              <w:jc w:val="center"/>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rPr>
              <w:t>% of Men</w:t>
            </w:r>
          </w:p>
        </w:tc>
        <w:tc>
          <w:tcPr>
            <w:tcW w:w="191" w:type="dxa"/>
            <w:shd w:val="clear" w:color="auto" w:fill="FFFFFF"/>
            <w:noWrap/>
            <w:tcMar>
              <w:top w:w="15" w:type="dxa"/>
              <w:left w:w="0" w:type="dxa"/>
              <w:bottom w:w="0" w:type="dxa"/>
              <w:right w:w="15" w:type="dxa"/>
            </w:tcMar>
            <w:vAlign w:val="bottom"/>
            <w:hideMark/>
          </w:tcPr>
          <w:p w14:paraId="76841B6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6797" w:type="dxa"/>
            <w:tcBorders>
              <w:bottom w:val="single" w:sz="6" w:space="0" w:color="000000"/>
            </w:tcBorders>
            <w:shd w:val="clear" w:color="auto" w:fill="FFFFFF"/>
            <w:tcMar>
              <w:top w:w="15" w:type="dxa"/>
              <w:left w:w="0" w:type="dxa"/>
              <w:bottom w:w="0" w:type="dxa"/>
              <w:right w:w="15" w:type="dxa"/>
            </w:tcMar>
            <w:vAlign w:val="bottom"/>
            <w:hideMark/>
          </w:tcPr>
          <w:p w14:paraId="451D26E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Age group</w:t>
            </w:r>
          </w:p>
        </w:tc>
        <w:tc>
          <w:tcPr>
            <w:tcW w:w="7197" w:type="dxa"/>
            <w:tcBorders>
              <w:bottom w:val="single" w:sz="6" w:space="0" w:color="000000"/>
            </w:tcBorders>
            <w:shd w:val="clear" w:color="auto" w:fill="FFFFFF"/>
            <w:tcMar>
              <w:top w:w="15" w:type="dxa"/>
              <w:left w:w="0" w:type="dxa"/>
              <w:bottom w:w="0" w:type="dxa"/>
              <w:right w:w="15" w:type="dxa"/>
            </w:tcMar>
            <w:vAlign w:val="bottom"/>
            <w:hideMark/>
          </w:tcPr>
          <w:p w14:paraId="0A6A1A9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of Women</w:t>
            </w:r>
          </w:p>
        </w:tc>
        <w:tc>
          <w:tcPr>
            <w:tcW w:w="191" w:type="dxa"/>
            <w:shd w:val="clear" w:color="auto" w:fill="FFFFFF"/>
            <w:noWrap/>
            <w:tcMar>
              <w:top w:w="15" w:type="dxa"/>
              <w:left w:w="0" w:type="dxa"/>
              <w:bottom w:w="0" w:type="dxa"/>
              <w:right w:w="15" w:type="dxa"/>
            </w:tcMar>
            <w:vAlign w:val="bottom"/>
            <w:hideMark/>
          </w:tcPr>
          <w:p w14:paraId="238B3FA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32947E3" w14:textId="77777777" w:rsidTr="00AC4931">
        <w:tc>
          <w:tcPr>
            <w:tcW w:w="6162" w:type="dxa"/>
            <w:tcBorders>
              <w:top w:val="single" w:sz="6" w:space="0" w:color="000000"/>
            </w:tcBorders>
            <w:shd w:val="clear" w:color="auto" w:fill="CCECFF"/>
            <w:tcMar>
              <w:top w:w="15" w:type="dxa"/>
              <w:left w:w="0" w:type="dxa"/>
              <w:bottom w:w="0" w:type="dxa"/>
              <w:right w:w="15" w:type="dxa"/>
            </w:tcMar>
            <w:vAlign w:val="bottom"/>
            <w:hideMark/>
          </w:tcPr>
          <w:p w14:paraId="3BF1B399"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3%</w:t>
            </w:r>
          </w:p>
        </w:tc>
        <w:tc>
          <w:tcPr>
            <w:tcW w:w="191" w:type="dxa"/>
            <w:shd w:val="clear" w:color="auto" w:fill="CCECFF"/>
            <w:noWrap/>
            <w:tcMar>
              <w:top w:w="15" w:type="dxa"/>
              <w:left w:w="0" w:type="dxa"/>
              <w:bottom w:w="0" w:type="dxa"/>
              <w:right w:w="15" w:type="dxa"/>
            </w:tcMar>
            <w:vAlign w:val="bottom"/>
            <w:hideMark/>
          </w:tcPr>
          <w:p w14:paraId="4283BB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6797" w:type="dxa"/>
            <w:tcBorders>
              <w:top w:val="single" w:sz="6" w:space="0" w:color="000000"/>
            </w:tcBorders>
            <w:shd w:val="clear" w:color="auto" w:fill="CCECFF"/>
            <w:tcMar>
              <w:top w:w="15" w:type="dxa"/>
              <w:left w:w="0" w:type="dxa"/>
              <w:bottom w:w="0" w:type="dxa"/>
              <w:right w:w="15" w:type="dxa"/>
            </w:tcMar>
            <w:vAlign w:val="bottom"/>
            <w:hideMark/>
          </w:tcPr>
          <w:p w14:paraId="52BE777F"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&gt;60</w:t>
            </w:r>
          </w:p>
        </w:tc>
        <w:tc>
          <w:tcPr>
            <w:tcW w:w="7197" w:type="dxa"/>
            <w:tcBorders>
              <w:top w:val="single" w:sz="6" w:space="0" w:color="000000"/>
            </w:tcBorders>
            <w:shd w:val="clear" w:color="auto" w:fill="CCECFF"/>
            <w:tcMar>
              <w:top w:w="15" w:type="dxa"/>
              <w:left w:w="0" w:type="dxa"/>
              <w:bottom w:w="0" w:type="dxa"/>
              <w:right w:w="15" w:type="dxa"/>
            </w:tcMar>
            <w:vAlign w:val="bottom"/>
            <w:hideMark/>
          </w:tcPr>
          <w:p w14:paraId="6FFB1F39"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w:t>
            </w:r>
          </w:p>
        </w:tc>
        <w:tc>
          <w:tcPr>
            <w:tcW w:w="191" w:type="dxa"/>
            <w:shd w:val="clear" w:color="auto" w:fill="CCECFF"/>
            <w:noWrap/>
            <w:tcMar>
              <w:top w:w="15" w:type="dxa"/>
              <w:left w:w="0" w:type="dxa"/>
              <w:bottom w:w="0" w:type="dxa"/>
              <w:right w:w="15" w:type="dxa"/>
            </w:tcMar>
            <w:vAlign w:val="bottom"/>
            <w:hideMark/>
          </w:tcPr>
          <w:p w14:paraId="0FE9B0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F37DB95" w14:textId="77777777" w:rsidTr="00AC4931">
        <w:tc>
          <w:tcPr>
            <w:tcW w:w="6162" w:type="dxa"/>
            <w:shd w:val="clear" w:color="auto" w:fill="FFFFFF"/>
            <w:tcMar>
              <w:top w:w="15" w:type="dxa"/>
              <w:left w:w="0" w:type="dxa"/>
              <w:bottom w:w="0" w:type="dxa"/>
              <w:right w:w="15" w:type="dxa"/>
            </w:tcMar>
            <w:vAlign w:val="bottom"/>
            <w:hideMark/>
          </w:tcPr>
          <w:p w14:paraId="31B78291"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5%</w:t>
            </w:r>
          </w:p>
        </w:tc>
        <w:tc>
          <w:tcPr>
            <w:tcW w:w="191" w:type="dxa"/>
            <w:shd w:val="clear" w:color="auto" w:fill="FFFFFF"/>
            <w:noWrap/>
            <w:tcMar>
              <w:top w:w="15" w:type="dxa"/>
              <w:left w:w="0" w:type="dxa"/>
              <w:bottom w:w="0" w:type="dxa"/>
              <w:right w:w="15" w:type="dxa"/>
            </w:tcMar>
            <w:vAlign w:val="bottom"/>
            <w:hideMark/>
          </w:tcPr>
          <w:p w14:paraId="6818C9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6797" w:type="dxa"/>
            <w:shd w:val="clear" w:color="auto" w:fill="FFFFFF"/>
            <w:tcMar>
              <w:top w:w="15" w:type="dxa"/>
              <w:left w:w="0" w:type="dxa"/>
              <w:bottom w:w="0" w:type="dxa"/>
              <w:right w:w="15" w:type="dxa"/>
            </w:tcMar>
            <w:vAlign w:val="bottom"/>
            <w:hideMark/>
          </w:tcPr>
          <w:p w14:paraId="1A0537A5"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51-60</w:t>
            </w:r>
          </w:p>
        </w:tc>
        <w:tc>
          <w:tcPr>
            <w:tcW w:w="7197" w:type="dxa"/>
            <w:shd w:val="clear" w:color="auto" w:fill="FFFFFF"/>
            <w:tcMar>
              <w:top w:w="15" w:type="dxa"/>
              <w:left w:w="0" w:type="dxa"/>
              <w:bottom w:w="0" w:type="dxa"/>
              <w:right w:w="15" w:type="dxa"/>
            </w:tcMar>
            <w:vAlign w:val="bottom"/>
            <w:hideMark/>
          </w:tcPr>
          <w:p w14:paraId="5534814B"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w:t>
            </w:r>
          </w:p>
        </w:tc>
        <w:tc>
          <w:tcPr>
            <w:tcW w:w="191" w:type="dxa"/>
            <w:shd w:val="clear" w:color="auto" w:fill="FFFFFF"/>
            <w:noWrap/>
            <w:tcMar>
              <w:top w:w="15" w:type="dxa"/>
              <w:left w:w="0" w:type="dxa"/>
              <w:bottom w:w="0" w:type="dxa"/>
              <w:right w:w="15" w:type="dxa"/>
            </w:tcMar>
            <w:vAlign w:val="bottom"/>
            <w:hideMark/>
          </w:tcPr>
          <w:p w14:paraId="5A50F7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6C7BC99" w14:textId="77777777" w:rsidTr="00AC4931">
        <w:tc>
          <w:tcPr>
            <w:tcW w:w="6162" w:type="dxa"/>
            <w:shd w:val="clear" w:color="auto" w:fill="CCECFF"/>
            <w:tcMar>
              <w:top w:w="15" w:type="dxa"/>
              <w:left w:w="0" w:type="dxa"/>
              <w:bottom w:w="0" w:type="dxa"/>
              <w:right w:w="15" w:type="dxa"/>
            </w:tcMar>
            <w:vAlign w:val="bottom"/>
            <w:hideMark/>
          </w:tcPr>
          <w:p w14:paraId="4CEFE10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9%</w:t>
            </w:r>
          </w:p>
        </w:tc>
        <w:tc>
          <w:tcPr>
            <w:tcW w:w="191" w:type="dxa"/>
            <w:shd w:val="clear" w:color="auto" w:fill="CCECFF"/>
            <w:noWrap/>
            <w:tcMar>
              <w:top w:w="15" w:type="dxa"/>
              <w:left w:w="0" w:type="dxa"/>
              <w:bottom w:w="0" w:type="dxa"/>
              <w:right w:w="15" w:type="dxa"/>
            </w:tcMar>
            <w:vAlign w:val="bottom"/>
            <w:hideMark/>
          </w:tcPr>
          <w:p w14:paraId="2997E9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6797" w:type="dxa"/>
            <w:shd w:val="clear" w:color="auto" w:fill="CCECFF"/>
            <w:tcMar>
              <w:top w:w="15" w:type="dxa"/>
              <w:left w:w="0" w:type="dxa"/>
              <w:bottom w:w="0" w:type="dxa"/>
              <w:right w:w="15" w:type="dxa"/>
            </w:tcMar>
            <w:vAlign w:val="bottom"/>
            <w:hideMark/>
          </w:tcPr>
          <w:p w14:paraId="43E7F900"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41-50</w:t>
            </w:r>
          </w:p>
        </w:tc>
        <w:tc>
          <w:tcPr>
            <w:tcW w:w="7197" w:type="dxa"/>
            <w:shd w:val="clear" w:color="auto" w:fill="CCECFF"/>
            <w:tcMar>
              <w:top w:w="15" w:type="dxa"/>
              <w:left w:w="0" w:type="dxa"/>
              <w:bottom w:w="0" w:type="dxa"/>
              <w:right w:w="15" w:type="dxa"/>
            </w:tcMar>
            <w:vAlign w:val="bottom"/>
            <w:hideMark/>
          </w:tcPr>
          <w:p w14:paraId="35485DFA"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10%</w:t>
            </w:r>
          </w:p>
        </w:tc>
        <w:tc>
          <w:tcPr>
            <w:tcW w:w="191" w:type="dxa"/>
            <w:shd w:val="clear" w:color="auto" w:fill="CCECFF"/>
            <w:noWrap/>
            <w:tcMar>
              <w:top w:w="15" w:type="dxa"/>
              <w:left w:w="0" w:type="dxa"/>
              <w:bottom w:w="0" w:type="dxa"/>
              <w:right w:w="15" w:type="dxa"/>
            </w:tcMar>
            <w:vAlign w:val="bottom"/>
            <w:hideMark/>
          </w:tcPr>
          <w:p w14:paraId="344A05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E1614CE" w14:textId="77777777" w:rsidTr="00AC4931">
        <w:tc>
          <w:tcPr>
            <w:tcW w:w="6162" w:type="dxa"/>
            <w:shd w:val="clear" w:color="auto" w:fill="FFFFFF"/>
            <w:tcMar>
              <w:top w:w="15" w:type="dxa"/>
              <w:left w:w="0" w:type="dxa"/>
              <w:bottom w:w="0" w:type="dxa"/>
              <w:right w:w="15" w:type="dxa"/>
            </w:tcMar>
            <w:vAlign w:val="bottom"/>
            <w:hideMark/>
          </w:tcPr>
          <w:p w14:paraId="079B06C3"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16%</w:t>
            </w:r>
          </w:p>
        </w:tc>
        <w:tc>
          <w:tcPr>
            <w:tcW w:w="191" w:type="dxa"/>
            <w:shd w:val="clear" w:color="auto" w:fill="FFFFFF"/>
            <w:noWrap/>
            <w:tcMar>
              <w:top w:w="15" w:type="dxa"/>
              <w:left w:w="0" w:type="dxa"/>
              <w:bottom w:w="0" w:type="dxa"/>
              <w:right w:w="15" w:type="dxa"/>
            </w:tcMar>
            <w:vAlign w:val="bottom"/>
            <w:hideMark/>
          </w:tcPr>
          <w:p w14:paraId="615F1D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6797" w:type="dxa"/>
            <w:shd w:val="clear" w:color="auto" w:fill="FFFFFF"/>
            <w:tcMar>
              <w:top w:w="15" w:type="dxa"/>
              <w:left w:w="0" w:type="dxa"/>
              <w:bottom w:w="0" w:type="dxa"/>
              <w:right w:w="15" w:type="dxa"/>
            </w:tcMar>
            <w:vAlign w:val="bottom"/>
            <w:hideMark/>
          </w:tcPr>
          <w:p w14:paraId="1905A127"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31-40</w:t>
            </w:r>
          </w:p>
        </w:tc>
        <w:tc>
          <w:tcPr>
            <w:tcW w:w="7197" w:type="dxa"/>
            <w:shd w:val="clear" w:color="auto" w:fill="FFFFFF"/>
            <w:tcMar>
              <w:top w:w="15" w:type="dxa"/>
              <w:left w:w="0" w:type="dxa"/>
              <w:bottom w:w="0" w:type="dxa"/>
              <w:right w:w="15" w:type="dxa"/>
            </w:tcMar>
            <w:vAlign w:val="bottom"/>
            <w:hideMark/>
          </w:tcPr>
          <w:p w14:paraId="08040A7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15%</w:t>
            </w:r>
          </w:p>
        </w:tc>
        <w:tc>
          <w:tcPr>
            <w:tcW w:w="191" w:type="dxa"/>
            <w:shd w:val="clear" w:color="auto" w:fill="FFFFFF"/>
            <w:noWrap/>
            <w:tcMar>
              <w:top w:w="15" w:type="dxa"/>
              <w:left w:w="0" w:type="dxa"/>
              <w:bottom w:w="0" w:type="dxa"/>
              <w:right w:w="15" w:type="dxa"/>
            </w:tcMar>
            <w:vAlign w:val="bottom"/>
            <w:hideMark/>
          </w:tcPr>
          <w:p w14:paraId="1E1170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4F1F758" w14:textId="77777777" w:rsidTr="00AC4931">
        <w:tc>
          <w:tcPr>
            <w:tcW w:w="6162" w:type="dxa"/>
            <w:shd w:val="clear" w:color="auto" w:fill="CCECFF"/>
            <w:tcMar>
              <w:top w:w="15" w:type="dxa"/>
              <w:left w:w="0" w:type="dxa"/>
              <w:bottom w:w="0" w:type="dxa"/>
              <w:right w:w="15" w:type="dxa"/>
            </w:tcMar>
            <w:vAlign w:val="bottom"/>
            <w:hideMark/>
          </w:tcPr>
          <w:p w14:paraId="5028D3B0"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18%</w:t>
            </w:r>
          </w:p>
        </w:tc>
        <w:tc>
          <w:tcPr>
            <w:tcW w:w="191" w:type="dxa"/>
            <w:shd w:val="clear" w:color="auto" w:fill="CCECFF"/>
            <w:noWrap/>
            <w:tcMar>
              <w:top w:w="15" w:type="dxa"/>
              <w:left w:w="0" w:type="dxa"/>
              <w:bottom w:w="0" w:type="dxa"/>
              <w:right w:w="15" w:type="dxa"/>
            </w:tcMar>
            <w:vAlign w:val="bottom"/>
            <w:hideMark/>
          </w:tcPr>
          <w:p w14:paraId="494DF1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6797" w:type="dxa"/>
            <w:shd w:val="clear" w:color="auto" w:fill="CCECFF"/>
            <w:tcMar>
              <w:top w:w="15" w:type="dxa"/>
              <w:left w:w="0" w:type="dxa"/>
              <w:bottom w:w="0" w:type="dxa"/>
              <w:right w:w="15" w:type="dxa"/>
            </w:tcMar>
            <w:vAlign w:val="bottom"/>
            <w:hideMark/>
          </w:tcPr>
          <w:p w14:paraId="4E2D6783"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21-30</w:t>
            </w:r>
          </w:p>
        </w:tc>
        <w:tc>
          <w:tcPr>
            <w:tcW w:w="7197" w:type="dxa"/>
            <w:shd w:val="clear" w:color="auto" w:fill="CCECFF"/>
            <w:tcMar>
              <w:top w:w="15" w:type="dxa"/>
              <w:left w:w="0" w:type="dxa"/>
              <w:bottom w:w="0" w:type="dxa"/>
              <w:right w:w="15" w:type="dxa"/>
            </w:tcMar>
            <w:vAlign w:val="bottom"/>
            <w:hideMark/>
          </w:tcPr>
          <w:p w14:paraId="3EE8F411"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15%</w:t>
            </w:r>
          </w:p>
        </w:tc>
        <w:tc>
          <w:tcPr>
            <w:tcW w:w="191" w:type="dxa"/>
            <w:shd w:val="clear" w:color="auto" w:fill="CCECFF"/>
            <w:noWrap/>
            <w:tcMar>
              <w:top w:w="15" w:type="dxa"/>
              <w:left w:w="0" w:type="dxa"/>
              <w:bottom w:w="0" w:type="dxa"/>
              <w:right w:w="15" w:type="dxa"/>
            </w:tcMar>
            <w:vAlign w:val="bottom"/>
            <w:hideMark/>
          </w:tcPr>
          <w:p w14:paraId="09E804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4862F16" w14:textId="77777777" w:rsidTr="00AC4931">
        <w:tc>
          <w:tcPr>
            <w:tcW w:w="6162" w:type="dxa"/>
            <w:shd w:val="clear" w:color="auto" w:fill="FFFFFF"/>
            <w:tcMar>
              <w:top w:w="15" w:type="dxa"/>
              <w:left w:w="0" w:type="dxa"/>
              <w:bottom w:w="0" w:type="dxa"/>
              <w:right w:w="15" w:type="dxa"/>
            </w:tcMar>
            <w:vAlign w:val="bottom"/>
            <w:hideMark/>
          </w:tcPr>
          <w:p w14:paraId="71AAB0A6"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2%</w:t>
            </w:r>
          </w:p>
        </w:tc>
        <w:tc>
          <w:tcPr>
            <w:tcW w:w="191" w:type="dxa"/>
            <w:shd w:val="clear" w:color="auto" w:fill="FFFFFF"/>
            <w:noWrap/>
            <w:tcMar>
              <w:top w:w="15" w:type="dxa"/>
              <w:left w:w="0" w:type="dxa"/>
              <w:bottom w:w="0" w:type="dxa"/>
              <w:right w:w="15" w:type="dxa"/>
            </w:tcMar>
            <w:vAlign w:val="bottom"/>
            <w:hideMark/>
          </w:tcPr>
          <w:p w14:paraId="3C47CD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6797" w:type="dxa"/>
            <w:shd w:val="clear" w:color="auto" w:fill="FFFFFF"/>
            <w:tcMar>
              <w:top w:w="15" w:type="dxa"/>
              <w:left w:w="0" w:type="dxa"/>
              <w:bottom w:w="0" w:type="dxa"/>
              <w:right w:w="15" w:type="dxa"/>
            </w:tcMar>
            <w:vAlign w:val="bottom"/>
            <w:hideMark/>
          </w:tcPr>
          <w:p w14:paraId="29A9A1E4"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&lt;20</w:t>
            </w:r>
          </w:p>
        </w:tc>
        <w:tc>
          <w:tcPr>
            <w:tcW w:w="7197" w:type="dxa"/>
            <w:shd w:val="clear" w:color="auto" w:fill="FFFFFF"/>
            <w:tcMar>
              <w:top w:w="15" w:type="dxa"/>
              <w:left w:w="0" w:type="dxa"/>
              <w:bottom w:w="0" w:type="dxa"/>
              <w:right w:w="15" w:type="dxa"/>
            </w:tcMar>
            <w:vAlign w:val="bottom"/>
            <w:hideMark/>
          </w:tcPr>
          <w:p w14:paraId="6BB464F8"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2%</w:t>
            </w:r>
          </w:p>
        </w:tc>
        <w:tc>
          <w:tcPr>
            <w:tcW w:w="191" w:type="dxa"/>
            <w:shd w:val="clear" w:color="auto" w:fill="FFFFFF"/>
            <w:noWrap/>
            <w:tcMar>
              <w:top w:w="15" w:type="dxa"/>
              <w:left w:w="0" w:type="dxa"/>
              <w:bottom w:w="0" w:type="dxa"/>
              <w:right w:w="15" w:type="dxa"/>
            </w:tcMar>
            <w:vAlign w:val="bottom"/>
            <w:hideMark/>
          </w:tcPr>
          <w:p w14:paraId="02926054"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6AC93E27"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As of December 31, 2019, Autoliv and its subsidiaries had approximately 59,000 employees and approximately 6,000 temporary personnel for a total of 68,0000 personnel.  </w:t>
      </w:r>
    </w:p>
    <w:p w14:paraId="456242DF"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5AC43A5"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8</w:t>
      </w:r>
    </w:p>
    <w:p w14:paraId="1CABFA9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CB9510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C66D2D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FB32C4A"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6FB5BA7">
          <v:rect id="_x0000_i1033" style="width:0;height:1.5pt" o:hralign="center" o:hrstd="t" o:hrnoshade="t" o:hr="t" fillcolor="black" stroked="f"/>
        </w:pict>
      </w:r>
    </w:p>
    <w:p w14:paraId="27B6F6D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128556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361D65D"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B69AE97"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705B939F"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43B2085" w14:textId="77777777" w:rsidR="00AC4931" w:rsidRPr="00AC4931" w:rsidRDefault="00AC4931" w:rsidP="00AC4931">
      <w:pPr>
        <w:widowControl/>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u w:val="single"/>
        </w:rPr>
        <w:t>Key Performance Indicators (KPI)</w:t>
      </w:r>
    </w:p>
    <w:p w14:paraId="6B5B3534"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2514F026"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The table below reflects certain KPIs on which the Company is particularly focused on with respect to the management of its workforce.</w:t>
      </w:r>
    </w:p>
    <w:p w14:paraId="2F4D96C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5938"/>
        <w:gridCol w:w="199"/>
        <w:gridCol w:w="1872"/>
        <w:gridCol w:w="199"/>
        <w:gridCol w:w="199"/>
        <w:gridCol w:w="2007"/>
        <w:gridCol w:w="200"/>
      </w:tblGrid>
      <w:tr w:rsidR="00AC4931" w:rsidRPr="00AC4931" w14:paraId="5FB81F5D" w14:textId="77777777" w:rsidTr="00AC4931">
        <w:tc>
          <w:tcPr>
            <w:tcW w:w="15931" w:type="dxa"/>
            <w:tcBorders>
              <w:bottom w:val="single" w:sz="6" w:space="0" w:color="000000"/>
              <w:right w:val="single" w:sz="6" w:space="0" w:color="FFFFFF"/>
            </w:tcBorders>
            <w:shd w:val="clear" w:color="auto" w:fill="FFFFFF"/>
            <w:tcMar>
              <w:top w:w="15" w:type="dxa"/>
              <w:left w:w="0" w:type="dxa"/>
              <w:bottom w:w="0" w:type="dxa"/>
              <w:right w:w="15" w:type="dxa"/>
            </w:tcMar>
            <w:vAlign w:val="center"/>
            <w:hideMark/>
          </w:tcPr>
          <w:p w14:paraId="4E9E3A3E" w14:textId="77777777" w:rsidR="00AC4931" w:rsidRPr="00AC4931" w:rsidRDefault="00AC4931" w:rsidP="00AC4931">
            <w:pPr>
              <w:widowControl/>
              <w:jc w:val="left"/>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rPr>
              <w:t>KPI</w:t>
            </w:r>
          </w:p>
        </w:tc>
        <w:tc>
          <w:tcPr>
            <w:tcW w:w="2059" w:type="dxa"/>
            <w:gridSpan w:val="2"/>
            <w:tcBorders>
              <w:left w:val="single" w:sz="6" w:space="0" w:color="FFFFFF"/>
              <w:bottom w:val="single" w:sz="6" w:space="0" w:color="000000"/>
            </w:tcBorders>
            <w:shd w:val="clear" w:color="auto" w:fill="FFFFFF"/>
            <w:tcMar>
              <w:top w:w="15" w:type="dxa"/>
              <w:left w:w="0" w:type="dxa"/>
              <w:bottom w:w="0" w:type="dxa"/>
              <w:right w:w="15" w:type="dxa"/>
            </w:tcMar>
            <w:vAlign w:val="center"/>
            <w:hideMark/>
          </w:tcPr>
          <w:p w14:paraId="272D3038"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87" w:type="dxa"/>
            <w:shd w:val="clear" w:color="auto" w:fill="FFFFFF"/>
            <w:noWrap/>
            <w:tcMar>
              <w:top w:w="15" w:type="dxa"/>
              <w:left w:w="0" w:type="dxa"/>
              <w:bottom w:w="0" w:type="dxa"/>
              <w:right w:w="15" w:type="dxa"/>
            </w:tcMar>
            <w:vAlign w:val="center"/>
            <w:hideMark/>
          </w:tcPr>
          <w:p w14:paraId="0B9FAA1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50" w:type="dxa"/>
            <w:gridSpan w:val="2"/>
            <w:tcBorders>
              <w:left w:val="single" w:sz="6" w:space="0" w:color="FFFFFF"/>
              <w:bottom w:val="single" w:sz="6" w:space="0" w:color="000000"/>
            </w:tcBorders>
            <w:shd w:val="clear" w:color="auto" w:fill="FFFFFF"/>
            <w:tcMar>
              <w:top w:w="15" w:type="dxa"/>
              <w:left w:w="0" w:type="dxa"/>
              <w:bottom w:w="0" w:type="dxa"/>
              <w:right w:w="15" w:type="dxa"/>
            </w:tcMar>
            <w:vAlign w:val="center"/>
            <w:hideMark/>
          </w:tcPr>
          <w:p w14:paraId="074BF9DD"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2" w:type="dxa"/>
            <w:shd w:val="clear" w:color="auto" w:fill="FFFFFF"/>
            <w:noWrap/>
            <w:tcMar>
              <w:top w:w="15" w:type="dxa"/>
              <w:left w:w="0" w:type="dxa"/>
              <w:bottom w:w="0" w:type="dxa"/>
              <w:right w:w="15" w:type="dxa"/>
            </w:tcMar>
            <w:vAlign w:val="center"/>
            <w:hideMark/>
          </w:tcPr>
          <w:p w14:paraId="08BD42C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C8E5B7B" w14:textId="77777777" w:rsidTr="00AC4931">
        <w:tc>
          <w:tcPr>
            <w:tcW w:w="15936" w:type="dxa"/>
            <w:tcBorders>
              <w:top w:val="single" w:sz="6" w:space="0" w:color="000000"/>
            </w:tcBorders>
            <w:shd w:val="clear" w:color="auto" w:fill="CCECFF"/>
            <w:tcMar>
              <w:top w:w="15" w:type="dxa"/>
              <w:left w:w="0" w:type="dxa"/>
              <w:bottom w:w="0" w:type="dxa"/>
              <w:right w:w="15" w:type="dxa"/>
            </w:tcMar>
            <w:vAlign w:val="center"/>
            <w:hideMark/>
          </w:tcPr>
          <w:p w14:paraId="359826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of Autoliv facilities certified (OHSAS 18001 or ISO 45001)</w:t>
            </w:r>
          </w:p>
        </w:tc>
        <w:tc>
          <w:tcPr>
            <w:tcW w:w="2063" w:type="dxa"/>
            <w:gridSpan w:val="2"/>
            <w:tcBorders>
              <w:top w:val="single" w:sz="6" w:space="0" w:color="000000"/>
            </w:tcBorders>
            <w:shd w:val="clear" w:color="auto" w:fill="CCECFF"/>
            <w:tcMar>
              <w:top w:w="15" w:type="dxa"/>
              <w:left w:w="0" w:type="dxa"/>
              <w:bottom w:w="0" w:type="dxa"/>
              <w:right w:w="15" w:type="dxa"/>
            </w:tcMar>
            <w:vAlign w:val="center"/>
            <w:hideMark/>
          </w:tcPr>
          <w:p w14:paraId="29145AA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w:t>
            </w:r>
          </w:p>
        </w:tc>
        <w:tc>
          <w:tcPr>
            <w:tcW w:w="191" w:type="dxa"/>
            <w:shd w:val="clear" w:color="auto" w:fill="CCECFF"/>
            <w:noWrap/>
            <w:tcMar>
              <w:top w:w="15" w:type="dxa"/>
              <w:left w:w="0" w:type="dxa"/>
              <w:bottom w:w="0" w:type="dxa"/>
              <w:right w:w="15" w:type="dxa"/>
            </w:tcMar>
            <w:vAlign w:val="center"/>
            <w:hideMark/>
          </w:tcPr>
          <w:p w14:paraId="0CE6F2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54" w:type="dxa"/>
            <w:gridSpan w:val="2"/>
            <w:tcBorders>
              <w:top w:val="single" w:sz="6" w:space="0" w:color="000000"/>
            </w:tcBorders>
            <w:shd w:val="clear" w:color="auto" w:fill="CCECFF"/>
            <w:tcMar>
              <w:top w:w="15" w:type="dxa"/>
              <w:left w:w="0" w:type="dxa"/>
              <w:bottom w:w="0" w:type="dxa"/>
              <w:right w:w="15" w:type="dxa"/>
            </w:tcMar>
            <w:vAlign w:val="center"/>
            <w:hideMark/>
          </w:tcPr>
          <w:p w14:paraId="12EBD17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w:t>
            </w:r>
          </w:p>
        </w:tc>
        <w:tc>
          <w:tcPr>
            <w:tcW w:w="192" w:type="dxa"/>
            <w:shd w:val="clear" w:color="auto" w:fill="CCECFF"/>
            <w:noWrap/>
            <w:tcMar>
              <w:top w:w="15" w:type="dxa"/>
              <w:left w:w="0" w:type="dxa"/>
              <w:bottom w:w="0" w:type="dxa"/>
              <w:right w:w="15" w:type="dxa"/>
            </w:tcMar>
            <w:vAlign w:val="center"/>
            <w:hideMark/>
          </w:tcPr>
          <w:p w14:paraId="7BD099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E964EFF" w14:textId="77777777" w:rsidTr="00AC4931">
        <w:tc>
          <w:tcPr>
            <w:tcW w:w="15927" w:type="dxa"/>
            <w:tcBorders>
              <w:left w:val="single" w:sz="6" w:space="0" w:color="FFFFFF"/>
              <w:right w:val="single" w:sz="6" w:space="0" w:color="FFFFFF"/>
            </w:tcBorders>
            <w:shd w:val="clear" w:color="auto" w:fill="FFFFFF"/>
            <w:tcMar>
              <w:top w:w="15" w:type="dxa"/>
              <w:left w:w="0" w:type="dxa"/>
              <w:bottom w:w="0" w:type="dxa"/>
              <w:right w:w="15" w:type="dxa"/>
            </w:tcMar>
            <w:vAlign w:val="center"/>
            <w:hideMark/>
          </w:tcPr>
          <w:p w14:paraId="4C5839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Incident rate</w:t>
            </w:r>
            <w:r w:rsidRPr="00AC4931">
              <w:rPr>
                <w:rFonts w:ascii="Arial" w:eastAsia="宋体" w:hAnsi="Arial" w:cs="Arial"/>
                <w:color w:val="000000"/>
                <w:kern w:val="0"/>
                <w:sz w:val="18"/>
                <w:szCs w:val="18"/>
                <w:vertAlign w:val="superscript"/>
              </w:rPr>
              <w:t>1)</w:t>
            </w:r>
          </w:p>
        </w:tc>
        <w:tc>
          <w:tcPr>
            <w:tcW w:w="2059" w:type="dxa"/>
            <w:gridSpan w:val="2"/>
            <w:tcBorders>
              <w:left w:val="single" w:sz="6" w:space="0" w:color="FFFFFF"/>
            </w:tcBorders>
            <w:shd w:val="clear" w:color="auto" w:fill="FFFFFF"/>
            <w:tcMar>
              <w:top w:w="15" w:type="dxa"/>
              <w:left w:w="0" w:type="dxa"/>
              <w:bottom w:w="0" w:type="dxa"/>
              <w:right w:w="15" w:type="dxa"/>
            </w:tcMar>
            <w:vAlign w:val="center"/>
            <w:hideMark/>
          </w:tcPr>
          <w:p w14:paraId="6FB0349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0.48</w:t>
            </w:r>
          </w:p>
        </w:tc>
        <w:tc>
          <w:tcPr>
            <w:tcW w:w="187" w:type="dxa"/>
            <w:shd w:val="clear" w:color="auto" w:fill="FFFFFF"/>
            <w:noWrap/>
            <w:tcMar>
              <w:top w:w="15" w:type="dxa"/>
              <w:left w:w="0" w:type="dxa"/>
              <w:bottom w:w="0" w:type="dxa"/>
              <w:right w:w="15" w:type="dxa"/>
            </w:tcMar>
            <w:vAlign w:val="center"/>
            <w:hideMark/>
          </w:tcPr>
          <w:p w14:paraId="55DD66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50" w:type="dxa"/>
            <w:gridSpan w:val="2"/>
            <w:tcBorders>
              <w:left w:val="single" w:sz="6" w:space="0" w:color="FFFFFF"/>
            </w:tcBorders>
            <w:shd w:val="clear" w:color="auto" w:fill="FFFFFF"/>
            <w:tcMar>
              <w:top w:w="15" w:type="dxa"/>
              <w:left w:w="0" w:type="dxa"/>
              <w:bottom w:w="0" w:type="dxa"/>
              <w:right w:w="15" w:type="dxa"/>
            </w:tcMar>
            <w:vAlign w:val="center"/>
            <w:hideMark/>
          </w:tcPr>
          <w:p w14:paraId="29AD910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0.57</w:t>
            </w:r>
          </w:p>
        </w:tc>
        <w:tc>
          <w:tcPr>
            <w:tcW w:w="192" w:type="dxa"/>
            <w:shd w:val="clear" w:color="auto" w:fill="FFFFFF"/>
            <w:noWrap/>
            <w:tcMar>
              <w:top w:w="15" w:type="dxa"/>
              <w:left w:w="0" w:type="dxa"/>
              <w:bottom w:w="0" w:type="dxa"/>
              <w:right w:w="15" w:type="dxa"/>
            </w:tcMar>
            <w:vAlign w:val="center"/>
            <w:hideMark/>
          </w:tcPr>
          <w:p w14:paraId="02A066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4F46E29" w14:textId="77777777" w:rsidTr="00AC4931">
        <w:tc>
          <w:tcPr>
            <w:tcW w:w="15936" w:type="dxa"/>
            <w:shd w:val="clear" w:color="auto" w:fill="CCECFF"/>
            <w:tcMar>
              <w:top w:w="15" w:type="dxa"/>
              <w:left w:w="0" w:type="dxa"/>
              <w:bottom w:w="0" w:type="dxa"/>
              <w:right w:w="15" w:type="dxa"/>
            </w:tcMar>
            <w:vAlign w:val="center"/>
            <w:hideMark/>
          </w:tcPr>
          <w:p w14:paraId="476187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Severity rate</w:t>
            </w:r>
            <w:r w:rsidRPr="00AC4931">
              <w:rPr>
                <w:rFonts w:ascii="Arial" w:eastAsia="宋体" w:hAnsi="Arial" w:cs="Arial"/>
                <w:color w:val="000000"/>
                <w:kern w:val="0"/>
                <w:sz w:val="18"/>
                <w:szCs w:val="18"/>
                <w:vertAlign w:val="superscript"/>
              </w:rPr>
              <w:t>2)</w:t>
            </w:r>
          </w:p>
        </w:tc>
        <w:tc>
          <w:tcPr>
            <w:tcW w:w="2063" w:type="dxa"/>
            <w:gridSpan w:val="2"/>
            <w:shd w:val="clear" w:color="auto" w:fill="CCECFF"/>
            <w:tcMar>
              <w:top w:w="15" w:type="dxa"/>
              <w:left w:w="0" w:type="dxa"/>
              <w:bottom w:w="0" w:type="dxa"/>
              <w:right w:w="15" w:type="dxa"/>
            </w:tcMar>
            <w:vAlign w:val="center"/>
            <w:hideMark/>
          </w:tcPr>
          <w:p w14:paraId="0393263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4.26</w:t>
            </w:r>
          </w:p>
        </w:tc>
        <w:tc>
          <w:tcPr>
            <w:tcW w:w="191" w:type="dxa"/>
            <w:shd w:val="clear" w:color="auto" w:fill="CCECFF"/>
            <w:noWrap/>
            <w:tcMar>
              <w:top w:w="15" w:type="dxa"/>
              <w:left w:w="0" w:type="dxa"/>
              <w:bottom w:w="0" w:type="dxa"/>
              <w:right w:w="15" w:type="dxa"/>
            </w:tcMar>
            <w:vAlign w:val="center"/>
            <w:hideMark/>
          </w:tcPr>
          <w:p w14:paraId="3F2E22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54" w:type="dxa"/>
            <w:gridSpan w:val="2"/>
            <w:shd w:val="clear" w:color="auto" w:fill="CCECFF"/>
            <w:tcMar>
              <w:top w:w="15" w:type="dxa"/>
              <w:left w:w="0" w:type="dxa"/>
              <w:bottom w:w="0" w:type="dxa"/>
              <w:right w:w="15" w:type="dxa"/>
            </w:tcMar>
            <w:vAlign w:val="center"/>
            <w:hideMark/>
          </w:tcPr>
          <w:p w14:paraId="6800116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5.82</w:t>
            </w:r>
          </w:p>
        </w:tc>
        <w:tc>
          <w:tcPr>
            <w:tcW w:w="192" w:type="dxa"/>
            <w:shd w:val="clear" w:color="auto" w:fill="CCECFF"/>
            <w:noWrap/>
            <w:tcMar>
              <w:top w:w="15" w:type="dxa"/>
              <w:left w:w="0" w:type="dxa"/>
              <w:bottom w:w="0" w:type="dxa"/>
              <w:right w:w="15" w:type="dxa"/>
            </w:tcMar>
            <w:vAlign w:val="center"/>
            <w:hideMark/>
          </w:tcPr>
          <w:p w14:paraId="65A98F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41E003A" w14:textId="77777777" w:rsidTr="00AC4931">
        <w:tc>
          <w:tcPr>
            <w:tcW w:w="15936" w:type="dxa"/>
            <w:shd w:val="clear" w:color="auto" w:fill="FFFFFF"/>
            <w:tcMar>
              <w:top w:w="15" w:type="dxa"/>
              <w:left w:w="0" w:type="dxa"/>
              <w:bottom w:w="0" w:type="dxa"/>
              <w:right w:w="15" w:type="dxa"/>
            </w:tcMar>
            <w:vAlign w:val="center"/>
            <w:hideMark/>
          </w:tcPr>
          <w:p w14:paraId="2032EA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Zero injuries facilities</w:t>
            </w:r>
            <w:r w:rsidRPr="00AC4931">
              <w:rPr>
                <w:rFonts w:ascii="Arial" w:eastAsia="宋体" w:hAnsi="Arial" w:cs="Arial"/>
                <w:color w:val="000000"/>
                <w:kern w:val="0"/>
                <w:sz w:val="18"/>
                <w:szCs w:val="18"/>
                <w:vertAlign w:val="superscript"/>
              </w:rPr>
              <w:t>3)</w:t>
            </w:r>
          </w:p>
        </w:tc>
        <w:tc>
          <w:tcPr>
            <w:tcW w:w="2063" w:type="dxa"/>
            <w:gridSpan w:val="2"/>
            <w:shd w:val="clear" w:color="auto" w:fill="FFFFFF"/>
            <w:tcMar>
              <w:top w:w="15" w:type="dxa"/>
              <w:left w:w="0" w:type="dxa"/>
              <w:bottom w:w="0" w:type="dxa"/>
              <w:right w:w="15" w:type="dxa"/>
            </w:tcMar>
            <w:vAlign w:val="center"/>
            <w:hideMark/>
          </w:tcPr>
          <w:p w14:paraId="5C51341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w:t>
            </w:r>
          </w:p>
        </w:tc>
        <w:tc>
          <w:tcPr>
            <w:tcW w:w="191" w:type="dxa"/>
            <w:shd w:val="clear" w:color="auto" w:fill="FFFFFF"/>
            <w:noWrap/>
            <w:tcMar>
              <w:top w:w="15" w:type="dxa"/>
              <w:left w:w="0" w:type="dxa"/>
              <w:bottom w:w="0" w:type="dxa"/>
              <w:right w:w="15" w:type="dxa"/>
            </w:tcMar>
            <w:vAlign w:val="center"/>
            <w:hideMark/>
          </w:tcPr>
          <w:p w14:paraId="324797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54" w:type="dxa"/>
            <w:gridSpan w:val="2"/>
            <w:shd w:val="clear" w:color="auto" w:fill="FFFFFF"/>
            <w:tcMar>
              <w:top w:w="15" w:type="dxa"/>
              <w:left w:w="0" w:type="dxa"/>
              <w:bottom w:w="0" w:type="dxa"/>
              <w:right w:w="15" w:type="dxa"/>
            </w:tcMar>
            <w:vAlign w:val="center"/>
            <w:hideMark/>
          </w:tcPr>
          <w:p w14:paraId="7F9706E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w:t>
            </w:r>
          </w:p>
        </w:tc>
        <w:tc>
          <w:tcPr>
            <w:tcW w:w="192" w:type="dxa"/>
            <w:shd w:val="clear" w:color="auto" w:fill="FFFFFF"/>
            <w:noWrap/>
            <w:tcMar>
              <w:top w:w="15" w:type="dxa"/>
              <w:left w:w="0" w:type="dxa"/>
              <w:bottom w:w="0" w:type="dxa"/>
              <w:right w:w="15" w:type="dxa"/>
            </w:tcMar>
            <w:vAlign w:val="center"/>
            <w:hideMark/>
          </w:tcPr>
          <w:p w14:paraId="5FEFF8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457AE6A" w14:textId="77777777" w:rsidTr="00AC4931">
        <w:tc>
          <w:tcPr>
            <w:tcW w:w="15936" w:type="dxa"/>
            <w:shd w:val="clear" w:color="auto" w:fill="CCECFF"/>
            <w:tcMar>
              <w:top w:w="15" w:type="dxa"/>
              <w:left w:w="0" w:type="dxa"/>
              <w:bottom w:w="0" w:type="dxa"/>
              <w:right w:w="15" w:type="dxa"/>
            </w:tcMar>
            <w:vAlign w:val="center"/>
            <w:hideMark/>
          </w:tcPr>
          <w:p w14:paraId="5DFB78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women in workforce</w:t>
            </w:r>
          </w:p>
        </w:tc>
        <w:tc>
          <w:tcPr>
            <w:tcW w:w="2063" w:type="dxa"/>
            <w:gridSpan w:val="2"/>
            <w:shd w:val="clear" w:color="auto" w:fill="CCECFF"/>
            <w:tcMar>
              <w:top w:w="15" w:type="dxa"/>
              <w:left w:w="0" w:type="dxa"/>
              <w:bottom w:w="0" w:type="dxa"/>
              <w:right w:w="15" w:type="dxa"/>
            </w:tcMar>
            <w:vAlign w:val="center"/>
            <w:hideMark/>
          </w:tcPr>
          <w:p w14:paraId="13581D7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w:t>
            </w:r>
          </w:p>
        </w:tc>
        <w:tc>
          <w:tcPr>
            <w:tcW w:w="191" w:type="dxa"/>
            <w:shd w:val="clear" w:color="auto" w:fill="CCECFF"/>
            <w:noWrap/>
            <w:tcMar>
              <w:top w:w="15" w:type="dxa"/>
              <w:left w:w="0" w:type="dxa"/>
              <w:bottom w:w="0" w:type="dxa"/>
              <w:right w:w="15" w:type="dxa"/>
            </w:tcMar>
            <w:vAlign w:val="center"/>
            <w:hideMark/>
          </w:tcPr>
          <w:p w14:paraId="366FF3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54" w:type="dxa"/>
            <w:gridSpan w:val="2"/>
            <w:shd w:val="clear" w:color="auto" w:fill="CCECFF"/>
            <w:tcMar>
              <w:top w:w="15" w:type="dxa"/>
              <w:left w:w="0" w:type="dxa"/>
              <w:bottom w:w="0" w:type="dxa"/>
              <w:right w:w="15" w:type="dxa"/>
            </w:tcMar>
            <w:vAlign w:val="center"/>
            <w:hideMark/>
          </w:tcPr>
          <w:p w14:paraId="7FD0794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w:t>
            </w:r>
          </w:p>
        </w:tc>
        <w:tc>
          <w:tcPr>
            <w:tcW w:w="192" w:type="dxa"/>
            <w:shd w:val="clear" w:color="auto" w:fill="CCECFF"/>
            <w:noWrap/>
            <w:tcMar>
              <w:top w:w="15" w:type="dxa"/>
              <w:left w:w="0" w:type="dxa"/>
              <w:bottom w:w="0" w:type="dxa"/>
              <w:right w:w="15" w:type="dxa"/>
            </w:tcMar>
            <w:vAlign w:val="center"/>
            <w:hideMark/>
          </w:tcPr>
          <w:p w14:paraId="7BC9B5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57297C8" w14:textId="77777777" w:rsidTr="00AC4931">
        <w:tc>
          <w:tcPr>
            <w:tcW w:w="15936" w:type="dxa"/>
            <w:shd w:val="clear" w:color="auto" w:fill="FFFFFF"/>
            <w:tcMar>
              <w:top w:w="15" w:type="dxa"/>
              <w:left w:w="0" w:type="dxa"/>
              <w:bottom w:w="0" w:type="dxa"/>
              <w:right w:w="15" w:type="dxa"/>
            </w:tcMar>
            <w:vAlign w:val="center"/>
            <w:hideMark/>
          </w:tcPr>
          <w:p w14:paraId="32CAC3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women in senior management positions</w:t>
            </w:r>
          </w:p>
        </w:tc>
        <w:tc>
          <w:tcPr>
            <w:tcW w:w="2063" w:type="dxa"/>
            <w:gridSpan w:val="2"/>
            <w:shd w:val="clear" w:color="auto" w:fill="FFFFFF"/>
            <w:tcMar>
              <w:top w:w="15" w:type="dxa"/>
              <w:left w:w="0" w:type="dxa"/>
              <w:bottom w:w="0" w:type="dxa"/>
              <w:right w:w="15" w:type="dxa"/>
            </w:tcMar>
            <w:vAlign w:val="center"/>
            <w:hideMark/>
          </w:tcPr>
          <w:p w14:paraId="27BE62B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w:t>
            </w:r>
          </w:p>
        </w:tc>
        <w:tc>
          <w:tcPr>
            <w:tcW w:w="191" w:type="dxa"/>
            <w:shd w:val="clear" w:color="auto" w:fill="FFFFFF"/>
            <w:noWrap/>
            <w:tcMar>
              <w:top w:w="15" w:type="dxa"/>
              <w:left w:w="0" w:type="dxa"/>
              <w:bottom w:w="0" w:type="dxa"/>
              <w:right w:w="15" w:type="dxa"/>
            </w:tcMar>
            <w:vAlign w:val="center"/>
            <w:hideMark/>
          </w:tcPr>
          <w:p w14:paraId="4DDD6D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54" w:type="dxa"/>
            <w:gridSpan w:val="2"/>
            <w:shd w:val="clear" w:color="auto" w:fill="FFFFFF"/>
            <w:tcMar>
              <w:top w:w="15" w:type="dxa"/>
              <w:left w:w="0" w:type="dxa"/>
              <w:bottom w:w="0" w:type="dxa"/>
              <w:right w:w="15" w:type="dxa"/>
            </w:tcMar>
            <w:vAlign w:val="center"/>
            <w:hideMark/>
          </w:tcPr>
          <w:p w14:paraId="42D100D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tc>
        <w:tc>
          <w:tcPr>
            <w:tcW w:w="192" w:type="dxa"/>
            <w:shd w:val="clear" w:color="auto" w:fill="FFFFFF"/>
            <w:noWrap/>
            <w:tcMar>
              <w:top w:w="15" w:type="dxa"/>
              <w:left w:w="0" w:type="dxa"/>
              <w:bottom w:w="0" w:type="dxa"/>
              <w:right w:w="15" w:type="dxa"/>
            </w:tcMar>
            <w:vAlign w:val="center"/>
            <w:hideMark/>
          </w:tcPr>
          <w:p w14:paraId="671902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376AF3D" w14:textId="77777777" w:rsidTr="00AC4931">
        <w:tc>
          <w:tcPr>
            <w:tcW w:w="15936" w:type="dxa"/>
            <w:shd w:val="clear" w:color="auto" w:fill="CCECFF"/>
            <w:tcMar>
              <w:top w:w="15" w:type="dxa"/>
              <w:left w:w="0" w:type="dxa"/>
              <w:bottom w:w="0" w:type="dxa"/>
              <w:right w:w="15" w:type="dxa"/>
            </w:tcMar>
            <w:vAlign w:val="center"/>
            <w:hideMark/>
          </w:tcPr>
          <w:p w14:paraId="5835A2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PDD rate</w:t>
            </w:r>
            <w:r w:rsidRPr="00AC4931">
              <w:rPr>
                <w:rFonts w:ascii="Arial" w:eastAsia="宋体" w:hAnsi="Arial" w:cs="Arial"/>
                <w:color w:val="000000"/>
                <w:kern w:val="0"/>
                <w:sz w:val="18"/>
                <w:szCs w:val="18"/>
                <w:vertAlign w:val="superscript"/>
              </w:rPr>
              <w:t>4)</w:t>
            </w:r>
          </w:p>
        </w:tc>
        <w:tc>
          <w:tcPr>
            <w:tcW w:w="2063" w:type="dxa"/>
            <w:gridSpan w:val="2"/>
            <w:shd w:val="clear" w:color="auto" w:fill="CCECFF"/>
            <w:tcMar>
              <w:top w:w="15" w:type="dxa"/>
              <w:left w:w="0" w:type="dxa"/>
              <w:bottom w:w="0" w:type="dxa"/>
              <w:right w:w="15" w:type="dxa"/>
            </w:tcMar>
            <w:vAlign w:val="center"/>
            <w:hideMark/>
          </w:tcPr>
          <w:p w14:paraId="1CAA05B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Close to 100</w:t>
            </w:r>
          </w:p>
        </w:tc>
        <w:tc>
          <w:tcPr>
            <w:tcW w:w="191" w:type="dxa"/>
            <w:shd w:val="clear" w:color="auto" w:fill="CCECFF"/>
            <w:noWrap/>
            <w:tcMar>
              <w:top w:w="15" w:type="dxa"/>
              <w:left w:w="0" w:type="dxa"/>
              <w:bottom w:w="0" w:type="dxa"/>
              <w:right w:w="15" w:type="dxa"/>
            </w:tcMar>
            <w:vAlign w:val="center"/>
            <w:hideMark/>
          </w:tcPr>
          <w:p w14:paraId="41A924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54" w:type="dxa"/>
            <w:gridSpan w:val="2"/>
            <w:shd w:val="clear" w:color="auto" w:fill="CCECFF"/>
            <w:tcMar>
              <w:top w:w="15" w:type="dxa"/>
              <w:left w:w="0" w:type="dxa"/>
              <w:bottom w:w="0" w:type="dxa"/>
              <w:right w:w="15" w:type="dxa"/>
            </w:tcMar>
            <w:vAlign w:val="center"/>
            <w:hideMark/>
          </w:tcPr>
          <w:p w14:paraId="10EC197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99</w:t>
            </w:r>
          </w:p>
        </w:tc>
        <w:tc>
          <w:tcPr>
            <w:tcW w:w="192" w:type="dxa"/>
            <w:shd w:val="clear" w:color="auto" w:fill="CCECFF"/>
            <w:noWrap/>
            <w:tcMar>
              <w:top w:w="15" w:type="dxa"/>
              <w:left w:w="0" w:type="dxa"/>
              <w:bottom w:w="0" w:type="dxa"/>
              <w:right w:w="15" w:type="dxa"/>
            </w:tcMar>
            <w:vAlign w:val="center"/>
            <w:hideMark/>
          </w:tcPr>
          <w:p w14:paraId="4C9A38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41023D4" w14:textId="77777777" w:rsidTr="00AC4931">
        <w:tc>
          <w:tcPr>
            <w:tcW w:w="15936" w:type="dxa"/>
            <w:shd w:val="clear" w:color="auto" w:fill="FFFFFF"/>
            <w:tcMar>
              <w:top w:w="15" w:type="dxa"/>
              <w:left w:w="0" w:type="dxa"/>
              <w:bottom w:w="0" w:type="dxa"/>
              <w:right w:w="15" w:type="dxa"/>
            </w:tcMar>
            <w:vAlign w:val="center"/>
            <w:hideMark/>
          </w:tcPr>
          <w:p w14:paraId="0B2D93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No. of employees attended at least one training program</w:t>
            </w:r>
            <w:r w:rsidRPr="00AC4931">
              <w:rPr>
                <w:rFonts w:ascii="Arial" w:eastAsia="宋体" w:hAnsi="Arial" w:cs="Arial"/>
                <w:color w:val="000000"/>
                <w:kern w:val="0"/>
                <w:sz w:val="18"/>
                <w:szCs w:val="18"/>
                <w:vertAlign w:val="superscript"/>
              </w:rPr>
              <w:t>5)</w:t>
            </w:r>
          </w:p>
        </w:tc>
        <w:tc>
          <w:tcPr>
            <w:tcW w:w="191" w:type="dxa"/>
            <w:shd w:val="clear" w:color="auto" w:fill="FFFFFF"/>
            <w:noWrap/>
            <w:tcMar>
              <w:top w:w="15" w:type="dxa"/>
              <w:left w:w="0" w:type="dxa"/>
              <w:bottom w:w="0" w:type="dxa"/>
              <w:right w:w="15" w:type="dxa"/>
            </w:tcMar>
            <w:vAlign w:val="center"/>
            <w:hideMark/>
          </w:tcPr>
          <w:p w14:paraId="6E70FB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57" w:type="dxa"/>
            <w:shd w:val="clear" w:color="auto" w:fill="FFFFFF"/>
            <w:noWrap/>
            <w:tcMar>
              <w:top w:w="15" w:type="dxa"/>
              <w:left w:w="0" w:type="dxa"/>
              <w:bottom w:w="0" w:type="dxa"/>
              <w:right w:w="15" w:type="dxa"/>
            </w:tcMar>
            <w:vAlign w:val="center"/>
            <w:hideMark/>
          </w:tcPr>
          <w:p w14:paraId="7F5BFAC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1,500</w:t>
            </w:r>
          </w:p>
        </w:tc>
        <w:tc>
          <w:tcPr>
            <w:tcW w:w="191" w:type="dxa"/>
            <w:shd w:val="clear" w:color="auto" w:fill="FFFFFF"/>
            <w:noWrap/>
            <w:tcMar>
              <w:top w:w="15" w:type="dxa"/>
              <w:left w:w="0" w:type="dxa"/>
              <w:bottom w:w="0" w:type="dxa"/>
              <w:right w:w="15" w:type="dxa"/>
            </w:tcMar>
            <w:vAlign w:val="center"/>
            <w:hideMark/>
          </w:tcPr>
          <w:p w14:paraId="06B1D6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6F791D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8" w:type="dxa"/>
            <w:shd w:val="clear" w:color="auto" w:fill="FFFFFF"/>
            <w:noWrap/>
            <w:tcMar>
              <w:top w:w="15" w:type="dxa"/>
              <w:left w:w="0" w:type="dxa"/>
              <w:bottom w:w="0" w:type="dxa"/>
              <w:right w:w="15" w:type="dxa"/>
            </w:tcMar>
            <w:vAlign w:val="center"/>
            <w:hideMark/>
          </w:tcPr>
          <w:p w14:paraId="147FCD2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4,000</w:t>
            </w:r>
          </w:p>
        </w:tc>
        <w:tc>
          <w:tcPr>
            <w:tcW w:w="192" w:type="dxa"/>
            <w:shd w:val="clear" w:color="auto" w:fill="FFFFFF"/>
            <w:noWrap/>
            <w:tcMar>
              <w:top w:w="15" w:type="dxa"/>
              <w:left w:w="0" w:type="dxa"/>
              <w:bottom w:w="0" w:type="dxa"/>
              <w:right w:w="15" w:type="dxa"/>
            </w:tcMar>
            <w:vAlign w:val="center"/>
            <w:hideMark/>
          </w:tcPr>
          <w:p w14:paraId="05EDEF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987EC34" w14:textId="77777777" w:rsidTr="00AC4931">
        <w:tc>
          <w:tcPr>
            <w:tcW w:w="15936" w:type="dxa"/>
            <w:shd w:val="clear" w:color="auto" w:fill="FFFFFF"/>
            <w:tcMar>
              <w:top w:w="15" w:type="dxa"/>
              <w:left w:w="0" w:type="dxa"/>
              <w:bottom w:w="0" w:type="dxa"/>
              <w:right w:w="15" w:type="dxa"/>
            </w:tcMar>
            <w:vAlign w:val="center"/>
            <w:hideMark/>
          </w:tcPr>
          <w:p w14:paraId="4A3B32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5BFB82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57" w:type="dxa"/>
            <w:shd w:val="clear" w:color="auto" w:fill="FFFFFF"/>
            <w:noWrap/>
            <w:tcMar>
              <w:top w:w="15" w:type="dxa"/>
              <w:left w:w="0" w:type="dxa"/>
              <w:bottom w:w="0" w:type="dxa"/>
              <w:right w:w="15" w:type="dxa"/>
            </w:tcMar>
            <w:vAlign w:val="center"/>
            <w:hideMark/>
          </w:tcPr>
          <w:p w14:paraId="5AB8ED1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036C3F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6ADE61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8" w:type="dxa"/>
            <w:shd w:val="clear" w:color="auto" w:fill="FFFFFF"/>
            <w:noWrap/>
            <w:tcMar>
              <w:top w:w="15" w:type="dxa"/>
              <w:left w:w="0" w:type="dxa"/>
              <w:bottom w:w="0" w:type="dxa"/>
              <w:right w:w="15" w:type="dxa"/>
            </w:tcMar>
            <w:vAlign w:val="center"/>
            <w:hideMark/>
          </w:tcPr>
          <w:p w14:paraId="7040577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FFFFFF"/>
            <w:noWrap/>
            <w:tcMar>
              <w:top w:w="15" w:type="dxa"/>
              <w:left w:w="0" w:type="dxa"/>
              <w:bottom w:w="0" w:type="dxa"/>
              <w:right w:w="15" w:type="dxa"/>
            </w:tcMar>
            <w:vAlign w:val="center"/>
            <w:hideMark/>
          </w:tcPr>
          <w:p w14:paraId="6F6890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832EBD1" w14:textId="77777777" w:rsidTr="00AC4931">
        <w:tc>
          <w:tcPr>
            <w:tcW w:w="20388" w:type="dxa"/>
            <w:gridSpan w:val="6"/>
            <w:shd w:val="clear" w:color="auto" w:fill="FFFFFF"/>
            <w:tcMar>
              <w:top w:w="15" w:type="dxa"/>
              <w:left w:w="0" w:type="dxa"/>
              <w:bottom w:w="0" w:type="dxa"/>
              <w:right w:w="15" w:type="dxa"/>
            </w:tcMar>
            <w:vAlign w:val="bottom"/>
            <w:hideMark/>
          </w:tcPr>
          <w:p w14:paraId="0E7D57B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1)</w:t>
            </w:r>
            <w:r w:rsidRPr="00AC4931">
              <w:rPr>
                <w:rFonts w:ascii="Arial" w:eastAsia="宋体" w:hAnsi="Arial" w:cs="Arial"/>
                <w:color w:val="000000"/>
                <w:kern w:val="0"/>
                <w:sz w:val="16"/>
                <w:szCs w:val="16"/>
              </w:rPr>
              <w:t> Number of reportable injuries per 200,000 employee hours of exposure.</w:t>
            </w:r>
          </w:p>
        </w:tc>
        <w:tc>
          <w:tcPr>
            <w:tcW w:w="192" w:type="dxa"/>
            <w:shd w:val="clear" w:color="auto" w:fill="FFFFFF"/>
            <w:noWrap/>
            <w:tcMar>
              <w:top w:w="15" w:type="dxa"/>
              <w:left w:w="0" w:type="dxa"/>
              <w:bottom w:w="0" w:type="dxa"/>
              <w:right w:w="15" w:type="dxa"/>
            </w:tcMar>
            <w:vAlign w:val="bottom"/>
            <w:hideMark/>
          </w:tcPr>
          <w:p w14:paraId="799BC71F"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r w:rsidR="00AC4931" w:rsidRPr="00AC4931" w14:paraId="12E8E33F" w14:textId="77777777" w:rsidTr="00AC4931">
        <w:tc>
          <w:tcPr>
            <w:tcW w:w="20388" w:type="dxa"/>
            <w:gridSpan w:val="6"/>
            <w:shd w:val="clear" w:color="auto" w:fill="FFFFFF"/>
            <w:tcMar>
              <w:top w:w="15" w:type="dxa"/>
              <w:left w:w="0" w:type="dxa"/>
              <w:bottom w:w="0" w:type="dxa"/>
              <w:right w:w="15" w:type="dxa"/>
            </w:tcMar>
            <w:vAlign w:val="bottom"/>
            <w:hideMark/>
          </w:tcPr>
          <w:p w14:paraId="048D9F0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2)</w:t>
            </w:r>
            <w:r w:rsidRPr="00AC4931">
              <w:rPr>
                <w:rFonts w:ascii="Arial" w:eastAsia="宋体" w:hAnsi="Arial" w:cs="Arial"/>
                <w:color w:val="000000"/>
                <w:kern w:val="0"/>
                <w:sz w:val="16"/>
                <w:szCs w:val="16"/>
              </w:rPr>
              <w:t> Total days away from work due to a work-related reportable injury and/or illness per 200,000 employee hours of exposure.</w:t>
            </w:r>
          </w:p>
        </w:tc>
        <w:tc>
          <w:tcPr>
            <w:tcW w:w="192" w:type="dxa"/>
            <w:shd w:val="clear" w:color="auto" w:fill="FFFFFF"/>
            <w:noWrap/>
            <w:tcMar>
              <w:top w:w="15" w:type="dxa"/>
              <w:left w:w="0" w:type="dxa"/>
              <w:bottom w:w="0" w:type="dxa"/>
              <w:right w:w="15" w:type="dxa"/>
            </w:tcMar>
            <w:vAlign w:val="bottom"/>
            <w:hideMark/>
          </w:tcPr>
          <w:p w14:paraId="48196FF5"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r w:rsidR="00AC4931" w:rsidRPr="00AC4931" w14:paraId="775FED32" w14:textId="77777777" w:rsidTr="00AC4931">
        <w:tc>
          <w:tcPr>
            <w:tcW w:w="20388" w:type="dxa"/>
            <w:gridSpan w:val="6"/>
            <w:shd w:val="clear" w:color="auto" w:fill="FFFFFF"/>
            <w:tcMar>
              <w:top w:w="15" w:type="dxa"/>
              <w:left w:w="0" w:type="dxa"/>
              <w:bottom w:w="0" w:type="dxa"/>
              <w:right w:w="15" w:type="dxa"/>
            </w:tcMar>
            <w:vAlign w:val="bottom"/>
            <w:hideMark/>
          </w:tcPr>
          <w:p w14:paraId="0B62A82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3)</w:t>
            </w:r>
            <w:r w:rsidRPr="00AC4931">
              <w:rPr>
                <w:rFonts w:ascii="Arial" w:eastAsia="宋体" w:hAnsi="Arial" w:cs="Arial"/>
                <w:color w:val="000000"/>
                <w:kern w:val="0"/>
                <w:sz w:val="16"/>
                <w:szCs w:val="16"/>
              </w:rPr>
              <w:t> Number of facilities with zero injuries.</w:t>
            </w:r>
          </w:p>
        </w:tc>
        <w:tc>
          <w:tcPr>
            <w:tcW w:w="192" w:type="dxa"/>
            <w:shd w:val="clear" w:color="auto" w:fill="FFFFFF"/>
            <w:noWrap/>
            <w:tcMar>
              <w:top w:w="15" w:type="dxa"/>
              <w:left w:w="0" w:type="dxa"/>
              <w:bottom w:w="0" w:type="dxa"/>
              <w:right w:w="15" w:type="dxa"/>
            </w:tcMar>
            <w:vAlign w:val="bottom"/>
            <w:hideMark/>
          </w:tcPr>
          <w:p w14:paraId="62DA9A57"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r w:rsidR="00AC4931" w:rsidRPr="00AC4931" w14:paraId="6445A6F9" w14:textId="77777777" w:rsidTr="00AC4931">
        <w:tc>
          <w:tcPr>
            <w:tcW w:w="20388" w:type="dxa"/>
            <w:gridSpan w:val="6"/>
            <w:shd w:val="clear" w:color="auto" w:fill="FFFFFF"/>
            <w:tcMar>
              <w:top w:w="15" w:type="dxa"/>
              <w:left w:w="0" w:type="dxa"/>
              <w:bottom w:w="0" w:type="dxa"/>
              <w:right w:w="15" w:type="dxa"/>
            </w:tcMar>
            <w:vAlign w:val="bottom"/>
            <w:hideMark/>
          </w:tcPr>
          <w:p w14:paraId="361B7F1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4)</w:t>
            </w:r>
            <w:r w:rsidRPr="00AC4931">
              <w:rPr>
                <w:rFonts w:ascii="Arial" w:eastAsia="宋体" w:hAnsi="Arial" w:cs="Arial"/>
                <w:color w:val="000000"/>
                <w:kern w:val="0"/>
                <w:sz w:val="16"/>
                <w:szCs w:val="16"/>
              </w:rPr>
              <w:t> Percentage of total employees participating in Autoliv's annual Performance and Development Dialogue (PDD).</w:t>
            </w:r>
          </w:p>
        </w:tc>
        <w:tc>
          <w:tcPr>
            <w:tcW w:w="192" w:type="dxa"/>
            <w:shd w:val="clear" w:color="auto" w:fill="FFFFFF"/>
            <w:noWrap/>
            <w:tcMar>
              <w:top w:w="15" w:type="dxa"/>
              <w:left w:w="0" w:type="dxa"/>
              <w:bottom w:w="0" w:type="dxa"/>
              <w:right w:w="15" w:type="dxa"/>
            </w:tcMar>
            <w:vAlign w:val="bottom"/>
            <w:hideMark/>
          </w:tcPr>
          <w:p w14:paraId="57E76CCC"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r w:rsidR="00AC4931" w:rsidRPr="00AC4931" w14:paraId="5D2848B5" w14:textId="77777777" w:rsidTr="00AC4931">
        <w:tc>
          <w:tcPr>
            <w:tcW w:w="20388" w:type="dxa"/>
            <w:gridSpan w:val="6"/>
            <w:shd w:val="clear" w:color="auto" w:fill="FFFFFF"/>
            <w:tcMar>
              <w:top w:w="15" w:type="dxa"/>
              <w:left w:w="0" w:type="dxa"/>
              <w:bottom w:w="0" w:type="dxa"/>
              <w:right w:w="15" w:type="dxa"/>
            </w:tcMar>
            <w:vAlign w:val="bottom"/>
            <w:hideMark/>
          </w:tcPr>
          <w:p w14:paraId="5F2388A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5)</w:t>
            </w:r>
            <w:r w:rsidRPr="00AC4931">
              <w:rPr>
                <w:rFonts w:ascii="Arial" w:eastAsia="宋体" w:hAnsi="Arial" w:cs="Arial"/>
                <w:color w:val="000000"/>
                <w:kern w:val="0"/>
                <w:sz w:val="16"/>
                <w:szCs w:val="16"/>
              </w:rPr>
              <w:t> Lower no. of employees attended training programs during 2020 due to COVID-19 restrictions.</w:t>
            </w:r>
          </w:p>
        </w:tc>
        <w:tc>
          <w:tcPr>
            <w:tcW w:w="192" w:type="dxa"/>
            <w:shd w:val="clear" w:color="auto" w:fill="FFFFFF"/>
            <w:noWrap/>
            <w:tcMar>
              <w:top w:w="15" w:type="dxa"/>
              <w:left w:w="0" w:type="dxa"/>
              <w:bottom w:w="0" w:type="dxa"/>
              <w:right w:w="15" w:type="dxa"/>
            </w:tcMar>
            <w:vAlign w:val="bottom"/>
            <w:hideMark/>
          </w:tcPr>
          <w:p w14:paraId="713D7116"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bl>
    <w:p w14:paraId="6D7A415C" w14:textId="77777777" w:rsidR="00AC4931" w:rsidRPr="00AC4931" w:rsidRDefault="00AC4931" w:rsidP="00AC4931">
      <w:pPr>
        <w:widowControl/>
        <w:rPr>
          <w:rFonts w:ascii="微软雅黑" w:eastAsia="微软雅黑" w:hAnsi="微软雅黑" w:cs="宋体"/>
          <w:color w:val="000000"/>
          <w:kern w:val="0"/>
          <w:sz w:val="16"/>
          <w:szCs w:val="16"/>
        </w:rPr>
      </w:pPr>
      <w:r w:rsidRPr="00AC4931">
        <w:rPr>
          <w:rFonts w:ascii="微软雅黑" w:eastAsia="微软雅黑" w:hAnsi="微软雅黑" w:cs="宋体" w:hint="eastAsia"/>
          <w:color w:val="000000"/>
          <w:kern w:val="0"/>
          <w:sz w:val="16"/>
          <w:szCs w:val="16"/>
        </w:rPr>
        <w:t> </w:t>
      </w:r>
    </w:p>
    <w:p w14:paraId="062A5F0F" w14:textId="77777777" w:rsidR="00AC4931" w:rsidRPr="00AC4931" w:rsidRDefault="00AC4931" w:rsidP="00AC4931">
      <w:pPr>
        <w:widowControl/>
        <w:rPr>
          <w:rFonts w:ascii="微软雅黑" w:eastAsia="微软雅黑" w:hAnsi="微软雅黑" w:cs="宋体" w:hint="eastAsia"/>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228D8703" w14:textId="77777777" w:rsidR="00AC4931" w:rsidRPr="00AC4931" w:rsidRDefault="00AC4931" w:rsidP="00AC4931">
      <w:pPr>
        <w:widowControl/>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Available information</w:t>
      </w:r>
    </w:p>
    <w:p w14:paraId="2A81394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We file or furnish with the United States Securities and Exchange Commission (the “SEC”) periodic reports and amendments thereto, which include annual reports on Form 10-K, quarterly reports on Form 10-Q, current reports on Form 8-K, proxy statements and other information. Such reports, amendments, proxy statements and other information are made available free of charge on our corporate website at www.autoliv.com and are available as soon as reasonably practicable after they are electronically filed with the SEC. Our Corporate Governance Guidelines, committee charters, code of conduct and other </w:t>
      </w:r>
      <w:r w:rsidRPr="00AC4931">
        <w:rPr>
          <w:rFonts w:ascii="Arial" w:eastAsia="宋体" w:hAnsi="Arial" w:cs="Arial"/>
          <w:color w:val="000000"/>
          <w:kern w:val="0"/>
          <w:sz w:val="18"/>
          <w:szCs w:val="18"/>
        </w:rPr>
        <w:lastRenderedPageBreak/>
        <w:t>documents governing the Company are also available on our corporate website at </w:t>
      </w:r>
      <w:r w:rsidRPr="00AC4931">
        <w:rPr>
          <w:rFonts w:ascii="Arial" w:eastAsia="宋体" w:hAnsi="Arial" w:cs="Arial"/>
          <w:color w:val="000000"/>
          <w:kern w:val="0"/>
          <w:sz w:val="18"/>
          <w:szCs w:val="18"/>
          <w:u w:val="single"/>
        </w:rPr>
        <w:t>www.autoliv.com</w:t>
      </w:r>
      <w:r w:rsidRPr="00AC4931">
        <w:rPr>
          <w:rFonts w:ascii="Arial" w:eastAsia="宋体" w:hAnsi="Arial" w:cs="Arial"/>
          <w:color w:val="000000"/>
          <w:kern w:val="0"/>
          <w:sz w:val="18"/>
          <w:szCs w:val="18"/>
        </w:rPr>
        <w:t>. The SEC maintains an internet site that contains reports, proxy statements and other information at </w:t>
      </w:r>
      <w:r w:rsidRPr="00AC4931">
        <w:rPr>
          <w:rFonts w:ascii="Arial" w:eastAsia="宋体" w:hAnsi="Arial" w:cs="Arial"/>
          <w:color w:val="000000"/>
          <w:kern w:val="0"/>
          <w:sz w:val="18"/>
          <w:szCs w:val="18"/>
          <w:u w:val="single"/>
        </w:rPr>
        <w:t>www.sec.gov</w:t>
      </w:r>
      <w:r w:rsidRPr="00AC4931">
        <w:rPr>
          <w:rFonts w:ascii="Arial" w:eastAsia="宋体" w:hAnsi="Arial" w:cs="Arial"/>
          <w:color w:val="000000"/>
          <w:kern w:val="0"/>
          <w:sz w:val="18"/>
          <w:szCs w:val="18"/>
        </w:rPr>
        <w:t>. Hard copies of the above-mentioned documents can be obtained free of charge from the Company by contacting us at: Autoliv, Inc., P.O. Box 70381, SE-107 24, Stockholm, Sweden.</w:t>
      </w:r>
    </w:p>
    <w:p w14:paraId="3A7F6C07"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Item 1A. Risk Factors</w:t>
      </w:r>
    </w:p>
    <w:p w14:paraId="45601F76"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Our business, financial condition, operating results and cash flows may be impacted by a number of factors. A discussion of the risks associated with these material risk factors is included below.</w:t>
      </w:r>
    </w:p>
    <w:p w14:paraId="13A3C052" w14:textId="77777777" w:rsidR="00AC4931" w:rsidRPr="00AC4931" w:rsidRDefault="00AC4931" w:rsidP="00AC4931">
      <w:pPr>
        <w:widowControl/>
        <w:spacing w:before="340"/>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RISKS RELATED TO COVID-19</w:t>
      </w:r>
    </w:p>
    <w:p w14:paraId="0C15C416"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 face risks related to the novel coronavirus (COVID-19) pandemic that have, and are expected to continue to have, an adverse impact on our business and financial performance</w:t>
      </w:r>
    </w:p>
    <w:p w14:paraId="3A103F9B"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The COVID-19 pandemic has created significant volatility in the global economy and led to significant reduced economic activity and employment and has disrupted, and may continue to disrupt, the global automotive industry and customer sales, production volumes and purchases of light vehicles by end-consumers. The spread of COVID-19 has also caused disruptions in the manufacturing, delivery and overall supply chains of automobile manufacturers and suppliers. Global light vehicle production has been very volatile.  Light vehicle production has decreased significantly for certain periods in 2020 while some vehicle manufacturers have slowed or completely shut down manufacturing operations for a period of time and then restarted or ramped up production in some countries and regions. This may continue As a result, we have modified our production schedules and have experienced, and may continue to experience, delays in the production and distribution of our products and a decline in sales to our customers. As production resumes by us and our customers, production volumes have been and may continue to be volatile. We have also taken protective measures to modify our production environment to ensure the health and safety of our workers which has had an impact on our productivity. Additionally, if the global economic effects caused by the pandemic continue or increase, overall customer demand may decrease, which could have a material and adverse effect on our business, results of operations and financial condition. In addition, if a significant portion of our workforce or our customers’ workforce is affected by COVID-19 either directly or due to government closures or otherwise, associated work stoppages or facility closures would halt or delay production.  The full extent of the effect of the pandemic on us, our customers, our supply chain or the global supply chain and our business will depend on future developments, which are highly uncertain and cannot be predicted with confidence, including the duration and severity of the outbreak, subsequent outbreaks or the extent of any recession resulting from the pandemic. We may continue to experience the effects of the pandemic even after it has waned, and our business, results of operations and financial condition could continue to be affected. In particular, if COVID-19 continues to spread or re-emerges, particularly in the United States, Europe and China, where our operations are most concentrated, resulting in a prolonged period of travel, commercial, social and other similar restrictions, we could experience, among other things:  Adverse impacts on our operations and financial results caused by government and regulatory measures to contain or mitigate the spread of the virus, temporary closures of our facilities or the facilities of our customers or suppliers, which could impact our ability to timely meet our customers’ orders or negatively impact our supply chain; The failure of third parties on which we rely or on which our customers rely, including our suppliers, customers, </w:t>
      </w:r>
      <w:r w:rsidRPr="00AC4931">
        <w:rPr>
          <w:rFonts w:ascii="Arial" w:eastAsia="宋体" w:hAnsi="Arial" w:cs="Arial"/>
          <w:color w:val="000000"/>
          <w:kern w:val="0"/>
          <w:sz w:val="18"/>
          <w:szCs w:val="18"/>
        </w:rPr>
        <w:lastRenderedPageBreak/>
        <w:t>contractors, commercial banks and external business partners, to meet their respective obligations to the Company, or significant disruptions in their</w:t>
      </w:r>
    </w:p>
    <w:p w14:paraId="1C64FF51"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9</w:t>
      </w:r>
    </w:p>
    <w:p w14:paraId="69A3906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2E6BDC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90BE572"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86E11F1"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03F80C0F">
          <v:rect id="_x0000_i1034" style="width:0;height:1.5pt" o:hralign="center" o:hrstd="t" o:hrnoshade="t" o:hr="t" fillcolor="black" stroked="f"/>
        </w:pict>
      </w:r>
    </w:p>
    <w:p w14:paraId="41B327F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111DBC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529CE23"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FD61B49" w14:textId="77777777" w:rsidR="00AC4931" w:rsidRPr="00AC4931" w:rsidRDefault="00AC4931" w:rsidP="00AC4931">
      <w:pPr>
        <w:widowControl/>
        <w:spacing w:before="12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ability to do so, which may be caused by their own financial or operational difficulties including bankruptcy or default; Disruptions or restrictions on our employees’ ability to work effectively, due to illness, quarantines, travel bans, shelter-in-place orders or other limitations; Interruptions to the operations of our business if the health of our executives, management personnel and other employees are affected, particularly if a significant number of individuals are impacted; Any accident, COVID-19 illness, or injury to our employees could result in litigation, manufacturing delays and harm to our reputation, which could negatively affect our business, results of operations and financial condition; Changes in prices of tooling and services may be impacted by worldwide demand and by the ongoing COVID-19 pandemic. Such price increases could materially increase our operating costs and adversely affect our profit margin; Governments and regulators may choose to delay new automobile safety regulations which could impact the average global content of passive safety systems per light vehicle in the near term; Some of our competitors are (or may be) owned by a governmental entity and/or receive various forms of governmental aid or support, which we may not be eligible for, and which may put us at a competitive disadvantage; Increased cybersecurity and privacy risks and risks related to the reliability of technology to support remote operations; Sudden and/or severe declines in the market price of our common stock; and Costs incurred and revenues lost during and from the effects of the COVID-19 pandemic likely will not be recoverable. In addition to the risks specifically described above, the impact of COVID-19 is likely to implicate and exacerbate other risks disclosed in this Item 1A.</w:t>
      </w:r>
    </w:p>
    <w:p w14:paraId="33E1A20D" w14:textId="77777777" w:rsidR="00AC4931" w:rsidRPr="00AC4931" w:rsidRDefault="00AC4931" w:rsidP="00AC4931">
      <w:pPr>
        <w:widowControl/>
        <w:spacing w:before="340"/>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RISKS RELATED TO OUR INDUSTRY</w:t>
      </w:r>
    </w:p>
    <w:p w14:paraId="7212A117"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The cyclical nature of automotive sales and production can adversely affect our business. Our business is directly related to light vehicle production (“LVP”) in the global market and by our customers, and automotive sales and LVP are the most important drivers for our sales</w:t>
      </w:r>
    </w:p>
    <w:p w14:paraId="4FBADD6D"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Automotive sales and production are highly cyclical and can be affected by general or regional economic or industry conditions, the level of consumer demand, recalls and other safety issues, labor relations issues, technological changes, fuel prices and availability, vehicle safety regulations and other regulatory requirements, governmental initiatives, trade agreements, political volatility, especially in energy producing countries and growth markets, changes in interest rate levels and credit availability and other factors. Some regions around the world may at various times be more particularly impacted by these factors than other regions. Economic declines that result in a significant reduction in automotive sales and production by our customers have in the past had, and may in the future have, a material adverse effect on our business, results of operations and financial condition. Our sales are also affected by inventory </w:t>
      </w:r>
      <w:r w:rsidRPr="00AC4931">
        <w:rPr>
          <w:rFonts w:ascii="Arial" w:eastAsia="宋体" w:hAnsi="Arial" w:cs="Arial"/>
          <w:color w:val="000000"/>
          <w:kern w:val="0"/>
          <w:sz w:val="18"/>
          <w:szCs w:val="18"/>
        </w:rPr>
        <w:lastRenderedPageBreak/>
        <w:t>levels of our customers. We cannot predict when our customers will decide to either increase or reduce inventory levels or whether new inventory levels will approximate historical inventory levels. This may exacerbate variability in our order intake and, as a result, our revenues and financial condition. Uncertainty regarding inventory levels may be exacerbated by consumer financing programs initiated or terminated by our customers or governments as such changes may affect the timing of their sales. Changes in automotive sales and LVP and/or customers’ inventory levels will have an impact on our long-term targets, earnings guidance and estimates. In addition, we base our growth projections in part on business awards, or order intake, made by our customers. However, actual production orders from our customers may not approximate the awarded business or our estimated order intake. Any significant reduction in automotive sales and/or LVP by our customers, whether due to general economic conditions or any other factors relevant to sales or LVP, could have a material adverse effect on our business, results of operations and financial condition.</w:t>
      </w:r>
    </w:p>
    <w:p w14:paraId="4ECD71FE"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Growth rates in safety content per vehicle, which can be impacted by changes in consumer trends and political decisions, could affect our results in the future</w:t>
      </w:r>
    </w:p>
    <w:p w14:paraId="3A9AFD7B"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average global content of passive safety systems per light vehicle increased 2020 to around $245. Vehicles produced in different markets may have various passive safety content values. For example, in developed markets such as Western Europe and North America, the premium segment has an average passive safety content values of around $360 per vehicle, whereas in growth markets such as China and India the average passive safety content per vehicle is approximately $200 and $88, respectively. Due to the majority of the growth in global LVP over time being concentrated in growth markets the operating results may be impacted if the passive safety content per vehicle remains low and if the penetration of more advanced automotive safety systems does not increase in these regions. As passive safety content per vehicle is also an indicator of our sales development, should these trends continue, the average value of passive safety systems per vehicle could decline.</w:t>
      </w:r>
    </w:p>
    <w:p w14:paraId="66FB3A36"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 operate in a highly competitive market</w:t>
      </w:r>
    </w:p>
    <w:p w14:paraId="4EF5245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The market for occupant restraint systems is highly competitive and continues to consolidate. We compete with a number of other companies that produce and sell similar products. Among other factors, our products compete on the basis of price, quality, manufacturing and distribution capability, design and performance, technological innovation, delivery and service. Some of our competitors are subsidiaries (or divisions, units or similar) of companies that are larger and have greater financial and other resources than us. Some of our competitors may also have a “preferred status” as a result of special relationships or ownership interests with certain customers. Our ability to compete successfully depends, in large part, on our success in continuing to innovate and manufacture products that have commercial success with consumers, differentiating our products from those of our competitors, continuing to deliver quality products in the time frames required by our customers, and maintaining best-cost production. We continue to invest in technology and innovation which we believe will be critical to our long-term growth. Our ability to maintain and improve existing products, while successfully developing and introducing distinctive new and enhanced products that anticipate changing customer and consumer preferences and capitalize upon emerging technologies will be a significant factor in our ability to remain competitive. If we are unsuccessful or are less successful than our competitors in predicting the course of market development, developing innovative products, processes, and/or use of materials or adapting to new technologies or evolving regulatory, industry or customer requirements, we may be placed at a competitive disadvantage. For example, the focus of the automotive industry on the development of advanced driver assistance </w:t>
      </w:r>
      <w:r w:rsidRPr="00AC4931">
        <w:rPr>
          <w:rFonts w:ascii="Arial" w:eastAsia="宋体" w:hAnsi="Arial" w:cs="Arial"/>
          <w:color w:val="000000"/>
          <w:kern w:val="0"/>
          <w:sz w:val="18"/>
          <w:szCs w:val="18"/>
        </w:rPr>
        <w:lastRenderedPageBreak/>
        <w:t>technologies, with the goal of developing and introducing autonomous vehicles, and increase in consumer preferences for mobility on demand services may create demand for new and innovative products in response to OEM and consumer preferences and our success in providing such products will be critical for our long-term growth. Similarly, the demand for our products historically has tracked LVP and a future evolution of the automotive industry to autonomous vehicles and mobility on demand services may lead to a future reduction in annual global LVP. Our competitive environment continues to change, including increased competition from entrants outside the traditional automotive industry, creating uncertainty about the future competitive landscape. Given the competitive nature of our business, the amount of awards we are awarded relative to our peers may decrease over time. The inability to compete successfully</w:t>
      </w:r>
    </w:p>
    <w:p w14:paraId="2D805867"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10</w:t>
      </w:r>
    </w:p>
    <w:p w14:paraId="2FCC3AB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8F63DE6"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9B1873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A9CD040"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DF34EA0">
          <v:rect id="_x0000_i1035" style="width:0;height:1.5pt" o:hralign="center" o:hrstd="t" o:hrnoshade="t" o:hr="t" fillcolor="black" stroked="f"/>
        </w:pict>
      </w:r>
    </w:p>
    <w:p w14:paraId="0CEDF27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F7C1A40"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707BA4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E812182" w14:textId="77777777" w:rsidR="00AC4931" w:rsidRPr="00AC4931" w:rsidRDefault="00AC4931" w:rsidP="00AC4931">
      <w:pPr>
        <w:widowControl/>
        <w:spacing w:before="12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could have a material adverse effect on our business, results of operations and financial condition.</w:t>
      </w:r>
    </w:p>
    <w:p w14:paraId="3AEF6699"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The discontinuation, lack of commercial success, or loss of business with respect to a particular vehicle model for which we are a significant supplier could reduce our sales and harm our business</w:t>
      </w:r>
    </w:p>
    <w:p w14:paraId="0D3FC47E"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 number of our customer contracts generally require us to supply a customer’s annual requirements for a particular vehicle model and assembly facilities, rather than for manufacturing a specific quantity of products. Such contracts range from one year to the life of the model, which is generally four to seven years. These contracts are often subject to renegotiation, sometimes as frequent as on an annual basis, which may affect product pricing, and generally may be terminated by our customers at any time. Therefore, the discontinuation of, the loss of business with respect to, or a lack of commercial success of a particular vehicle model or brand for which we are a significant supplier could reduce our sales and harm our business prospects, operating results, cash flows, or financial condition.</w:t>
      </w:r>
    </w:p>
    <w:p w14:paraId="6261BF22" w14:textId="77777777" w:rsidR="00AC4931" w:rsidRPr="00AC4931" w:rsidRDefault="00AC4931" w:rsidP="00AC4931">
      <w:pPr>
        <w:widowControl/>
        <w:spacing w:before="340"/>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RISKS RELATED TO OUR BUSINESS</w:t>
      </w:r>
    </w:p>
    <w:p w14:paraId="5AEE5F61"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 may incur material losses and costs as a result of product liability, warranty and recall claims that may be brought against us or our customers</w:t>
      </w:r>
    </w:p>
    <w:p w14:paraId="05CDF8E3"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We face risks related to product liability claims, warranty claims and recalls in the event that any of our products actually or allegedly are defective, fail to perform as expected or the use of our products results, or is alleged to result, in bodily injury and/or property damage. For example, we are cooperating with Toyota Motor Corp. with respect to its voluntary safety recall of approximately 1.4 million vehicles that are equipped with a certain model of our side curtain airbags (the “Toyota Recall”). We may not be able to anticipate all of the possible performance or reliability problems that could arise with our products after they are released to the market. Additionally, increasing regulation and reporting requirements regarding potentially defective products, particularly in the U.S., may increase the possibility that we become </w:t>
      </w:r>
      <w:r w:rsidRPr="00AC4931">
        <w:rPr>
          <w:rFonts w:ascii="Arial" w:eastAsia="宋体" w:hAnsi="Arial" w:cs="Arial"/>
          <w:color w:val="000000"/>
          <w:kern w:val="0"/>
          <w:sz w:val="18"/>
          <w:szCs w:val="18"/>
        </w:rPr>
        <w:lastRenderedPageBreak/>
        <w:t xml:space="preserve">involved in additional product liability or recall investigations or claims. See – “Our business may be adversely affected by changes in automotive safety regulations or concerns that drive further regulation of the automobile safety market”. Although we currently carry product liability and product recall insurance in excess of our self-insured amounts, no assurance can be made that such insurance will provide adequate coverage against potential claims, such insurance is available or will continue to be available in the appropriate markets, or that we will be able to obtain such insurance on acceptable terms in the future as the cost of such insurance has risen in recent years and the cost of our self-insurance program has risen as well. Although we have invested and will continue to invest in our engineering, design, and quality infrastructure, we cannot give any assurance that our products will not suffer from defects or other deficiencies or that we will not experience material warranty claims or additional product recalls. In the future, we could experience additional material warranty or product liability losses and incur significant costs to process and defend these claims. A successful claim brought against us in excess of available insurance coverage, if any, or a requirement to participate in any product recall, could have a material adverse effect on our operating results, cash flows or financial condition. The Toyota Recall and any additional future recalls from this customer or other customers could result in costs not covered by insurance in excess of our self-insurance, further government inquiries, litigation and reputational harm and could divert management’s attention away from other matters. The main variables affecting the costs of a recall are the number of vehicles ultimately determined to be affected by the issue, the cost per vehicle associated with a recall, the determination of proportionate responsibility among the customer, the Company, and any relevant sub-suppliers, and actual insurance recoveries. Every vehicle manufacturer has its own practices regarding product recalls and other product liability actions relating to its suppliers, and the performance and remedial requirements vary between jurisdictions. Due to recall activity in the automotive industry over the past decade, some vehicle manufactures have become even more sensitive to product recall risks. As suppliers become more integrally involved in the vehicle design process and assume more of the vehicle assembly functions, vehicle manufacturers are increasingly looking to their suppliers for contribution when faced with recalls and product liability claims. Product recalls in our industry, even when they do not involve our products, can harm the reputations of our customers, competitors, and us, particularly if those recalls cause consumers to question the safety or reliability of products similar to those we produce. In addition, with global platforms and procedures, vehicle manufacturers are increasingly evaluating our quality performance on a global basis; any one or more quality, warranty or other recall issue(s) (including issues affecting few units and/or having a small financial impact) may cause a vehicle manufacturer to implement measures which may have a severe impact on our operations, such as a global, temporary or prolonged suspension of new orders. In addition, as our products more frequently use global designs and are based on or utilize the same or similar parts, components or solutions, there is a risk that the number of vehicles affected globally by a failure or defect will increase significantly with a corresponding increase in our costs. A warranty, recall or product liability claim brought against us in excess of our available insurance may have a material adverse effect on our business. Vehicle manufacturers are also increasingly requiring their outside suppliers to guarantee or warrant their products and bear the costs of repair and replacement of such products under new vehicle warranties. A vehicle manufacturer may attempt to hold us responsible for some or the entire repair or replacement costs of defective products under new vehicle warranties, when the product supplied did not perform as represented. Accordingly, the future costs of warranty claims by our customers may be material. However, the final amounts determined to be due related to these matters could differ materially from our recorded warranty estimates and our business prospects, operating results, cash flows or financial </w:t>
      </w:r>
      <w:r w:rsidRPr="00AC4931">
        <w:rPr>
          <w:rFonts w:ascii="Arial" w:eastAsia="宋体" w:hAnsi="Arial" w:cs="Arial"/>
          <w:color w:val="000000"/>
          <w:kern w:val="0"/>
          <w:sz w:val="18"/>
          <w:szCs w:val="18"/>
        </w:rPr>
        <w:lastRenderedPageBreak/>
        <w:t>condition may be materially impacted as a result. In addition, as we adopt new technology, we face an inherent risk of exposure to the claims of others that we have allegedly violated their intellectual property rights. We cannot assure that we will not experience any material warranty, product liability or intellectual property claim losses in the future or that we will not incur significant costs to defend such claims. See “If our patents are declared invalid or our technology infringes on the proprietary rights of others, our ability to compete may be impaired”.</w:t>
      </w:r>
    </w:p>
    <w:p w14:paraId="49D1DE7A"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Escalating pricing pressures from our customers may adversely affect our business</w:t>
      </w:r>
    </w:p>
    <w:p w14:paraId="1350C92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automotive industry continues to experience aggressive pricing pressure from customers. This trend is partly attributable to the major automobile manufacturers’ strong purchasing power. As with other automotive component manufacturers, we are often expected to quote fixed prices or are forced to accept prices with annual price reduction commitments for long-term sales arrangements or discounted reimbursements for engineering work. Price reductions have impacted our sales and profit margins and are expected to continue to do so in the future. Our future profitability will depend upon, among other things, our ability to continuously reduce our cost per unit and maintain our cost structure, enabling us to remain cost-competitive. Our profitability is also influenced by our success in designing and marketing technological improvements in automotive safety systems, which helps us offset price reductions by our customers. If we are unable to offset continued price reductions through improved operating efficiencies and reduced expenditures, these price reductions may have a</w:t>
      </w:r>
    </w:p>
    <w:p w14:paraId="1D40FCE3"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11</w:t>
      </w:r>
    </w:p>
    <w:p w14:paraId="61325AA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3CC3F0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D9B26F8"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432C4BF"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A1C2C49">
          <v:rect id="_x0000_i1036" style="width:0;height:1.5pt" o:hralign="center" o:hrstd="t" o:hrnoshade="t" o:hr="t" fillcolor="black" stroked="f"/>
        </w:pict>
      </w:r>
    </w:p>
    <w:p w14:paraId="1AB2A64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2A107C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6B3E99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F14CAE0" w14:textId="77777777" w:rsidR="00AC4931" w:rsidRPr="00AC4931" w:rsidRDefault="00AC4931" w:rsidP="00AC4931">
      <w:pPr>
        <w:widowControl/>
        <w:spacing w:before="12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material adverse effect on our business prospects, operating results, cash flows or financial condition.</w:t>
      </w:r>
    </w:p>
    <w:p w14:paraId="1BB7D3BC"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 could experience disruption in our supply or delivery chain, which could cause one or more of our customers to halt or delay production</w:t>
      </w:r>
    </w:p>
    <w:p w14:paraId="76429D66"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We, as with other component manufactures in the automotive industry, ship our products to customer vehicle assembly facilities throughout the world on a “just-in-time” basis in order for our customers to maintain low inventory levels. Our suppliers (external suppliers as well as our own production sites) use a similar method in providing raw materials to us. However, this “just-in-time” method makes the logistics supply chain in our industry very complex and vulnerable to disruption. Disruptions in our supply chain may result for many reasons, including closures of one of our own or one of our suppliers’ facilities or critical manufacturing lines due to strikes or other labor disputes, mechanical failures, electrical outages, fires, explosions, critical pollution levels, critical health and safety and other working conditions issues (including epidemics and pandemics, such as the coronavirus (COVID-19)), natural disasters political upheaval, as well as logistical complications due to labor disruptions, weather or natural disasters, acts of terrorism, mechanical failures and legislation or regulation regarding the transport of hazardous goods. In particular, if the current coronavirus outbreak continues and results in a prolonged period of travel, commercial and other similar restrictions, particularly to and from China, we and our customers and </w:t>
      </w:r>
      <w:r w:rsidRPr="00AC4931">
        <w:rPr>
          <w:rFonts w:ascii="Arial" w:eastAsia="宋体" w:hAnsi="Arial" w:cs="Arial"/>
          <w:color w:val="000000"/>
          <w:kern w:val="0"/>
          <w:sz w:val="18"/>
          <w:szCs w:val="18"/>
        </w:rPr>
        <w:lastRenderedPageBreak/>
        <w:t>suppliers could experience supply chain and production disruptions. The extent to which the coronavirus impacts our results will depend on future developments, which are highly uncertain and cannot be predicted. Additionally, we may experience disruptions if there are delays in customs processing, including if we are unable to obtain government authorization to export or import certain materials, including materials that may be viewed as dangerous such as the propellant used for our inflators. As we continue to expand in growth markets, the risk of such disruptions is heightened. The unavailability of even a single small subcomponent necessary to manufacture one of our products, for whatever reason, could force us to cease production of that product, possibly for a prolonged period. Similarly, a potential quality issue could force us to halt deliveries while we validate the products. Even where products are ready to be shipped, or have been shipped, delays may arise before they reach our customer. Also, similar difficulties for other suppliers may force our customers to halt production, which may in turn impact our sales shipments to such customers. When we fail to timely deliver, we may have to absorb our own costs for identifying and resolving the ultimate problem as well as expeditiously producing and shipping replacement components or products. Generally, we must also carry the costs associated with “catching up,” such as overtime and premium freight. If we are the cause of a customer being forced to halt production, the customer may seek to recoup all of its losses and expenses from us. These losses and expenses could be very significant and may include consequential losses such as lost profits. Where a customer halts production because of another supplier failing to deliver on time, we may not be fully compensated, if at all. Thus, any such supply chain disruptions could severely impact our operations and/or those of our customers and force us to halt production for prolonged periods of time which could expose us to material claims for compensation and have a material adverse effect on our business prospects, operating results, or financial condition.</w:t>
      </w:r>
    </w:p>
    <w:p w14:paraId="749D448B"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Adverse developments affecting one or more of our major suppliers could harm our profitability</w:t>
      </w:r>
    </w:p>
    <w:p w14:paraId="505B7750"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Any significant disruption in our supplier relationships, particularly relationships with single-source suppliers, could harm our profitability. Furthermore, some of our suppliers may not be able to sufficiently manage the currency commodity cost volatility and/or sharply changing volumes while still performing as we expect. For example, recalls or field actions from our customers can stress the capacity of our supply chain and may inhibit our ability to timely deliver order volumes. Over time, more of our suppliers are located in growth markets. As such, there is an increased risk for delivery delays, production delays, production issues or delivery of non-conforming products by our suppliers. Even where these risks do not materialize, we may incur costs as we try to make contingency plans for such risks.</w:t>
      </w:r>
    </w:p>
    <w:p w14:paraId="5FFD2AC7"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Changes in the source, cost, availability of and regulations pertaining to raw materials and components may adversely affect our profit margins</w:t>
      </w:r>
    </w:p>
    <w:p w14:paraId="0E5EF1A8"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Our business uses a broad range of raw materials and components in the manufacture of our products, nearly all of which are generally available from a number of qualified suppliers. Our industry may be affected from time to time by limited supplies or price fluctuations of certain key components and materials. Strong worldwide demand for certain raw materials has had a significant impact on prices and short-term availability in recent years. Such price increases could materially increase our operating costs and materially and adversely affect our profit margin, as direct material costs amounted to approximately 49% of our net sales in 2020, of which approximately half is the raw material cost portion. Commercial negotiations with our customers and suppliers may not always offset all of the adverse impact of higher raw material, energy and commodity costs. Even where we are able to pass price increases along to our </w:t>
      </w:r>
      <w:r w:rsidRPr="00AC4931">
        <w:rPr>
          <w:rFonts w:ascii="Arial" w:eastAsia="宋体" w:hAnsi="Arial" w:cs="Arial"/>
          <w:color w:val="000000"/>
          <w:kern w:val="0"/>
          <w:sz w:val="18"/>
          <w:szCs w:val="18"/>
        </w:rPr>
        <w:lastRenderedPageBreak/>
        <w:t>customer, there may be a lapse of time before we are able to do so such that we must absorb the cost increase. In addition, no assurances can be given that the magnitude and duration of such cost increases or any future cost increases could not have a larger adverse impact on our profitability and consolidated financial position than currently anticipated. Additionally, the SEC requires companies that manufacture products containing certain minerals and their derivatives that are known as “conflict minerals”, originating from the Democratic Republic of Congo or adjoining countries to diligence and report the source of such materials. There are significant resources associated with complying with these requirements, including diligence efforts to determine the sources of conflict minerals used in our products and potential changes to our processes or supplies as a consequence of such diligence efforts. As there may be only a limited number of suppliers able to offer certified “conflict free” conflict minerals, there can be no assurance that we will be able to obtain necessary conflict free minerals from such suppliers in sufficient quantities or at competitive prices. We may face reputational challenges if we determine that certain of our products contain minerals not determined to be conflict free or if we are unable to sufficiently verify the origins for all minerals used in our products through the procedures we may implement. Furthermore, our customers are also increasingly requiring us to track sustainable sources of certain raw materials, which also requires additional diligence efforts and there can be no assurance that we will be able to obtain these minerals in a cost-efficient and sustainable manner. Accordingly, these rules and customer requirements may adversely affect our business prospects, operating results, cash flows or financial condition.</w:t>
      </w:r>
    </w:p>
    <w:p w14:paraId="6B6979F1"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12</w:t>
      </w:r>
    </w:p>
    <w:p w14:paraId="4878106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11B2BC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A6BF0CC"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A01AB16"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05DBD666">
          <v:rect id="_x0000_i1037" style="width:0;height:1.5pt" o:hralign="center" o:hrstd="t" o:hrnoshade="t" o:hr="t" fillcolor="black" stroked="f"/>
        </w:pict>
      </w:r>
    </w:p>
    <w:p w14:paraId="1D0D30D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E16F39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18B684D"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C2D55A0" w14:textId="77777777" w:rsidR="00AC4931" w:rsidRPr="00AC4931" w:rsidRDefault="00AC4931" w:rsidP="00AC4931">
      <w:pPr>
        <w:widowControl/>
        <w:spacing w:before="12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Our business could be materially and adversely affected if we lost any of our largest customers or if they were unable to pay their invoices</w:t>
      </w:r>
    </w:p>
    <w:p w14:paraId="423A9425"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We are dependent on a few large customers with strong purchasing power. This is the result of customer consolidation in the last few decades. In 2020, our top five customers represented around 53% of our consolidated sales. Our largest contract accounted for around 2% of our total fiscal 2020 sales. Although business with any given customer is typically split into several contracts (either on the basis of one contract per vehicle model or on a broader platform basis), the loss of business from any of our major customers (whether by lower overall demand for vehicles, cancellation of existing contracts or the failure to award us new business) could have a material adverse effect on our business, results of operations and financial condition. Similarly, further consolidation of our customers in the future could make us more reliant upon a smaller group of customers for a significant portion of our consolidated sales and negatively impact our bargaining power when contracting with such customers. Customers may put us on a “new business hold,” which would limit our ability to quote or be awarded all or part of their future vehicle contracts if quality or other issues arise in the vehicles for which we were a supplier. Such new business holds range in length and scope and are generally accompanied by a certain set of remedial conditions that must be met before we are eligible to bid for new business. Meeting any such conditions within the prescribed timeframe may require additional Company resources. A failure to satisfy any such conditions may have a material </w:t>
      </w:r>
      <w:r w:rsidRPr="00AC4931">
        <w:rPr>
          <w:rFonts w:ascii="Arial" w:eastAsia="宋体" w:hAnsi="Arial" w:cs="Arial"/>
          <w:color w:val="000000"/>
          <w:kern w:val="0"/>
          <w:sz w:val="18"/>
          <w:szCs w:val="18"/>
        </w:rPr>
        <w:lastRenderedPageBreak/>
        <w:t>adverse impact on our financial results in the long term. There is a risk that one or more of our major customers may be unable to pay our invoices as they become due or that a customer will simply refuse to make such payments given its financial difficulties. If a major customer would enter into bankruptcy proceedings or similar proceedings whereby contractual commitments are subject to stay of execution and the possibility of legal or other modification, or if a major customer otherwise successfully procures protection against us legally enforcing its obligations, it is likely, absent special relief such as having a “preferred status”, that we will be forced to record a substantial loss. Additional information concerning our major customers is included in Note 21 of the Consolidated Financial Statements in this Annual Report.</w:t>
      </w:r>
    </w:p>
    <w:p w14:paraId="5C52320C"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Our inability to effectively manage the timing, quality and costs of new program launches could adversely affect our financial performance</w:t>
      </w:r>
    </w:p>
    <w:p w14:paraId="5856D1B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To compete effectively in the automotive supply industry, we must be able to launch new products to meet our customers’ timing, performance and quality standards. At times, we face an uneven number of launches, and some launches for various reasons, may have shortened launch lead times. We cannot provide assurance that we will be able to install and certify the equipment needed to produce products for new programs in time for the start of production, or that the transitioning of our manufacturing facilities and resources to full production for such new programs will not impact production rates or other operational efficiency measures at our facilities. In addition, we cannot provide assurance that our customers will execute on schedule the launch of their new product programs, for which we might supply products. Additionally, as a Tier 1 supplier, we must effectively coordinate the activities of numerous suppliers in order to launch programs successfully. Given the complexity of new program launches, especially involving new and innovative technologies, we may experience difficulties managing product quality, timeliness and associated costs. In addition, new program launches require a significant ramp up of costs; however, the sales related to these new programs generally are dependent upon the timing and success of the introduction of new vehicles by the Company’s customers. Our inability to effectively manage the timing, quality and costs of these new program launches could adversely affect our business prospects, operating results, cash flows or financial condition.</w:t>
      </w:r>
    </w:p>
    <w:p w14:paraId="15B7839E"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Changes in our product mix may impact our financial performance</w:t>
      </w:r>
    </w:p>
    <w:p w14:paraId="3C40F1BB"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sell products that have varying profit margins. Our financial performance can be impacted depending on the mix of products we sell during a given period. Our earnings guidance and estimates assume a certain geographic sales mix as well as a product sales mix. If actual results vary significantly from this projected geographic and product mix of sales, our operating results and financial condition could be negatively impacted.</w:t>
      </w:r>
    </w:p>
    <w:p w14:paraId="228668A7"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 are involved from time to time in legal proceedings and our business may suffer as a result of adverse outcomes of current or future legal proceedings</w:t>
      </w:r>
    </w:p>
    <w:p w14:paraId="1969A0B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We are, from time to time, involved in litigation, regulatory proceedings and commercial or contractual disputes that may be significant. These matters may include, without limitation, disputes with our suppliers and customers, intellectual property claims, shareholder litigation, government investigations, class action lawsuits, personal injury claims, environmental issues, antitrust, customs and VAT disputes and employment and tax issues. In such matters, government agencies or private parties may seek to recover from us very large, indeterminate amounts in penalties or monetary damages (including, in some cases, treble or punitive damages) or seek to limit our operations in some way. The possibility exists that claims may be asserted against us and their magnitude may remain unknown for long periods of time. These </w:t>
      </w:r>
      <w:r w:rsidRPr="00AC4931">
        <w:rPr>
          <w:rFonts w:ascii="Arial" w:eastAsia="宋体" w:hAnsi="Arial" w:cs="Arial"/>
          <w:color w:val="000000"/>
          <w:kern w:val="0"/>
          <w:sz w:val="18"/>
          <w:szCs w:val="18"/>
        </w:rPr>
        <w:lastRenderedPageBreak/>
        <w:t>types of lawsuits could require a significant amount of management’s time and attention and a substantial legal liability or adverse regulatory outcome and the substantial expenses to defend the litigation or regulatory proceedings may have a material adverse effect on our customer relationships, business prospects, reputation, operating results, cash flows and financial condition. No assurances can be given that such proceedings and claims will not have a material adverse impact on our profitability and consolidated financial position or that our established reserves or our available insurance will mitigate such impact.</w:t>
      </w:r>
    </w:p>
    <w:p w14:paraId="0447625A"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 may be subject to civil antitrust litigation civil antitrust litigation that could negatively impact our business</w:t>
      </w:r>
    </w:p>
    <w:p w14:paraId="4194D05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may be subject to civil antitrust lawsuits in the future in countries that permit such civil claims, including lawsuits or other actions by our customers. The Company was previously the subject of any investigation by the European Commission (“EC”) regarding possible anti-competitive behavior among certain suppliers to the automotive vehicle industry. The Company paid a fine to resolve these matters in 2019. As a result of the outcome of the EC investigation, we are and we could be subject to subsequent civil disputes with non-governmental third parties and civil or stockholder litigation stemming from the same facts and circumstances underlying the EC investigation.  These types of lawsuits require significant management time and attention and could result in significant expenses as well as unfavorable outcomes that could have a material adverse impact on our customer relationships, business prospects, reputation, operating results, cash flows or financial condition, and our insurance may not mitigate such impact. See Note 18 to the Consolidated Financial Statements in this Annual Report.</w:t>
      </w:r>
    </w:p>
    <w:p w14:paraId="0508810E"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13</w:t>
      </w:r>
    </w:p>
    <w:p w14:paraId="324BB07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CBD3F17"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32A0CE1"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F3CDE12"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DBCAD6B">
          <v:rect id="_x0000_i1038" style="width:0;height:1.5pt" o:hralign="center" o:hrstd="t" o:hrnoshade="t" o:hr="t" fillcolor="black" stroked="f"/>
        </w:pict>
      </w:r>
    </w:p>
    <w:p w14:paraId="7D20133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28DBAB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240A5AC"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5206AE3" w14:textId="77777777" w:rsidR="00AC4931" w:rsidRPr="00AC4931" w:rsidRDefault="00AC4931" w:rsidP="00AC4931">
      <w:pPr>
        <w:widowControl/>
        <w:spacing w:before="12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We may have exposure to greater than anticipated tax liabilities</w:t>
      </w:r>
    </w:p>
    <w:p w14:paraId="67B1512B"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The determination of our worldwide provision for income taxes and other tax liabilities requires estimation and significant judgment, and there are many transactions and calculations where the ultimate tax determination is uncertain. Like many other multinational corporations, we are subject to tax in multiple U.S. and foreign tax jurisdictions. Our determination of our tax liability is always subject to audit and review by applicable domestic and foreign tax authorities, and we are currently undergoing a number of investigations, audits and reviews by taxing authorities throughout the world. Any adverse outcome of any such audit or review could have a negative effect on our business and the ultimate tax outcome may differ from the amounts recorded in our financial statements and may materially affect our financial results in the period or periods for which such determination is made. While we have established reserves based on assumptions and estimates that we believe are reasonable to cover such eventualities, these reserves may prove to be insufficient. In addition, our future income taxes could be adversely affected by earnings being lower than anticipated (or by the incurrence of losses) in jurisdictions that have lower statutory tax rates and higher than anticipated in jurisdictions that have higher statutory tax rates, by changes in the </w:t>
      </w:r>
      <w:r w:rsidRPr="00AC4931">
        <w:rPr>
          <w:rFonts w:ascii="Arial" w:eastAsia="宋体" w:hAnsi="Arial" w:cs="Arial"/>
          <w:color w:val="000000"/>
          <w:kern w:val="0"/>
          <w:sz w:val="18"/>
          <w:szCs w:val="18"/>
        </w:rPr>
        <w:lastRenderedPageBreak/>
        <w:t>valuation of our deferred tax assets and liabilities, or changes in tax laws, regulations or accounting principles, as well as certain discrete items.</w:t>
      </w:r>
    </w:p>
    <w:p w14:paraId="1883BC22"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Work stoppages, slow-downs or other labor issues at our customers’ facilities or at our facilities could adversely affect our operations</w:t>
      </w:r>
    </w:p>
    <w:p w14:paraId="10D53235"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Because the automotive industry relies heavily on “just-in-time” delivery of components during the assembly and manufacture of vehicles, a work stoppage or slow-down at one or more of the Company’s facilities could have material adverse effects on our business. Similarly, if any of our customers were to experience a work stoppage or slow-down, that customer may halt or limit the purchase of our products. Similarly, a work stoppage or slow-down at another supplier could interrupt production at one of our customers’ facilities which would have the same effect. While labor contract negotiations at our facilities historically have rarely resulted in work stoppages, no assurances can be given that we will be able to negotiate acceptable contracts with these unions or that our failure to do so will not result in work stoppages. A work stoppage or other labor disruption at one or more of our facilities or our customers’ facilities could cause us to shut down production facilities supplying these products, which could have a material adverse effect on our business, results of operations and financial condition.</w:t>
      </w:r>
    </w:p>
    <w:p w14:paraId="5DF3C42A"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Our ability to operate our company effectively could be impaired if we fail to attract and retain executive officers and other key personnel</w:t>
      </w:r>
    </w:p>
    <w:p w14:paraId="6BB95FD7"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Our ability to operate our business and implement our strategies effectively depends, in part, on the efforts of our executive officers and other key employees. In addition, our future success will depend on, among other factors, our ability to attract, develop and retain other qualified personnel, particularly engineers and other employees with software and technical expertise. The loss of the services of any of our executive officers or other key employees or the failure to attract, develop or retain other qualified personnel could have a material adverse effect on our business.</w:t>
      </w:r>
    </w:p>
    <w:p w14:paraId="419E9A1D"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Restructuring and efficiency initiatives and capacity alignments are complex and difficult and at any time additional restructuring steps may be necessary, possibly on short notice and at significant cost</w:t>
      </w:r>
    </w:p>
    <w:p w14:paraId="7C8B30A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Our restructuring and efficiency initiatives and capacity alignments include efforts to adjust our manufacturing capacity and cost structure to meet current and projected operational and market requirements, including plant closures, transfer of sourcing to best cost countries, consolidation of our supplier base and standardization of products, to reduce our overhead costs and consolidate our operational centers. The successful implementation of our restructuring activities and capacity alignments will involve sourcing, logistics, technology and employment arrangements. Because these restructuring and efficiency initiatives and capacity alignments can be complex, there may be difficulties or delays in the implementation of any such initiatives and capacity alignments or they may not be immediately effective, resulting in an adverse material impact on our performance. In addition, there is a risk that inflation, high-turnover rates and increased competition may reduce the efficiencies now available in best-cost countries to levels that no longer allow for cost-beneficial restructuring opportunities. Therefore, there can be no assurances that any future restructurings or capacity alignments will be completed as planned or achieve the desired results.</w:t>
      </w:r>
    </w:p>
    <w:p w14:paraId="02D6B357"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 prolonged recession and/or a downturn in our industry could result in us having insufficient funds to continue our operations and external financing may not be available to us or available only on materially different terms than what has historically been available</w:t>
      </w:r>
    </w:p>
    <w:p w14:paraId="01AAD279"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Our ability to generate cash from our operations is highly dependent on automotive sales and LVP, the global economy and the economies of our important markets. If LVP were to remain on low levels for an extended period of time, we would experience a significantly negative cash flow. Similarly, if cash losses for customer defaults rise sharply, we would experience a negative cash flow. Such negative cash flow could result in our having insufficient funds to continue our operations unless we can procure external financing, which may not be possible. Our access to debt, securitization, or derivative markets around the world at competitive rates or in sufficient amounts could be affected by credit rating downgrades, market volatility, market disruption, regulatory requirements, or other factors. Our ability to obtain unsecured funding at a reasonable cost is dependent on our credit ratings or our perceived creditworthiness. Our current credit rating could be lowered as a result of us experiencing significant negative cash flows, increasing our indebtedness and leverage, or a dire financial outlook, which may affect our ability to procure financing. We may also for the same, or other reasons, find it difficult to secure new long-term credit facilities, at reasonable terms, when our principal credit facility expires in 2023. Further, even our existing unutilized credit facilities may not be available to us as agreed, or only at additional cost, if participating banks are unable to raise the necessary funds, where, for instance, financial markets are not functioning as expected or one or more banks in our principal credit facility syndicate were to default. As a result, we cannot assure you that we will continue to have sufficient liquidity to meet our operating needs. In the event that we do not have sufficient external financing we may be required to seek additional capital, sell assets, reduce or cut back our operating activities or otherwise alter our business strategy. Information concerning our credit facilities and other financings are included in Item 7 in this Annual Report in the section headed “Treasury Activities” and in Note 14 to the Consolidated Financial Statements in this Annual Report.</w:t>
      </w:r>
    </w:p>
    <w:p w14:paraId="1159127A"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14</w:t>
      </w:r>
    </w:p>
    <w:p w14:paraId="2126845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DB0E940"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6F1217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B9E2E5F"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A55BBB6">
          <v:rect id="_x0000_i1039" style="width:0;height:1.5pt" o:hralign="center" o:hrstd="t" o:hrnoshade="t" o:hr="t" fillcolor="black" stroked="f"/>
        </w:pict>
      </w:r>
    </w:p>
    <w:p w14:paraId="0E65BF5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06940D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0EA7891"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E200628" w14:textId="77777777" w:rsidR="00AC4931" w:rsidRPr="00AC4931" w:rsidRDefault="00AC4931" w:rsidP="00AC4931">
      <w:pPr>
        <w:widowControl/>
        <w:spacing w:before="12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Our indebtedness may harm our financial condition and results of operations</w:t>
      </w:r>
    </w:p>
    <w:p w14:paraId="7D98D7D6"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As of December 31, 2020, we have outstanding debt of $2.4 billion. We may incur additional debt for a variety of reasons. Although our significant credit facilities and debt agreements do not have any financial covenants, our level of indebtedness will have several important effects on our future operations, including, without limitation: a portion of our cash flows from operations will be dedicated to the payment of any interest or could be used for amortization required with respect to outstanding indebtedness; increases in our outstanding indebtedness and leverage will increase our vulnerability to adverse changes in general economic and industry conditions, as well as to competitive pressure; depending on the levels of our outstanding debt, our ability to obtain additional financing for working capital, acquisitions, capital expenditures, general corporate and other purposes may be limited; and potential future tightening of the availability of capital both from financial institutions and the debt markets may have an adverse effect on our ability to access additional capital.</w:t>
      </w:r>
    </w:p>
    <w:p w14:paraId="6B9D2C7E"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Governmental restrictions may impact our business adversely</w:t>
      </w:r>
    </w:p>
    <w:p w14:paraId="07C0D27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Some of our customers are (or may be) owned by a governmental entity, receive various forms of governmental aid or support or are subject to governmental influence in other forms, which may impact us as a supplier to these customers. As a result, they may be required to partner with local entities or procure components from local suppliers to achieve a specific local content or be subject to other restrictions regarding localized content or ownership. The nature and form of any such restrictions or protections, whatever their basis, is very difficult to predict as is their potential impact. However, they are likely to be based on political rather than economical or operational considerations and may materially impact our business.</w:t>
      </w:r>
    </w:p>
    <w:p w14:paraId="0B55E57D"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Impairment charges relating to our assets, goodwill and other intangible assets could adversely affect our financial performance</w:t>
      </w:r>
    </w:p>
    <w:p w14:paraId="795194DE"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periodically review the carrying value of our assets, goodwill and other intangible assets for impairment indicators. If one or more of our customers’ facilities cease production or decrease their production volumes, the assets we carry related to our facilities serving such customers may decrease in value because we may no longer be able to utilize or realize them as intended. Where such decreases are significant, such impairments may have a material adverse impact on our financial results. We monitor the various factors that impact the valuation of our goodwill and other intangible assets, including expected future cash flow levels, global economic conditions, market price for our stock, and trends with our customers. Impairment of goodwill and other identifiable intangible assets may result from, among other things, deterioration in our performance and especially the cash flow performance of these goodwill assets, adverse market conditions and adverse changes in applicable laws or regulations. If there are changes in these circumstances or the other variables associated with the estimates, judgments and assumptions relating to the valuation of goodwill, when assessing the valuation of our goodwill items, we may determine that it is appropriate to write down a portion of our goodwill or intangible assets and record related non-cash impairment charges. In the event that we determine that we are required to write-down a portion of our goodwill items and other intangible assets and thereby record related non-cash impairment charges, our financial condition and operating results would be adversely affected. For additional information, see Part II, Item 7 “Management’s Discussion and Analysis of Financial Condition and Results of Operations - Significant Accounting Policies and Critical Accounting Estimates – Goodwill and Intangibles”.</w:t>
      </w:r>
    </w:p>
    <w:p w14:paraId="49C90C26"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 face risks related to our defined benefit pension plans and employee benefit plans, including the need for additional funding as well as higher costs and liabilities</w:t>
      </w:r>
    </w:p>
    <w:p w14:paraId="40E3DF4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Our defined benefit pension plans and employee benefit plans may require additional funding or give rise to higher related costs and liabilities which, in some circumstances, could reach material amounts and negatively affect our operating results. We are required to make certain year-end assumptions regarding our pension plans. Our pension obligations are dependent on several factors, including factors outside our control such as changes in interest rates, the market performance of the diversified investments underlying the pension plans, actuarial data and adjustments and an increase in the minimum funding requirements or other regulatory changes governing the plans. Adverse equity market conditions and volatility in the credit market may have an unfavorable impact on the value of our pension assets and our future estimated pension liabilities. Internal factors such as an adjustment to the level of benefits provided under the plans may also lead to an increase in our pension liability. If these or other internal and external risks were to occur, alone or in combination, our required contributions to the plans and the costs and net </w:t>
      </w:r>
      <w:r w:rsidRPr="00AC4931">
        <w:rPr>
          <w:rFonts w:ascii="Arial" w:eastAsia="宋体" w:hAnsi="Arial" w:cs="Arial"/>
          <w:color w:val="000000"/>
          <w:kern w:val="0"/>
          <w:sz w:val="18"/>
          <w:szCs w:val="18"/>
        </w:rPr>
        <w:lastRenderedPageBreak/>
        <w:t>liabilities associated with the plans could increase substantially and have a material effect on our business. Information concerning our benefit plans is included in Note 19 of the Consolidated Financial Statements in this Annual Report.</w:t>
      </w:r>
    </w:p>
    <w:p w14:paraId="00F8851A"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You should not anticipate or expect the payment of cash dividends on our common stock</w:t>
      </w:r>
    </w:p>
    <w:p w14:paraId="5916EAAB" w14:textId="77777777" w:rsidR="00AC4931" w:rsidRPr="00AC4931" w:rsidRDefault="00AC4931" w:rsidP="00AC4931">
      <w:pPr>
        <w:widowControl/>
        <w:spacing w:before="340"/>
        <w:rPr>
          <w:rFonts w:ascii="Arial" w:eastAsia="宋体" w:hAnsi="Arial" w:cs="Arial"/>
          <w:color w:val="000000"/>
          <w:kern w:val="0"/>
          <w:sz w:val="18"/>
          <w:szCs w:val="18"/>
        </w:rPr>
      </w:pPr>
      <w:r w:rsidRPr="00AC4931">
        <w:rPr>
          <w:rFonts w:ascii="Arial" w:eastAsia="宋体" w:hAnsi="Arial" w:cs="Arial"/>
          <w:color w:val="000000"/>
          <w:kern w:val="0"/>
          <w:sz w:val="18"/>
          <w:szCs w:val="18"/>
        </w:rPr>
        <w:t>Our dividend policy is subject to the discretion of our Board of Directors and depends upon a number of factors, including our earnings, financial condition, cash and capital needs, indebtedness and leverage, and general economic or business conditions. On April 2, 2020 our Board of Directors suspended our quarterly dividend after determining that a suspension was necessary in light of the evolving global COVID-19 pandemic, decline in global LVP, the uncertainty surrounding the recession at that time and the inherent risk of customer defaults. There can be no assurance that our Board of Directors will declare dividends in the future.</w:t>
      </w:r>
    </w:p>
    <w:p w14:paraId="5F35931D"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Cybersecurity incidents or other damage to our technology infrastructure could disrupt business operations, result in the loss of critical and confidential information, and adversely impact our reputation and operating results</w:t>
      </w:r>
    </w:p>
    <w:p w14:paraId="2559A18B"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We rely extensively on information technology (“IT”) networks and systems, our global data centers and services provided over the internet to process, transmit and store electronic information, and to manage or support a variety of business processes or activities across our facilities worldwide. The secure operation of our IT networks and systems and the proper processing and maintenance of this information are critical to our business operations. We have been, and likely will continue to be, subject to cyber-attacks. To date we have seen no material impact on our business from these attacks or events. Although we seek to deploy comprehensive security measures to prevent, detect, address and mitigate these threats, there has been an increased level of activity, and an associated level of sophistication, in cyber-attacks against large multinational companies. The ever-evolving threats mean we and our third-party service providers and vendors must continually evaluate and adapt our respective systems and processes and overall security environment, as well as those of any companies we acquire. There is no guarantee that these measures will be adequate to safeguard against all data</w:t>
      </w:r>
    </w:p>
    <w:p w14:paraId="7A971B72"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15</w:t>
      </w:r>
    </w:p>
    <w:p w14:paraId="1204EF56"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25E60B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9B1990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D48C377"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60F06CA">
          <v:rect id="_x0000_i1040" style="width:0;height:1.5pt" o:hralign="center" o:hrstd="t" o:hrnoshade="t" o:hr="t" fillcolor="black" stroked="f"/>
        </w:pict>
      </w:r>
    </w:p>
    <w:p w14:paraId="3B7F73D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38CB1A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7879793"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7CEC8AE" w14:textId="77777777" w:rsidR="00AC4931" w:rsidRPr="00AC4931" w:rsidRDefault="00AC4931" w:rsidP="00AC4931">
      <w:pPr>
        <w:widowControl/>
        <w:spacing w:before="24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 xml:space="preserve">security breaches, system compromises or misuses of data. Our security measures may be breached due to human or technological error, employee malfeasance, system malfunctions or attacks from uncoordinated individuals or sophisticated and targeted measures known as advanced persistent threats, directed at the Company, its products, its customers and/or its third-party service providers. Because techniques used to obtain unauthorized access or to sabotage systems change frequently and generally are not recognized until they are launched against a target, we may be unable to anticipate these </w:t>
      </w:r>
      <w:r w:rsidRPr="00AC4931">
        <w:rPr>
          <w:rFonts w:ascii="Arial" w:eastAsia="宋体" w:hAnsi="Arial" w:cs="Arial"/>
          <w:color w:val="000000"/>
          <w:kern w:val="0"/>
          <w:sz w:val="18"/>
          <w:szCs w:val="18"/>
        </w:rPr>
        <w:lastRenderedPageBreak/>
        <w:t>techniques or to implement adequate preventative measures. Disruptions and attacks on our IT systems or the systems of third parties storing our data or employee malfeasance or human or technological error could result in the misappropriation, loss, destruction or corruption of our critical data and confidential or proprietary information, personal information of our employees, the leakage of our or our customers’ confidential information, improper use of our systems and networks, production downtimes and both internal and external supply shortages, which could have an adverse effect on our results of operations. It may also result in the theft of intellectual property or other misappropriation of assets, or otherwise compromise our confidential or proprietary information and disrupt our operations. The potential consequences of a material cybersecurity incident include reputational damage, theft of intellectual property, litigation with third parties, diminution in the value of our investment in research, development and engineering, diversion of the attention of management away from the operation of our business and increased cybersecurity protection and remediation costs, legal claims and liability, regulatory scrutiny, sanctions, fines or penalties (which may not be covered by our insurance policies), negative publicity, release of sensitive and/or confidential information, increases in operating expenses, or lost revenues which in turn could adversely affect our competitiveness and results of operations. To the extent that any disruption or security breach results in a misappropriation, loss, destruction or corruption of our customer’s information, it could affect our relationships with our customers, create significant expense for us to investigate and remediate damage, lead to claims against the Company and ultimately harm our business. In addition, we may be required to incur significant costs to protect against damage caused by these disruptions or security breaches in the future.</w:t>
      </w:r>
      <w:r w:rsidRPr="00AC4931">
        <w:rPr>
          <w:rFonts w:ascii="Calibri" w:eastAsia="宋体" w:hAnsi="Calibri" w:cs="Calibri"/>
          <w:color w:val="000000"/>
          <w:kern w:val="0"/>
          <w:sz w:val="22"/>
        </w:rPr>
        <w:t> </w:t>
      </w:r>
      <w:r w:rsidRPr="00AC4931">
        <w:rPr>
          <w:rFonts w:ascii="Arial" w:eastAsia="宋体" w:hAnsi="Arial" w:cs="Arial"/>
          <w:color w:val="000000"/>
          <w:kern w:val="0"/>
          <w:sz w:val="18"/>
          <w:szCs w:val="18"/>
        </w:rPr>
        <w:t>In addition, as the regulatory environment related to information security, data collection and use, and privacy becomes increasingly rigorous, with new and constantly changing requirements applicable to our business, compliance with those requirements could result in additional costs.</w:t>
      </w:r>
      <w:r w:rsidRPr="00AC4931">
        <w:rPr>
          <w:rFonts w:ascii="Arial" w:eastAsia="宋体" w:hAnsi="Arial" w:cs="Arial"/>
          <w:color w:val="000000"/>
          <w:kern w:val="0"/>
          <w:sz w:val="20"/>
          <w:szCs w:val="20"/>
        </w:rPr>
        <w:t> </w:t>
      </w:r>
      <w:r w:rsidRPr="00AC4931">
        <w:rPr>
          <w:rFonts w:ascii="Arial" w:eastAsia="宋体" w:hAnsi="Arial" w:cs="Arial"/>
          <w:color w:val="000000"/>
          <w:kern w:val="0"/>
          <w:sz w:val="18"/>
          <w:szCs w:val="18"/>
        </w:rPr>
        <w:t>Furthermore, our technology systems are vulnerable to damage or interruption from natural disasters, power loss and telecommunication failures. We continuously seek to maintain a robust program of information security and controls, however, any future significant compromise or breach of our data security, whether external or internal, or misuse of customer, associate, supplier or Company data, could result in significant costs, lost sales, fines, lawsuits, and damage to our reputation.</w:t>
      </w:r>
    </w:p>
    <w:p w14:paraId="32F592BA"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Third parties that maintain certain of our confidential and proprietary information could experience a cybersecurity incident</w:t>
      </w:r>
    </w:p>
    <w:p w14:paraId="120AC96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rely on third parties to provide or maintain some of our IT systems, data centers and related services and do not exercise direct control over these systems. Despite the implementation of security measures at third party locations, these IT systems, data centers and cloud services are also vulnerable to security breaches or other disruptions. Additionally, we and certain of our third-party vendors, collect and store personal information in connection with human resources operations and other aspects of our business. While we obtain assurances that any third parties we provide data to will protect this information and, where we believe appropriate, monitor the protections employed by these third parties, there is a risk the confidentiality of data held by us or by third parties may be compromised and expose us to liability for such breach.</w:t>
      </w:r>
    </w:p>
    <w:p w14:paraId="42DD5A78"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Global climate change could negatively affect our business</w:t>
      </w:r>
    </w:p>
    <w:p w14:paraId="40E4969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More regional and/or national requirements to reduce or mitigate the effects of greenhouse gas emissions may adversely impact our business. Today there is a lack of consistent climate legislation which results in economic and regulatory uncertainty. Any future regulations aimed at mitigating climate change may </w:t>
      </w:r>
      <w:r w:rsidRPr="00AC4931">
        <w:rPr>
          <w:rFonts w:ascii="Arial" w:eastAsia="宋体" w:hAnsi="Arial" w:cs="Arial"/>
          <w:color w:val="000000"/>
          <w:kern w:val="0"/>
          <w:sz w:val="18"/>
          <w:szCs w:val="18"/>
        </w:rPr>
        <w:lastRenderedPageBreak/>
        <w:t>negatively impact the demand for certain of our customer’s products which could in turn impact demand for our products and impact our results of operations. The costs of compliance and any changes to our operations mandated by new or amended laws, may be significant. We may also face unexpected delays in obtaining permits and approvals required by such laws in connection with our manufacturing facilities, which would hinder our operation of these facilities. Furthermore, any violations of these laws may result in substantial fines and penalties, remediation costs, third party damages, or a suspension or cessation of our operations. The manifestations of climate change, such as extreme weather conditions or more frequent extreme weather events could disrupt our operations, damage our facilities, disrupt our supply chain, including our customers or suppliers, or make it harder or more difficult to obtain raw materials necessary for the manufacturing of our products.</w:t>
      </w:r>
      <w:r w:rsidRPr="00AC4931">
        <w:rPr>
          <w:rFonts w:ascii="Arial" w:eastAsia="宋体" w:hAnsi="Arial" w:cs="Arial"/>
          <w:color w:val="0000FF"/>
          <w:kern w:val="0"/>
          <w:sz w:val="18"/>
          <w:szCs w:val="18"/>
        </w:rPr>
        <w:t> </w:t>
      </w:r>
      <w:r w:rsidRPr="00AC4931">
        <w:rPr>
          <w:rFonts w:ascii="Arial" w:eastAsia="宋体" w:hAnsi="Arial" w:cs="Arial"/>
          <w:color w:val="000000"/>
          <w:kern w:val="0"/>
          <w:sz w:val="18"/>
          <w:szCs w:val="18"/>
        </w:rPr>
        <w:t>As a result, severe weather or a natural disaster that results in a prolonged disruption to our operations, or the operations of our customers or suppliers, could have a material adverse effect on our</w:t>
      </w:r>
      <w:r w:rsidRPr="00AC4931">
        <w:rPr>
          <w:rFonts w:ascii="Arial" w:eastAsia="宋体" w:hAnsi="Arial" w:cs="Arial"/>
          <w:color w:val="000000"/>
          <w:kern w:val="0"/>
          <w:sz w:val="20"/>
          <w:szCs w:val="20"/>
        </w:rPr>
        <w:t> </w:t>
      </w:r>
      <w:r w:rsidRPr="00AC4931">
        <w:rPr>
          <w:rFonts w:ascii="Arial" w:eastAsia="宋体" w:hAnsi="Arial" w:cs="Arial"/>
          <w:color w:val="000000"/>
          <w:kern w:val="0"/>
          <w:sz w:val="18"/>
          <w:szCs w:val="18"/>
        </w:rPr>
        <w:t>operating results, cash flows or financial condition.</w:t>
      </w:r>
    </w:p>
    <w:p w14:paraId="1C7124E0" w14:textId="77777777" w:rsidR="00AC4931" w:rsidRPr="00AC4931" w:rsidRDefault="00AC4931" w:rsidP="00AC4931">
      <w:pPr>
        <w:widowControl/>
        <w:spacing w:before="340"/>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RISKS RELATED TO INTERNATIONAL OPERATIONS</w:t>
      </w:r>
    </w:p>
    <w:p w14:paraId="3BA063F1"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Our business is exposed to risks inherent in international operations</w:t>
      </w:r>
    </w:p>
    <w:p w14:paraId="1326E1BB" w14:textId="77777777" w:rsidR="00AC4931" w:rsidRPr="00AC4931" w:rsidRDefault="00AC4931" w:rsidP="00AC4931">
      <w:pPr>
        <w:widowControl/>
        <w:shd w:val="clear" w:color="auto" w:fill="FFFFFF"/>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We currently conduct operations in various countries and jurisdictions, including locating certain of our manufacturing and distribution facilities internationally, which subjects us to the legal, political, regulatory and social requirements and economic conditions in these jurisdictions. Some of these countries are considered growth markets and emerging markets. International sales and operations, especially in growth markets, subject us to certain risks inherent in doing business abroad, including: exposure to local economic conditions; unexpected changes in laws, regulations, trade, or monetary or fiscal policy, including interest rates, foreign currency exchange rates, and changes in the rate of inflation in the emerging markets and countries in which we do business; foreign tax consequences; inability to collect, or delays in collecting, value-added taxes and/or other receivables associated with remittances and other payments by subsidiaries; exposure to local political turmoil and challenging labor conditions; changes in general economic and political conditions in countries where we operate, particularly in emerging markets; expropriation and nationalization; enforcing legal agreements or collecting receivables through foreign legal systems; wage inflation in growth markets; currency controls, including lack of liquidity in foreign currency due to governmental restrictions, trade protection policies and currency controls, which may create difficulty in repatriating profits or making other remittances; compliance with the requirements of an increasing body of applicable anti-bribery laws; reduced intellectual property protection in various markets; investment restrictions or requirements; and the imposition of product tariffs and the burden of complying with a wide variety of international and U.S. export laws. The Company is subject to taxation in the U.S. and</w:t>
      </w:r>
    </w:p>
    <w:p w14:paraId="55AE79DB"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16</w:t>
      </w:r>
    </w:p>
    <w:p w14:paraId="2185A5D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F39114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B58FCF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FEDEC65"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79844CC5">
          <v:rect id="_x0000_i1041" style="width:0;height:1.5pt" o:hralign="center" o:hrstd="t" o:hrnoshade="t" o:hr="t" fillcolor="black" stroked="f"/>
        </w:pict>
      </w:r>
    </w:p>
    <w:p w14:paraId="7592B5F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85C4F7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861C76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A2A6F5D" w14:textId="77777777" w:rsidR="00AC4931" w:rsidRPr="00AC4931" w:rsidRDefault="00AC4931" w:rsidP="00AC4931">
      <w:pPr>
        <w:widowControl/>
        <w:shd w:val="clear" w:color="auto" w:fill="FFFFFF"/>
        <w:spacing w:before="24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lastRenderedPageBreak/>
        <w:t>numerous foreign jurisdictions. The Organization for Economic Co-operation and Development (“OECD”) continues its base erosion and profit shifting (“BEPS”) project begun in 2015 with new proposals for a global minimum tax, further development of a coordinated set of rules for taxation and the allocation of taxing rights between jurisdictions. These proposals, if adopted by countries in which we operate, could result in changes to tax policies, including transfer pricing policies, that could ultimately impact our tax liabilities. The timing or impact of these proposals and recommendations is unclear at this point. Changes in tax laws or policies by the U.S. or foreign jurisdictions could result in a higher effective tax rate on our worldwide earnings, and any such change could have a material adverse effect on our business prospects, cash flows, operating results and financial condition. Our international operations also depend upon favorable trade relations between the U.S. and those foreign countries in which our customers and suppliers have operations. The current U.S. presidential administration has created uncertainty about the future relationship between the U.S. and certain of its trading partners, including with respect to the trade policies and agreements, treaties, government regulations and tariffs that could apply to trade between the U.S. and other nations. These developments may have a material adverse effect on global economic conditions and the stability of global financial markets, and may significantly reduce global trade and, in particular, trade between these nations and the U.S. It could also impact importing certain foreign-produced vehicles into the U.S. Similarly, the political situations in certain countries, specifically Brazil, China, France, Russia, Turkey, and the United Kingdom, make it difficult to predict the near-term stability of trade costs with these nations. Meanwhile, the U.S. presidential election in November 2020 could result in a shift in U.S. trade policy that is impossible to predict at this time. Changes in national policy or continued uncertainty could depress economic activity and restrict our access to suppliers or customers and have a material adverse effect on our cash flows, operating results and financial condition. Increasing our manufacturing footprint in the growth markets and our business relationships with automotive manufacturers in these markets are particularly important elements of our strategy. As a result, our exposure to the risks described above may be greater in the future, and our exposure to risks associated with developing countries, such as the risk of political upheaval and reliability of local infrastructure, may increase.</w:t>
      </w:r>
    </w:p>
    <w:p w14:paraId="58FF132F"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The exit of the United Kingdom from membership in the European Union may adversely affect our business and profitability</w:t>
      </w:r>
    </w:p>
    <w:p w14:paraId="4C8FC817"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exit of the United Kingdom (“U.K.”) from the European Union (“EU”) (“Brexit”) could adversely affect European and worldwide economic and market conditions and contribute to instability in global financial and foreign exchange markets, including increased volatility in interest rates and foreign exchange rates. Despite the final agreement between the U.K. and the EU,  it remains difficult to predict the impact Brexit will have on international trade. We conduct business in the U.K. and several EU nations and the taxation policies of the U.K. and the EU nations may change as a result of Brexit, which could adversely impact our tax positions. We may be required to comply with regulatory requirements in the United Kingdom that are in addition to, or inconsistent with, the regulatory requirements of the EU. The effects of Brexit could adversely affect our business prospects, operating results, cash flows and financial condition.</w:t>
      </w:r>
    </w:p>
    <w:p w14:paraId="42FC0847"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Significant changes to international trade policy, including the recently enacted USMCA could adversely affect our financial performance</w:t>
      </w:r>
    </w:p>
    <w:p w14:paraId="59D6512D"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In October 2018, the U.S., Mexico and Canada agreed to a trade deal that would replace NAFTA known as The United States Mexico Canada Agreement (“USMCA”). The USMCA has been ratified by Mexico, </w:t>
      </w:r>
      <w:r w:rsidRPr="00AC4931">
        <w:rPr>
          <w:rFonts w:ascii="Arial" w:eastAsia="宋体" w:hAnsi="Arial" w:cs="Arial"/>
          <w:color w:val="000000"/>
          <w:kern w:val="0"/>
          <w:sz w:val="18"/>
          <w:szCs w:val="18"/>
        </w:rPr>
        <w:lastRenderedPageBreak/>
        <w:t>the U.S. and Canada. The USMCA was entered into on July 1, 2020. As adopted, the USMCA changes the automotive rules of origin that dictate what percentage of an automobile must be built from parts that originated from countries in the North American region. Reflective of the automotive industry, our vehicle parts manufacturing facilities in the U.S., Mexico and Canada are highly dependent on duty-free trade within the USMCA free trade region. As a result of these policy changes, there may be greater restrictions and economic disincentives on international trade. New tariffs and other changes in U.S. trade policy could trigger retaliatory actions by affected countries. Such changes have the potential to adversely impact the U.S. economy or certain sectors thereof, including our industry and the global demand for our products and, as a result, could negatively impact our financial performance.</w:t>
      </w:r>
    </w:p>
    <w:p w14:paraId="0DF50CD5"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Our foreign operations may subject us to risks relating to laws governing international relations</w:t>
      </w:r>
    </w:p>
    <w:p w14:paraId="0CFA06EC"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Due to our global operations, we are subject to many laws governing international relations (including, but not limited to, the Foreign Corrupt Practices Act, and other anti-bribery regulations in foreign jurisdictions where we do business), which prohibit improper payments to government officials and restrict where and how we can do business, what information or products we can supply to certain countries and what information we can provide to authorities in governmental authorities. We also export components and products that are subject to certain trade-related U.S. laws, including the U.S. Export Administration Act and various economic sanctions programs administered by the U.S. Treasury’s Office of Foreign Assets Control. Although we have procedures and policies in place that should mitigate the risk of violating these laws, there is no guarantee that they will be sufficiently effective. If and when we acquire new businesses, we may not be able to ensure that the pre-existing controls and procedures meant to prevent violations of these laws were effective, and violations may occur if we are unable to timely implement corrective and effective controls and procedures when integrating newly acquired businesses. Any allegations of noncompliance with these laws could harm our reputation, divert management attention and result in significant expenses, and could therefore materially harm our business prospects, operating results and financial condition.</w:t>
      </w:r>
    </w:p>
    <w:p w14:paraId="6EE84068"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Our business in Asia is subject to aggressive competition and is sensitive to economic and market conditions</w:t>
      </w:r>
    </w:p>
    <w:p w14:paraId="5EFBCA3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operate in the automotive supply market throughout Asia including the highly competitive markets in China, Korea, and India. In each of these markets we face competition from both international and smaller domestic manufacturers. Due to the significance of the Asian markets for our profit and growth, we are exposed to risks in China, Korea, and India. We anticipate that additional competitors, both international and domestic, may seek to enter the Chinese, Korean, and/or Indian markets resulting in increased competition. Increased competition may result in price reductions, reduced margins and our inability to gain or hold market share. There have been periods of increased market volatility and moderation in the levels of economic growth in China, which resulted in periods of lower automotive production growth rates in China than those previously experienced. Our business in Asia is sensitive to economic and market conditions that drive automotive sales volumes in China, Korea, and India and may be impacted if there are reductions in vehicle demand in those markets. If we are unable to maintain our position in these Asian markets, the pace of growth slows, or vehicle sales in these markets decrease, our business prospects, operating results and financial condition could be materially adversely affected.</w:t>
      </w:r>
    </w:p>
    <w:p w14:paraId="7C89AAAB"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17</w:t>
      </w:r>
    </w:p>
    <w:p w14:paraId="48656AA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5B8ED9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lastRenderedPageBreak/>
        <w:t> </w:t>
      </w:r>
    </w:p>
    <w:p w14:paraId="5280B0A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E0599A9"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3821627">
          <v:rect id="_x0000_i1042" style="width:0;height:1.5pt" o:hralign="center" o:hrstd="t" o:hrnoshade="t" o:hr="t" fillcolor="black" stroked="f"/>
        </w:pict>
      </w:r>
    </w:p>
    <w:p w14:paraId="27E4BB9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CFC74F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C2089B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75004BB" w14:textId="77777777" w:rsidR="00AC4931" w:rsidRPr="00AC4931" w:rsidRDefault="00AC4931" w:rsidP="00AC4931">
      <w:pPr>
        <w:widowControl/>
        <w:spacing w:before="24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Global integration may result in additional risks</w:t>
      </w:r>
    </w:p>
    <w:p w14:paraId="73D225D7"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Because of our efforts to manage costs by integrating our operations globally, we face the additional risk that, should any of the other risks discussed herein materialize, the negative effects could be more pronounced. For example, while supply delays of a component have typically only affected a few customer vehicle models, such a delay could now affect several vehicle models of several customers in several geographic areas. Similarly, any recall or warranty issue we face due to a product defect or failure is now more likely to involve a larger number of units in several geographic areas.</w:t>
      </w:r>
    </w:p>
    <w:p w14:paraId="600293E0"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Exchange rate risks</w:t>
      </w:r>
    </w:p>
    <w:p w14:paraId="5DEFF26F"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As a result of our global presence, a significant portion of our revenues and expenses are denominated in currencies other than the U.S. dollar. We are therefore subject to foreign currency risks and foreign exchange exposure. Such risks and exposures include: transaction exposure, which arises because the cost of a product originates in one currency and the product is sold in another currency; revaluation effects, which arise from valuation of assets denominated in other currencies than the reporting currency of each unit; translation exposure in the income statement, which arises when the income statements of non-U.S. subsidiaries are translated into U.S. dollars; translation exposure in the balance sheet, which arises when the balance sheets of non-U.S. subsidiaries are translated into U.S. dollars; and changes in the reported U.S. dollar amounts of cash flows. We cannot predict exchange rate volatility or the extent of its impact on our future financial results. We typically denominate foreign transactions in foreign currencies to achieve a natural hedge. However, a natural hedge cannot be achieved for all our currency flows; therefore, a net transaction exposure remains within the group. The net exposure can be significant and creates a transaction exposure risk for the Company. The Company does not hedge translation exposure. However, we do engage in foreign exchange rate hedging from time to time related to foreign currency transactions.</w:t>
      </w:r>
    </w:p>
    <w:p w14:paraId="5934620A" w14:textId="77777777" w:rsidR="00AC4931" w:rsidRPr="00AC4931" w:rsidRDefault="00AC4931" w:rsidP="00AC4931">
      <w:pPr>
        <w:widowControl/>
        <w:spacing w:before="340"/>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RISKS RELATED TO ACQUISITIONS</w:t>
      </w:r>
    </w:p>
    <w:p w14:paraId="49A2120B"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 face risks in connection with acquisitions and joint ventures</w:t>
      </w:r>
    </w:p>
    <w:p w14:paraId="699B05D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Our growth has been enhanced through strategic opportunities, including acquisitions of businesses, products and technologies, and joint development agreements that we believe will complement our business. We regularly evaluate acquisition opportunities, frequently engage in acquisition discussions, conduct due diligence activities in connection with possible acquisitions, and, where appropriate, engage in acquisition negotiations. We may not be able to successfully identify suitable acquisition and joint venture candidates or complete transactions on acceptable terms, integrate acquired operations into our existing operations or expand into new markets. Our failure to identify suitable strategic opportunities may restrict our ability to grow our business. These strategic opportunities also involve numerous additional </w:t>
      </w:r>
      <w:r w:rsidRPr="00AC4931">
        <w:rPr>
          <w:rFonts w:ascii="Arial" w:eastAsia="宋体" w:hAnsi="Arial" w:cs="Arial"/>
          <w:color w:val="000000"/>
          <w:kern w:val="0"/>
          <w:sz w:val="18"/>
          <w:szCs w:val="18"/>
        </w:rPr>
        <w:lastRenderedPageBreak/>
        <w:t>risks to us and our investors, including: risks related to retaining acquired management and employees; difficulties in integrating acquired technologies, products, operations, services and personnel with our existing businesses; diversion of our management’s attention from other business concerns; assumption of contingent liabilities; adverse financial impacts from the amortization of expenses related to intangible assets; adverse financial impacts from potential impairment of goodwill; incurrence of indebtedness; and potential adverse financial impacts. In the future, we may pursue acquisitions of businesses or products that are complementary to our business but for which we have historically had little or no direct experience. These transactions can involve significant challenges and risks as well as significant time and resources that may divert management’s attention from other business activities. If we fail to adequately manage these risks, the acquisitions may not result in revenue growth, operational synergies or service or technology enhancements, which could adversely affect our financial condition.</w:t>
      </w:r>
    </w:p>
    <w:p w14:paraId="7B3CCF44" w14:textId="77777777" w:rsidR="00AC4931" w:rsidRPr="00AC4931" w:rsidRDefault="00AC4931" w:rsidP="00AC4931">
      <w:pPr>
        <w:widowControl/>
        <w:spacing w:before="340"/>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RISKS RELATED TO INTELLECTUAL PROPERTY</w:t>
      </w:r>
    </w:p>
    <w:p w14:paraId="66E857B1"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If our patents are declared invalid or our technology infringes on the proprietary rights of others, our ability to compete may be impaired</w:t>
      </w:r>
    </w:p>
    <w:p w14:paraId="7A79020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have developed a considerable amount of proprietary technology related to automotive safety systems and rely on a number of patents to protect such technology. Our intellectual property plays an important role in maintaining our competitive position in a number of the markets we serve. At present, we hold more than 6,000 patents covering a large number of innovations and product ideas, mainly in the fields of seatbelt and airbag technologies. In addition to our in-house research and development efforts, we seek to acquire rights to new intellectual property through corporate acquisitions, asset acquisitions, licensing and joint venture arrangements. Our patents and licenses expire on various dates during the period from 2021 to 2039. We do not expect the expiration of any single patent or license to have a material adverse effect on our business, operating results and financial condition. Developments or assertions by or against us relating to intellectual property rights could negatively impact our business. We primarily protect our innovations with patents and vigorously protect and defend our patents, trademarks and know-how against infringement and unauthorized use. If we are not able to protect our intellectual property and our proprietary rights and technology, we could lose those rights and incur substantial costs policing and defending those rights. We also generate license revenue from these patents, which we may lose if we do not adequately protect our intellectual property and proprietary rights. Our means of protecting our intellectual property, proprietary rights and technology may not be adequate, and our competitors may independently develop technologies that are similar or superior to our proprietary technologies, duplicate our technologies, or design around the patents we own or license. In addition, the laws of some foreign countries do not protect our proprietary rights to as great an extent as the laws of the U.S. and we may encounter significant problems in protecting and defending our intellectual property rights in certain foreign jurisdictions. This could make it difficult for us to stop the infringement of our patents or misappropriation of our other intellectual property rights. Proceedings to enforce our patent rights in foreign jurisdictions could result in substantial costs and divert our efforts and attention from other aspects of our business. Accordingly, our efforts to protect our intellectual property rights in such countries may be inadequate.</w:t>
      </w:r>
    </w:p>
    <w:p w14:paraId="0F4FD9DB"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18</w:t>
      </w:r>
    </w:p>
    <w:p w14:paraId="05655E3C"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CDCD5B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EFF0CD1"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99B9121"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lastRenderedPageBreak/>
        <w:pict w14:anchorId="1098C849">
          <v:rect id="_x0000_i1043" style="width:0;height:1.5pt" o:hralign="center" o:hrstd="t" o:hrnoshade="t" o:hr="t" fillcolor="black" stroked="f"/>
        </w:pict>
      </w:r>
    </w:p>
    <w:p w14:paraId="601B8BB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BCB8E2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B1A0BA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13D94BA" w14:textId="77777777" w:rsidR="00AC4931" w:rsidRPr="00AC4931" w:rsidRDefault="00AC4931" w:rsidP="00AC4931">
      <w:pPr>
        <w:widowControl/>
        <w:spacing w:before="24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We may not be able to protect our proprietary technology and intellectual property rights, which could result in the loss of our rights or increased costs.</w:t>
      </w:r>
    </w:p>
    <w:p w14:paraId="127F910B"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Although we believe that our products and technology do not infringe the proprietary rights of others, third parties may assert infringement claims against us in the future. Additionally, we license from third parties proprietary technology covered by patents, and we cannot be certain that any such patents will not be challenged, invalidated or circumvented. Such licenses may also be non-exclusive, meaning our competition may also be able to access such technology. Further, we expect to continue to expand our products and services and expand into new businesses, including through acquisitions, joint ventures and joint development agreements, which could increase our exposure to patent and other intellectual property claims from competitors and other parties. If claims alleging patent, copyright or trademark infringement are brought against us and are successfully prosecuted against us, they could result in substantial costs. If a successful claim is made against us and we fail to develop non-infringing technology, our business, operating results and financial condition could be materially adversely affected. In addition, certain of our products utilize components that are developed by third parties and licensed to us. If claims alleging patent, copyright or trademark infringement are brought against such licensors and successfully prosecuted, they could result in substantial costs, and we may not be able to replace the functions provided by these licensors. Alternate sources for the technology currently licensed to us may not be available in a timely manner, may not provide the same functions as currently provided or may be more expensive than products currently used. We may develop proprietary information through our in-house research and development efforts, consulting arrangements or research collaborations with other entities or organizations. We may seek to protect this proprietary information by entering into confidentiality agreements or consulting, services or employment agreements that contain non-disclosure and non-use provisions with our employees, consultants, scientific advisors and other third parties. However, we may fail to enter into the necessary agreements, and even if entered into, these agreements may be breached or may otherwise fail to prevent disclosure, third-party infringement or misappropriation of our proprietary information.</w:t>
      </w:r>
    </w:p>
    <w:p w14:paraId="42EC14EF"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 may not be able to respond quickly enough to changes in technology and technological risks and to develop our intellectual property into commercially viable products</w:t>
      </w:r>
    </w:p>
    <w:p w14:paraId="75EBE8AA"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Changes in legislative, regulatory or industry requirements or in competitive technologies may render certain of our products obsolete or less attractive to our customers. We currently license certain proprietary technology to third parties and, if such technology becomes obsolete or less attractive, those licensees could terminate our license agreements, which could adversely affect our results of operations. Our ability to anticipate changes in technology and regulatory standards and to successfully develop and introduce new and enhanced products on a timely basis will be a significant factor in our ability to remain competitive. We cannot provide assurance that we will be able to achieve the technological advances that may be necessary for us to remain competitive or that certain of our products will not become obsolete. We are also subject to the risks generally associated with new product introductions and applications, including lack of market acceptance, delays in product development and failure of products to operate </w:t>
      </w:r>
      <w:r w:rsidRPr="00AC4931">
        <w:rPr>
          <w:rFonts w:ascii="Arial" w:eastAsia="宋体" w:hAnsi="Arial" w:cs="Arial"/>
          <w:color w:val="000000"/>
          <w:kern w:val="0"/>
          <w:sz w:val="18"/>
          <w:szCs w:val="18"/>
        </w:rPr>
        <w:lastRenderedPageBreak/>
        <w:t>properly. As part of our business strategy, we may from time to time seek to acquire businesses or assets that provide us with additional intellectual property. We may experience problems integrating acquired technologies into our existing technologies and products, and such acquired intellectual property may be subject to known or contingent liabilities such as infringement claims.</w:t>
      </w:r>
    </w:p>
    <w:p w14:paraId="7649CBC6"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Some of our products and technologies may use “open source” software, which may restrict how we use or distribute our products or require that we release the source code of certain products subject to those licenses</w:t>
      </w:r>
    </w:p>
    <w:p w14:paraId="081B5B40"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Some of our products and technologies may incorporate software licensed under so-called “open source” licenses. In addition to risks related to license requirements, usage of open source software can lead to greater risks than use of third-party commercial software, as open source licensors generally do not provide warranties or controls on origin of the software. Additionally, open source licenses typically require that source code subject to the license be made available to the public and that any modifications or derivative works to open source software continue to be licensed under open source licenses. These open source licenses typically mandate that proprietary software, when combined in specific ways with open source software, become subject to the open source license. If we combine our proprietary software in such ways with open source software, we could be required to release the source code of our proprietary software. We take steps to ensure that our proprietary software is not combined with, and does not incorporate, open source software in ways that would require our proprietary software to be subject to an open source license. However, few courts have interpreted open source licenses; therefore the manner in which these licenses may be interpreted and enforced is subject to some uncertainty.</w:t>
      </w:r>
    </w:p>
    <w:p w14:paraId="1C886485" w14:textId="77777777" w:rsidR="00AC4931" w:rsidRPr="00AC4931" w:rsidRDefault="00AC4931" w:rsidP="00AC4931">
      <w:pPr>
        <w:widowControl/>
        <w:spacing w:before="340"/>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RISKS RELATED TO GOVERNMENT REGULATIONS AND TAXES</w:t>
      </w:r>
    </w:p>
    <w:p w14:paraId="3784F39F"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Our business may be adversely affected by laws or regulations, including environmental, occupational health and safety or other governmental regulations</w:t>
      </w:r>
    </w:p>
    <w:p w14:paraId="0282E22C"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We are subject to various federal, state, local and foreign laws and regulations, including those related to the requirements of environmental, occupational health and safety, financial and other matters. We cannot predict the substance or impact of pending or future legislation or regulations, or the application thereof. The introduction of new laws or regulations or changes in existing laws or regulations, or the interpretations thereof, could increase the costs of doing business for us or our customers or suppliers or restrict our actions and adversely affect our business prospects, operating results, cash flows or financial condition. Our operations are subject to environmental and safety laws and regulations governing, among other things, emissions to air, discharges to waters and the generation, handling, storage, transportation, treatment and disposal of waste and other materials. The operation of automotive parts manufacturing facilities entails risks in these areas, and we cannot assure that we will not incur material costs or liabilities as a result. Additionally, environmental laws, regulations, and permits and the enforcement thereof change frequently and have tended to become increasingly stringent over time, which may necessitate substantial capital expenditures or operating costs or may require changes of production processes. Although we have no known pending material environmental issues, there is no assurance that we will not be adversely impacted by any environmental costs, liabilities or claims in the future either under present laws and regulations or those that may be adopted or imposed in the future. Our costs, liabilities, and obligations relating to environmental matters may have a material adverse</w:t>
      </w:r>
    </w:p>
    <w:p w14:paraId="722B696E"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19</w:t>
      </w:r>
    </w:p>
    <w:p w14:paraId="06788AB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96D57B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2CB79F3"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3123106"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048647F">
          <v:rect id="_x0000_i1044" style="width:0;height:1.5pt" o:hralign="center" o:hrstd="t" o:hrnoshade="t" o:hr="t" fillcolor="black" stroked="f"/>
        </w:pict>
      </w:r>
    </w:p>
    <w:p w14:paraId="4BEF9389"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0FBDF3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9AFF34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E152658" w14:textId="77777777" w:rsidR="00AC4931" w:rsidRPr="00AC4931" w:rsidRDefault="00AC4931" w:rsidP="00AC4931">
      <w:pPr>
        <w:widowControl/>
        <w:spacing w:before="24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effect on our business, operating results, cash flows, or financial condition. Our facilities in the U.S. are subject to regulation by the Occupational Safety and Health Administration (“OSHA”), which regulates the protection of the health and safety of workers. In addition, the OSHA hazard communication standard requires that we maintain information about hazardous materials used or produced in our operations and that we provide this information to employees, state and local governmental authorities and local residents. We are also subject to occupational safety regulations in other countries. Our failure to comply with government occupational safety regulations, including OSHA requirements, or general industry standards relating to employee health and safety, keep adequate records or monitor occupational exposure to regulated substances could expose us to liability, enforcement, and fines and penalties, and could have a material adverse effect on our business, operating results, cash flows, or financial condition. Although we employ safety procedures in the design and operation of our facilities, there is a risk that an accident or injury to one of our employees could occur in one of our facilities. Any accident or injury to our employees could result in litigation, manufacturing delays and harm to our reputation, which could negatively affect our business, operating results and financial condition.</w:t>
      </w:r>
    </w:p>
    <w:p w14:paraId="5C6CA3E2"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Our business may be adversely affected by changes in automotive safety regulations or concerns that drive further regulation of the automobile safety market</w:t>
      </w:r>
    </w:p>
    <w:p w14:paraId="4ED7EB7E"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Government vehicle safety regulations are a key driver in our business. Historically, these regulations have imposed ever more stringent safety regulations for vehicles. Safety regulations have a positive impact on driver awareness and acceptance of automotive safety products and technology. These more stringent safety regulations often require vehicles to have more safety content per vehicle and more advanced safety products, which has thus been a driver of growth in our business. However, these regulations are subject to change based on a number of factors that are not within our control, including new scientific or medical data, adverse publicity regarding the industry recalls and safety risks of airbags or seatbelts (for instance, to children and small adults), domestic and foreign political developments or considerations, and litigation relating to our products and our competitors’ products. Changes in government regulations in response to these and other considerations could have a severe impact on our business. Although we believe that over time safety will continue to be a regulatory priority, if government priorities shift and we are unable to adapt to changing regulations, our business may suffer material adverse effects. The regulatory obligation of complying with safety regulations could increase as federal and local regulators impose more stringent compliance and reporting requirements in response to product recalls and safety issues in our industry. We are subject to existing stringent requirements under the National Traffic and Motor Vehicle Safety Act of 1966 (the “Vehicle Safety Act”), including a duty to report, subject to strict timing requirements, safety defects with our products. The Vehicle Safety Act imposes potentially significant civil penalties for violations including the failure to comply with such reporting actions. </w:t>
      </w:r>
      <w:r w:rsidRPr="00AC4931">
        <w:rPr>
          <w:rFonts w:ascii="Arial" w:eastAsia="宋体" w:hAnsi="Arial" w:cs="Arial"/>
          <w:color w:val="000000"/>
          <w:kern w:val="0"/>
          <w:sz w:val="18"/>
          <w:szCs w:val="18"/>
        </w:rPr>
        <w:lastRenderedPageBreak/>
        <w:t>We are also subject to the existing U.S. Transportation Recall Enhancement, Accountability and Documentation (TREAD) Act, which requires equipment manufacturers, such as Autoliv, to comply with “Early Warning” requirements by reporting certain information to the National Highway Traffic Safety Administration (“NHTSA”) such as: information related to defects or reports of injury related to our products. TREAD imposes criminal liability for violating such requirements if a defect subsequently causes death or bodily injury. In addition, the Vehicle Safety Act authorizes NHTSA to require a manufacturer to recall and repair vehicles that contain safety defects or fail to comply with U.S. federal motor vehicle safety standards. Sales into foreign countries may be subject to similar regulations. Due to the record recall of airbag inflators of one of our competitors, NHTSA has become more active in requesting information from suppliers and vehicle manufactures regarding potential product defects and we expect that to continue or increase under the new U.S. presidential administration. For example, in connection with the Toyota Recall, we, in connection with Toyota, have informed NHTSA of the reported incidents and Toyota has discussed with NHTSA what action it will take to address the issue.</w:t>
      </w:r>
    </w:p>
    <w:p w14:paraId="4C722B2C"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Negative or unexpected tax developments could adversely affect our effective tax rate, operating results and financial condition</w:t>
      </w:r>
    </w:p>
    <w:p w14:paraId="52EF0E20"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Changes in, or changes in the application of, U.S. or foreign tax laws, regulations or accounting principles with respect to matters such as tax base, tax rates, transfer pricing, dividends and restrictions on certain forms of tax relief or limitations on favorable tax treatment could affect the carrying value of our deferred tax assets and/or our effective tax rate. Our annual tax rate is based on our income and the tax laws in the jurisdictions in which we operate. Because of our global operations we face uncertainties and judgments in the application of complex tax regulations in a multitude of jurisdictions. Significant judgment is required in determining our effective tax rate and in evaluating our tax positions. Although we believe that our tax estimates are reasonable, the final determination of our tax liability may be different from what is reflected in our historical income tax provisions and accruals. We are regularly examined by tax authorities around the world and in a number of jurisdictions, we are currently under examination, which inherently creates uncertainty. Although we periodically assess the likelihood of adverse outcomes, negative or unexpected results from one or more of such reviews and audits, including any related interest or penalties imposed by governmental authorities, could increase our effective tax rate and adversely impact our operating results, cash flows or financial condition. The effective tax rates used for interim reporting are based on our projected full-year geographic earnings mix and take into account projected tax costs on intercompany dividends from lower tier subsidiaries.  Changes in currency exchange rates, earnings mix among taxing jurisdictions, or the ability of our subsidiaries to pay dividends could impact our reported effective tax rates, or cause fluctuations in the tax rate from quarter to quarter. Certain anti-trust judgements or settlements may not be tax deductible, which could have a material negative impact to our annual tax rate. A number of other factors may also increase our effective tax rate, which could have an adverse impact on our profitability and operating results. Due to our numerous foreign operations, our tax rate may be impacted by our global mix of earnings if our pre-tax income is lower than anticipated in countries with lower statutory tax rates and/or is higher than anticipated in countries with higher statutory tax rates. Based on U.S. regulatory rules, we do not record current or deferred tax liabilities on permanent investments in our foreign subsidiaries and our foreign earnings that are indefinitely reinvested. See Note 6 to the Consolidated Financial Statements in this Annual Report.</w:t>
      </w:r>
    </w:p>
    <w:p w14:paraId="37FDC4FB"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 may not be able to fully realize our deferred tax assets</w:t>
      </w:r>
    </w:p>
    <w:p w14:paraId="1D7AA57B"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We currently carry deferred tax assets, net of valuation allowances, resulting from deductible temporary differences and tax loss carry-forwards, both of which will reduce taxable income in the future. However, deferred tax assets may only be realized against taxable income. The amount of our deferred tax assets could be reduced, from time to time, due to adverse changes in our operations or in estimates of future taxable income from operations during the carry-forward period as a result of a deterioration in market conditions or other circumstances. Any such reduction would adversely affect our income in the period of the adjustment. Additional information on our deferred tax assets is included in Note 6 to the Consolidated Financial Statements in this Annual Report.</w:t>
      </w:r>
    </w:p>
    <w:p w14:paraId="052B206D"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p w14:paraId="6287A6A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91213B7"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58B174B"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4095A7C"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04443D06">
          <v:rect id="_x0000_i1045" style="width:0;height:1.5pt" o:hralign="center" o:hrstd="t" o:hrnoshade="t" o:hr="t" fillcolor="black" stroked="f"/>
        </w:pict>
      </w:r>
    </w:p>
    <w:p w14:paraId="45E1106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63F1296"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CB8F62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EC84B6C" w14:textId="77777777" w:rsidR="00AC4931" w:rsidRPr="00AC4931" w:rsidRDefault="00AC4931" w:rsidP="00AC4931">
      <w:pPr>
        <w:widowControl/>
        <w:spacing w:before="160"/>
        <w:jc w:val="center"/>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RISKS RELATED TO THE SEPARATION OF VEONEER</w:t>
      </w:r>
    </w:p>
    <w:p w14:paraId="650267D7"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 could incur significant liability if the separation is determined to be a taxable transaction</w:t>
      </w:r>
    </w:p>
    <w:p w14:paraId="28569BD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have received an opinion of outside counsel to the effect that, for U.S. federal income tax purposes, the separation should qualify, for both Autoliv and its stockholders, as a reorganization within the meaning of Sections 368(a)(1)(D) and 355 of the U.S. Internal Revenue Code of 1986, as amended. The opinion is based on and relies on, among other things, certain facts and assumptions, as well as certain representations, statements and undertakings of Autoliv and Veoneer, including those relating to the past and future conduct of Autoliv and Veoneer. If any of these facts, assumptions, representations, statements or undertakings is, or becomes, inaccurate or incomplete, reliance on the opinion may be affected. An opinion of outside counsel represents their legal judgment but is not binding on the IRS or any court. Accordingly, there can be no assurance that the IRS will not challenge the conclusions reflected in the opinion or that a court would not sustain such a challenge.</w:t>
      </w:r>
    </w:p>
    <w:p w14:paraId="1DA46C4E"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Potential indemnification obligations to Veoneer or a refusal of Veoneer to indemnify us pursuant to the agreements executed in connection with the internal reorganization and spin-off could materially adversely affect us</w:t>
      </w:r>
    </w:p>
    <w:p w14:paraId="47DBBBD6"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The transaction agreements we entered into with Veoneer in connection with the internal reorganization and the spin-off provide for cross-indemnities that require Autoliv and Veoneer to bear financial responsibility for each company’s business prior to the internal reorganization or spin-off, as applicable, and to indemnify the other party in connection with a breach of such party of the transaction agreements; provided, however, certain warranty, recall and product liabilities for electronics products manufactured prior to the completion of the internal reorganization have been retained by us and we will indemnify Veoneer for any losses associated with such warranty, recall or product liabilities pursuant to the distribution agreement entered into as part of the spin-off. Any indemnities that we are required to provide to Veoneer may be significant and could negatively affect our business. In addition, there can be no assurance that the indemnities from Veoneer will be sufficient to protect us against the full amount of any </w:t>
      </w:r>
      <w:r w:rsidRPr="00AC4931">
        <w:rPr>
          <w:rFonts w:ascii="Arial" w:eastAsia="宋体" w:hAnsi="Arial" w:cs="Arial"/>
          <w:color w:val="000000"/>
          <w:kern w:val="0"/>
          <w:sz w:val="18"/>
          <w:szCs w:val="18"/>
        </w:rPr>
        <w:lastRenderedPageBreak/>
        <w:t>potential liabilities. Even if we do succeed in recovering from Veoneer any amounts for which we are held liable, we may be temporarily required to bear these losses ourselves. In addition, each of these risks could have a material adverse effect on our business, operating results and financial condition.</w:t>
      </w:r>
    </w:p>
    <w:p w14:paraId="53C1CFDE" w14:textId="77777777" w:rsidR="00AC4931" w:rsidRPr="00AC4931" w:rsidRDefault="00AC4931" w:rsidP="00AC4931">
      <w:pPr>
        <w:widowControl/>
        <w:jc w:val="left"/>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t> </w:t>
      </w:r>
    </w:p>
    <w:p w14:paraId="4D504A4B" w14:textId="77777777" w:rsidR="00AC4931" w:rsidRPr="00AC4931" w:rsidRDefault="00AC4931" w:rsidP="00AC4931">
      <w:pPr>
        <w:widowControl/>
        <w:rPr>
          <w:rFonts w:ascii="微软雅黑" w:eastAsia="微软雅黑" w:hAnsi="微软雅黑" w:cs="宋体"/>
          <w:color w:val="000000"/>
          <w:kern w:val="0"/>
          <w:sz w:val="14"/>
          <w:szCs w:val="14"/>
        </w:rPr>
      </w:pPr>
      <w:r w:rsidRPr="00AC4931">
        <w:rPr>
          <w:rFonts w:ascii="微软雅黑" w:eastAsia="微软雅黑" w:hAnsi="微软雅黑" w:cs="宋体" w:hint="eastAsia"/>
          <w:color w:val="000000"/>
          <w:kern w:val="0"/>
          <w:sz w:val="14"/>
          <w:szCs w:val="14"/>
        </w:rPr>
        <w:t> </w:t>
      </w:r>
    </w:p>
    <w:p w14:paraId="1C3F0680" w14:textId="77777777" w:rsidR="00AC4931" w:rsidRPr="00AC4931" w:rsidRDefault="00AC4931" w:rsidP="00AC4931">
      <w:pPr>
        <w:widowControl/>
        <w:spacing w:before="160"/>
        <w:rPr>
          <w:rFonts w:ascii="Arial" w:eastAsia="宋体" w:hAnsi="Arial" w:cs="Arial" w:hint="eastAsia"/>
          <w:b/>
          <w:bCs/>
          <w:color w:val="010202"/>
          <w:kern w:val="0"/>
          <w:sz w:val="22"/>
        </w:rPr>
      </w:pPr>
      <w:r w:rsidRPr="00AC4931">
        <w:rPr>
          <w:rFonts w:ascii="Arial" w:eastAsia="宋体" w:hAnsi="Arial" w:cs="Arial"/>
          <w:b/>
          <w:bCs/>
          <w:color w:val="010202"/>
          <w:kern w:val="0"/>
          <w:sz w:val="22"/>
        </w:rPr>
        <w:t>Item 1B. Unresolved Staff Comments</w:t>
      </w:r>
    </w:p>
    <w:p w14:paraId="38E91B84" w14:textId="77777777" w:rsidR="00AC4931" w:rsidRPr="00AC4931" w:rsidRDefault="00AC4931" w:rsidP="00AC4931">
      <w:pPr>
        <w:widowControl/>
        <w:spacing w:before="120"/>
        <w:rPr>
          <w:rFonts w:ascii="Arial" w:eastAsia="宋体" w:hAnsi="Arial" w:cs="Arial"/>
          <w:color w:val="010202"/>
          <w:kern w:val="0"/>
          <w:sz w:val="18"/>
          <w:szCs w:val="18"/>
        </w:rPr>
      </w:pPr>
      <w:r w:rsidRPr="00AC4931">
        <w:rPr>
          <w:rFonts w:ascii="Arial" w:eastAsia="宋体" w:hAnsi="Arial" w:cs="Arial"/>
          <w:color w:val="010202"/>
          <w:kern w:val="0"/>
          <w:sz w:val="18"/>
          <w:szCs w:val="18"/>
        </w:rPr>
        <w:t>Not applicable.</w:t>
      </w:r>
    </w:p>
    <w:p w14:paraId="61D16793"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p w14:paraId="397F5D5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62C1AB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5097EA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84B970B"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48E5BD56">
          <v:rect id="_x0000_i1046" style="width:0;height:1.5pt" o:hralign="center" o:hrstd="t" o:hrnoshade="t" o:hr="t" fillcolor="black" stroked="f"/>
        </w:pict>
      </w:r>
    </w:p>
    <w:p w14:paraId="26EE4F7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F6AA913"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9E4FD8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0DE92F6" w14:textId="77777777" w:rsidR="00AC4931" w:rsidRPr="00AC4931" w:rsidRDefault="00AC4931" w:rsidP="00AC4931">
      <w:pPr>
        <w:widowControl/>
        <w:rPr>
          <w:rFonts w:ascii="Arial" w:eastAsia="宋体" w:hAnsi="Arial" w:cs="Arial" w:hint="eastAsia"/>
          <w:b/>
          <w:bCs/>
          <w:color w:val="010202"/>
          <w:kern w:val="0"/>
          <w:sz w:val="22"/>
        </w:rPr>
      </w:pPr>
      <w:r w:rsidRPr="00AC4931">
        <w:rPr>
          <w:rFonts w:ascii="Arial" w:eastAsia="宋体" w:hAnsi="Arial" w:cs="Arial"/>
          <w:b/>
          <w:bCs/>
          <w:color w:val="010202"/>
          <w:kern w:val="0"/>
          <w:sz w:val="22"/>
        </w:rPr>
        <w:t>Item 2. Properties</w:t>
      </w:r>
    </w:p>
    <w:p w14:paraId="35B8B153" w14:textId="77777777" w:rsidR="00AC4931" w:rsidRPr="00AC4931" w:rsidRDefault="00AC4931" w:rsidP="00AC4931">
      <w:pPr>
        <w:widowControl/>
        <w:spacing w:before="120"/>
        <w:rPr>
          <w:rFonts w:ascii="Arial" w:eastAsia="宋体" w:hAnsi="Arial" w:cs="Arial"/>
          <w:color w:val="010202"/>
          <w:kern w:val="0"/>
          <w:sz w:val="18"/>
          <w:szCs w:val="18"/>
        </w:rPr>
      </w:pPr>
      <w:r w:rsidRPr="00AC4931">
        <w:rPr>
          <w:rFonts w:ascii="Arial" w:eastAsia="宋体" w:hAnsi="Arial" w:cs="Arial"/>
          <w:color w:val="010202"/>
          <w:kern w:val="0"/>
          <w:sz w:val="18"/>
          <w:szCs w:val="18"/>
        </w:rPr>
        <w:t>Autoliv’s principal executive offices are located at Klarabergsviadukten 70, Section B7, SE-111 64, Stockholm, Sweden. Autoliv’s various businesses operate in a number of production facilities and offices. Autoliv believes that its properties are adequately maintained and suitable for their intended use and that the Company’s production facilities have adequate capacity for the Company’s current and foreseeable needs. All of Autoliv’s production facilities and offices are owned or leased by operating (either subsidiary or joint venture) companies.</w:t>
      </w:r>
    </w:p>
    <w:p w14:paraId="09777B59" w14:textId="77777777" w:rsidR="00AC4931" w:rsidRPr="00AC4931" w:rsidRDefault="00AC4931" w:rsidP="00AC4931">
      <w:pPr>
        <w:widowControl/>
        <w:jc w:val="left"/>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357"/>
        <w:gridCol w:w="286"/>
        <w:gridCol w:w="3157"/>
        <w:gridCol w:w="286"/>
        <w:gridCol w:w="4808"/>
        <w:gridCol w:w="286"/>
        <w:gridCol w:w="2434"/>
      </w:tblGrid>
      <w:tr w:rsidR="00AC4931" w:rsidRPr="00AC4931" w14:paraId="3936FEA6" w14:textId="77777777" w:rsidTr="00AC4931">
        <w:tc>
          <w:tcPr>
            <w:tcW w:w="20599" w:type="dxa"/>
            <w:gridSpan w:val="7"/>
            <w:shd w:val="clear" w:color="auto" w:fill="FFFFFF"/>
            <w:tcMar>
              <w:top w:w="15" w:type="dxa"/>
              <w:left w:w="0" w:type="dxa"/>
              <w:bottom w:w="0" w:type="dxa"/>
              <w:right w:w="15" w:type="dxa"/>
            </w:tcMar>
            <w:vAlign w:val="bottom"/>
            <w:hideMark/>
          </w:tcPr>
          <w:p w14:paraId="47C3AFAB" w14:textId="77777777" w:rsidR="00AC4931" w:rsidRPr="00AC4931" w:rsidRDefault="00AC4931" w:rsidP="00AC4931">
            <w:pPr>
              <w:widowControl/>
              <w:jc w:val="center"/>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AUTOLIV MANUFACTURING FACILITIES</w:t>
            </w:r>
          </w:p>
        </w:tc>
      </w:tr>
      <w:tr w:rsidR="00AC4931" w:rsidRPr="00AC4931" w14:paraId="7AD007D2" w14:textId="77777777" w:rsidTr="00AC4931">
        <w:tc>
          <w:tcPr>
            <w:tcW w:w="9349" w:type="dxa"/>
            <w:shd w:val="clear" w:color="auto" w:fill="FFFFFF"/>
            <w:tcMar>
              <w:top w:w="15" w:type="dxa"/>
              <w:left w:w="0" w:type="dxa"/>
              <w:bottom w:w="0" w:type="dxa"/>
              <w:right w:w="15" w:type="dxa"/>
            </w:tcMar>
            <w:vAlign w:val="bottom"/>
            <w:hideMark/>
          </w:tcPr>
          <w:p w14:paraId="0DD403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19A056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vAlign w:val="bottom"/>
            <w:hideMark/>
          </w:tcPr>
          <w:p w14:paraId="3732D5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343C2E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vAlign w:val="bottom"/>
            <w:hideMark/>
          </w:tcPr>
          <w:p w14:paraId="03BFB1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6C0DCE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68C22345"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8B5C334" w14:textId="77777777" w:rsidTr="00AC4931">
        <w:tc>
          <w:tcPr>
            <w:tcW w:w="9349" w:type="dxa"/>
            <w:tcBorders>
              <w:bottom w:val="single" w:sz="6" w:space="0" w:color="000000"/>
            </w:tcBorders>
            <w:shd w:val="clear" w:color="auto" w:fill="FFFFFF"/>
            <w:tcMar>
              <w:top w:w="15" w:type="dxa"/>
              <w:left w:w="0" w:type="dxa"/>
              <w:bottom w:w="0" w:type="dxa"/>
              <w:right w:w="15" w:type="dxa"/>
            </w:tcMar>
            <w:vAlign w:val="bottom"/>
            <w:hideMark/>
          </w:tcPr>
          <w:p w14:paraId="19C909D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Country/Company</w:t>
            </w:r>
          </w:p>
        </w:tc>
        <w:tc>
          <w:tcPr>
            <w:tcW w:w="286" w:type="dxa"/>
            <w:shd w:val="clear" w:color="auto" w:fill="FFFFFF"/>
            <w:tcMar>
              <w:top w:w="15" w:type="dxa"/>
              <w:left w:w="0" w:type="dxa"/>
              <w:bottom w:w="0" w:type="dxa"/>
              <w:right w:w="15" w:type="dxa"/>
            </w:tcMar>
            <w:vAlign w:val="bottom"/>
            <w:hideMark/>
          </w:tcPr>
          <w:p w14:paraId="508C1F7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55" w:type="dxa"/>
            <w:tcBorders>
              <w:bottom w:val="single" w:sz="6" w:space="0" w:color="000000"/>
            </w:tcBorders>
            <w:shd w:val="clear" w:color="auto" w:fill="FFFFFF"/>
            <w:tcMar>
              <w:top w:w="15" w:type="dxa"/>
              <w:left w:w="0" w:type="dxa"/>
              <w:bottom w:w="0" w:type="dxa"/>
              <w:right w:w="15" w:type="dxa"/>
            </w:tcMar>
            <w:vAlign w:val="bottom"/>
            <w:hideMark/>
          </w:tcPr>
          <w:p w14:paraId="2A9F798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Location of Facility</w:t>
            </w:r>
          </w:p>
        </w:tc>
        <w:tc>
          <w:tcPr>
            <w:tcW w:w="286" w:type="dxa"/>
            <w:shd w:val="clear" w:color="auto" w:fill="FFFFFF"/>
            <w:tcMar>
              <w:top w:w="15" w:type="dxa"/>
              <w:left w:w="0" w:type="dxa"/>
              <w:bottom w:w="0" w:type="dxa"/>
              <w:right w:w="15" w:type="dxa"/>
            </w:tcMar>
            <w:vAlign w:val="bottom"/>
            <w:hideMark/>
          </w:tcPr>
          <w:p w14:paraId="43055E4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805" w:type="dxa"/>
            <w:tcBorders>
              <w:bottom w:val="single" w:sz="6" w:space="0" w:color="000000"/>
            </w:tcBorders>
            <w:shd w:val="clear" w:color="auto" w:fill="FFFFFF"/>
            <w:tcMar>
              <w:top w:w="15" w:type="dxa"/>
              <w:left w:w="0" w:type="dxa"/>
              <w:bottom w:w="0" w:type="dxa"/>
              <w:right w:w="15" w:type="dxa"/>
            </w:tcMar>
            <w:vAlign w:val="bottom"/>
            <w:hideMark/>
          </w:tcPr>
          <w:p w14:paraId="3FFF5CE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Items produced at Facility</w:t>
            </w:r>
          </w:p>
        </w:tc>
        <w:tc>
          <w:tcPr>
            <w:tcW w:w="286" w:type="dxa"/>
            <w:shd w:val="clear" w:color="auto" w:fill="FFFFFF"/>
            <w:tcMar>
              <w:top w:w="15" w:type="dxa"/>
              <w:left w:w="0" w:type="dxa"/>
              <w:bottom w:w="0" w:type="dxa"/>
              <w:right w:w="15" w:type="dxa"/>
            </w:tcMar>
            <w:vAlign w:val="bottom"/>
            <w:hideMark/>
          </w:tcPr>
          <w:p w14:paraId="429CEFB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42" w:type="dxa"/>
            <w:tcBorders>
              <w:bottom w:val="single" w:sz="6" w:space="0" w:color="000000"/>
            </w:tcBorders>
            <w:shd w:val="clear" w:color="auto" w:fill="FFFFFF"/>
            <w:tcMar>
              <w:top w:w="15" w:type="dxa"/>
              <w:left w:w="0" w:type="dxa"/>
              <w:bottom w:w="0" w:type="dxa"/>
              <w:right w:w="15" w:type="dxa"/>
            </w:tcMar>
            <w:hideMark/>
          </w:tcPr>
          <w:p w14:paraId="19A48CA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Owned/Leased</w:t>
            </w:r>
          </w:p>
        </w:tc>
      </w:tr>
      <w:tr w:rsidR="00AC4931" w:rsidRPr="00AC4931" w14:paraId="2638295F" w14:textId="77777777" w:rsidTr="00AC4931">
        <w:tc>
          <w:tcPr>
            <w:tcW w:w="9349" w:type="dxa"/>
            <w:tcBorders>
              <w:top w:val="single" w:sz="6" w:space="0" w:color="000000"/>
            </w:tcBorders>
            <w:shd w:val="clear" w:color="auto" w:fill="CCECFF"/>
            <w:tcMar>
              <w:top w:w="15" w:type="dxa"/>
              <w:left w:w="0" w:type="dxa"/>
              <w:bottom w:w="0" w:type="dxa"/>
              <w:right w:w="15" w:type="dxa"/>
            </w:tcMar>
            <w:hideMark/>
          </w:tcPr>
          <w:p w14:paraId="500E937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Brazil</w:t>
            </w:r>
          </w:p>
        </w:tc>
        <w:tc>
          <w:tcPr>
            <w:tcW w:w="286" w:type="dxa"/>
            <w:shd w:val="clear" w:color="auto" w:fill="CCECFF"/>
            <w:tcMar>
              <w:top w:w="15" w:type="dxa"/>
              <w:left w:w="0" w:type="dxa"/>
              <w:bottom w:w="0" w:type="dxa"/>
              <w:right w:w="15" w:type="dxa"/>
            </w:tcMar>
            <w:vAlign w:val="bottom"/>
            <w:hideMark/>
          </w:tcPr>
          <w:p w14:paraId="5A3CBD9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tcBorders>
              <w:top w:val="single" w:sz="6" w:space="0" w:color="000000"/>
            </w:tcBorders>
            <w:shd w:val="clear" w:color="auto" w:fill="CCECFF"/>
            <w:tcMar>
              <w:top w:w="15" w:type="dxa"/>
              <w:left w:w="0" w:type="dxa"/>
              <w:bottom w:w="0" w:type="dxa"/>
              <w:right w:w="15" w:type="dxa"/>
            </w:tcMar>
            <w:hideMark/>
          </w:tcPr>
          <w:p w14:paraId="6742E109"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0BC00E88"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4805" w:type="dxa"/>
            <w:tcBorders>
              <w:top w:val="single" w:sz="6" w:space="0" w:color="000000"/>
            </w:tcBorders>
            <w:shd w:val="clear" w:color="auto" w:fill="CCECFF"/>
            <w:tcMar>
              <w:top w:w="15" w:type="dxa"/>
              <w:left w:w="0" w:type="dxa"/>
              <w:bottom w:w="0" w:type="dxa"/>
              <w:right w:w="15" w:type="dxa"/>
            </w:tcMar>
            <w:hideMark/>
          </w:tcPr>
          <w:p w14:paraId="61FA3F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585CAE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tcBorders>
              <w:top w:val="single" w:sz="6" w:space="0" w:color="000000"/>
            </w:tcBorders>
            <w:shd w:val="clear" w:color="auto" w:fill="CCECFF"/>
            <w:tcMar>
              <w:top w:w="15" w:type="dxa"/>
              <w:left w:w="0" w:type="dxa"/>
              <w:bottom w:w="0" w:type="dxa"/>
              <w:right w:w="15" w:type="dxa"/>
            </w:tcMar>
            <w:hideMark/>
          </w:tcPr>
          <w:p w14:paraId="769DFE78"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79F508D" w14:textId="77777777" w:rsidTr="00AC4931">
        <w:tc>
          <w:tcPr>
            <w:tcW w:w="9349" w:type="dxa"/>
            <w:shd w:val="clear" w:color="auto" w:fill="FFFFFF"/>
            <w:tcMar>
              <w:top w:w="15" w:type="dxa"/>
              <w:left w:w="0" w:type="dxa"/>
              <w:bottom w:w="0" w:type="dxa"/>
              <w:right w:w="15" w:type="dxa"/>
            </w:tcMar>
            <w:hideMark/>
          </w:tcPr>
          <w:p w14:paraId="5397EB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do Brasil Ltda.</w:t>
            </w:r>
          </w:p>
        </w:tc>
        <w:tc>
          <w:tcPr>
            <w:tcW w:w="286" w:type="dxa"/>
            <w:shd w:val="clear" w:color="auto" w:fill="FFFFFF"/>
            <w:tcMar>
              <w:top w:w="15" w:type="dxa"/>
              <w:left w:w="0" w:type="dxa"/>
              <w:bottom w:w="0" w:type="dxa"/>
              <w:right w:w="15" w:type="dxa"/>
            </w:tcMar>
            <w:vAlign w:val="bottom"/>
            <w:hideMark/>
          </w:tcPr>
          <w:p w14:paraId="061FD9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0EEA2C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Taubaté</w:t>
            </w:r>
          </w:p>
        </w:tc>
        <w:tc>
          <w:tcPr>
            <w:tcW w:w="286" w:type="dxa"/>
            <w:shd w:val="clear" w:color="auto" w:fill="FFFFFF"/>
            <w:tcMar>
              <w:top w:w="15" w:type="dxa"/>
              <w:left w:w="0" w:type="dxa"/>
              <w:bottom w:w="0" w:type="dxa"/>
              <w:right w:w="15" w:type="dxa"/>
            </w:tcMar>
            <w:vAlign w:val="bottom"/>
            <w:hideMark/>
          </w:tcPr>
          <w:p w14:paraId="48B528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68D252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airbags, steering wheels and seatbelt webbing</w:t>
            </w:r>
          </w:p>
        </w:tc>
        <w:tc>
          <w:tcPr>
            <w:tcW w:w="286" w:type="dxa"/>
            <w:shd w:val="clear" w:color="auto" w:fill="FFFFFF"/>
            <w:tcMar>
              <w:top w:w="15" w:type="dxa"/>
              <w:left w:w="0" w:type="dxa"/>
              <w:bottom w:w="0" w:type="dxa"/>
              <w:right w:w="15" w:type="dxa"/>
            </w:tcMar>
            <w:vAlign w:val="bottom"/>
            <w:hideMark/>
          </w:tcPr>
          <w:p w14:paraId="67BCC5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4FFA125D"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738C8E56" w14:textId="77777777" w:rsidTr="00AC4931">
        <w:tc>
          <w:tcPr>
            <w:tcW w:w="9349" w:type="dxa"/>
            <w:shd w:val="clear" w:color="auto" w:fill="FFFFFF"/>
            <w:tcMar>
              <w:top w:w="15" w:type="dxa"/>
              <w:left w:w="0" w:type="dxa"/>
              <w:bottom w:w="0" w:type="dxa"/>
              <w:right w:w="15" w:type="dxa"/>
            </w:tcMar>
            <w:hideMark/>
          </w:tcPr>
          <w:p w14:paraId="45E21819"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0DC35FFC"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1B46056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684A7631"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0BA528F8"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5A216C89"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4F4DB7AF"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3597A218" w14:textId="77777777" w:rsidTr="00AC4931">
        <w:tc>
          <w:tcPr>
            <w:tcW w:w="9349" w:type="dxa"/>
            <w:shd w:val="clear" w:color="auto" w:fill="CCECFF"/>
            <w:tcMar>
              <w:top w:w="15" w:type="dxa"/>
              <w:left w:w="0" w:type="dxa"/>
              <w:bottom w:w="0" w:type="dxa"/>
              <w:right w:w="15" w:type="dxa"/>
            </w:tcMar>
            <w:hideMark/>
          </w:tcPr>
          <w:p w14:paraId="723D6A4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Canada</w:t>
            </w:r>
          </w:p>
        </w:tc>
        <w:tc>
          <w:tcPr>
            <w:tcW w:w="286" w:type="dxa"/>
            <w:shd w:val="clear" w:color="auto" w:fill="CCECFF"/>
            <w:tcMar>
              <w:top w:w="15" w:type="dxa"/>
              <w:left w:w="0" w:type="dxa"/>
              <w:bottom w:w="0" w:type="dxa"/>
              <w:right w:w="15" w:type="dxa"/>
            </w:tcMar>
            <w:vAlign w:val="bottom"/>
            <w:hideMark/>
          </w:tcPr>
          <w:p w14:paraId="3924364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3D43636A"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5D49ABA1"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4805" w:type="dxa"/>
            <w:shd w:val="clear" w:color="auto" w:fill="CCECFF"/>
            <w:tcMar>
              <w:top w:w="15" w:type="dxa"/>
              <w:left w:w="0" w:type="dxa"/>
              <w:bottom w:w="0" w:type="dxa"/>
              <w:right w:w="15" w:type="dxa"/>
            </w:tcMar>
            <w:hideMark/>
          </w:tcPr>
          <w:p w14:paraId="6E4A1C52"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2C2D7804"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342" w:type="dxa"/>
            <w:shd w:val="clear" w:color="auto" w:fill="CCECFF"/>
            <w:tcMar>
              <w:top w:w="15" w:type="dxa"/>
              <w:left w:w="0" w:type="dxa"/>
              <w:bottom w:w="0" w:type="dxa"/>
              <w:right w:w="15" w:type="dxa"/>
            </w:tcMar>
            <w:hideMark/>
          </w:tcPr>
          <w:p w14:paraId="6761FF9A" w14:textId="77777777" w:rsidR="00AC4931" w:rsidRPr="00AC4931" w:rsidRDefault="00AC4931" w:rsidP="00AC4931">
            <w:pPr>
              <w:widowControl/>
              <w:jc w:val="center"/>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2D3AC623" w14:textId="77777777" w:rsidTr="00AC4931">
        <w:tc>
          <w:tcPr>
            <w:tcW w:w="9349" w:type="dxa"/>
            <w:shd w:val="clear" w:color="auto" w:fill="FFFFFF"/>
            <w:tcMar>
              <w:top w:w="15" w:type="dxa"/>
              <w:left w:w="0" w:type="dxa"/>
              <w:bottom w:w="0" w:type="dxa"/>
              <w:right w:w="15" w:type="dxa"/>
            </w:tcMar>
            <w:hideMark/>
          </w:tcPr>
          <w:p w14:paraId="153242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Canada, Inc.</w:t>
            </w:r>
          </w:p>
        </w:tc>
        <w:tc>
          <w:tcPr>
            <w:tcW w:w="286" w:type="dxa"/>
            <w:shd w:val="clear" w:color="auto" w:fill="FFFFFF"/>
            <w:tcMar>
              <w:top w:w="15" w:type="dxa"/>
              <w:left w:w="0" w:type="dxa"/>
              <w:bottom w:w="0" w:type="dxa"/>
              <w:right w:w="15" w:type="dxa"/>
            </w:tcMar>
            <w:vAlign w:val="bottom"/>
            <w:hideMark/>
          </w:tcPr>
          <w:p w14:paraId="443A2C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06C776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Tilbury</w:t>
            </w:r>
          </w:p>
        </w:tc>
        <w:tc>
          <w:tcPr>
            <w:tcW w:w="286" w:type="dxa"/>
            <w:shd w:val="clear" w:color="auto" w:fill="FFFFFF"/>
            <w:tcMar>
              <w:top w:w="15" w:type="dxa"/>
              <w:left w:w="0" w:type="dxa"/>
              <w:bottom w:w="0" w:type="dxa"/>
              <w:right w:w="15" w:type="dxa"/>
            </w:tcMar>
            <w:vAlign w:val="bottom"/>
            <w:hideMark/>
          </w:tcPr>
          <w:p w14:paraId="2D14B8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0EE4FA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cushions</w:t>
            </w:r>
          </w:p>
        </w:tc>
        <w:tc>
          <w:tcPr>
            <w:tcW w:w="286" w:type="dxa"/>
            <w:shd w:val="clear" w:color="auto" w:fill="FFFFFF"/>
            <w:tcMar>
              <w:top w:w="15" w:type="dxa"/>
              <w:left w:w="0" w:type="dxa"/>
              <w:bottom w:w="0" w:type="dxa"/>
              <w:right w:w="15" w:type="dxa"/>
            </w:tcMar>
            <w:vAlign w:val="bottom"/>
            <w:hideMark/>
          </w:tcPr>
          <w:p w14:paraId="0169DF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55B21E21"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0EB56768" w14:textId="77777777" w:rsidTr="00AC4931">
        <w:tc>
          <w:tcPr>
            <w:tcW w:w="9349" w:type="dxa"/>
            <w:shd w:val="clear" w:color="auto" w:fill="FFFFFF"/>
            <w:tcMar>
              <w:top w:w="15" w:type="dxa"/>
              <w:left w:w="0" w:type="dxa"/>
              <w:bottom w:w="0" w:type="dxa"/>
              <w:right w:w="15" w:type="dxa"/>
            </w:tcMar>
            <w:hideMark/>
          </w:tcPr>
          <w:p w14:paraId="42CFEC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VOA Canada, Inc.</w:t>
            </w:r>
          </w:p>
        </w:tc>
        <w:tc>
          <w:tcPr>
            <w:tcW w:w="286" w:type="dxa"/>
            <w:shd w:val="clear" w:color="auto" w:fill="FFFFFF"/>
            <w:tcMar>
              <w:top w:w="15" w:type="dxa"/>
              <w:left w:w="0" w:type="dxa"/>
              <w:bottom w:w="0" w:type="dxa"/>
              <w:right w:w="15" w:type="dxa"/>
            </w:tcMar>
            <w:vAlign w:val="bottom"/>
            <w:hideMark/>
          </w:tcPr>
          <w:p w14:paraId="3DA194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7ADA84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Collingwood</w:t>
            </w:r>
          </w:p>
        </w:tc>
        <w:tc>
          <w:tcPr>
            <w:tcW w:w="286" w:type="dxa"/>
            <w:shd w:val="clear" w:color="auto" w:fill="FFFFFF"/>
            <w:tcMar>
              <w:top w:w="15" w:type="dxa"/>
              <w:left w:w="0" w:type="dxa"/>
              <w:bottom w:w="0" w:type="dxa"/>
              <w:right w:w="15" w:type="dxa"/>
            </w:tcMar>
            <w:vAlign w:val="bottom"/>
            <w:hideMark/>
          </w:tcPr>
          <w:p w14:paraId="2C2BB4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3C3D1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 webbing</w:t>
            </w:r>
          </w:p>
        </w:tc>
        <w:tc>
          <w:tcPr>
            <w:tcW w:w="286" w:type="dxa"/>
            <w:shd w:val="clear" w:color="auto" w:fill="FFFFFF"/>
            <w:tcMar>
              <w:top w:w="15" w:type="dxa"/>
              <w:left w:w="0" w:type="dxa"/>
              <w:bottom w:w="0" w:type="dxa"/>
              <w:right w:w="15" w:type="dxa"/>
            </w:tcMar>
            <w:vAlign w:val="bottom"/>
            <w:hideMark/>
          </w:tcPr>
          <w:p w14:paraId="2A46EC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DE67F7A"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271DEC30" w14:textId="77777777" w:rsidTr="00AC4931">
        <w:tc>
          <w:tcPr>
            <w:tcW w:w="9349" w:type="dxa"/>
            <w:shd w:val="clear" w:color="auto" w:fill="FFFFFF"/>
            <w:tcMar>
              <w:top w:w="15" w:type="dxa"/>
              <w:left w:w="0" w:type="dxa"/>
              <w:bottom w:w="0" w:type="dxa"/>
              <w:right w:w="15" w:type="dxa"/>
            </w:tcMar>
            <w:hideMark/>
          </w:tcPr>
          <w:p w14:paraId="604CAC76"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78812718"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0DC5CA12"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77E5BBE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4365681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245689BB"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26EE82D5"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2D8E65F1" w14:textId="77777777" w:rsidTr="00AC4931">
        <w:tc>
          <w:tcPr>
            <w:tcW w:w="9349" w:type="dxa"/>
            <w:shd w:val="clear" w:color="auto" w:fill="CCECFF"/>
            <w:tcMar>
              <w:top w:w="15" w:type="dxa"/>
              <w:left w:w="0" w:type="dxa"/>
              <w:bottom w:w="0" w:type="dxa"/>
              <w:right w:w="15" w:type="dxa"/>
            </w:tcMar>
            <w:hideMark/>
          </w:tcPr>
          <w:p w14:paraId="41FAB9D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China</w:t>
            </w:r>
          </w:p>
        </w:tc>
        <w:tc>
          <w:tcPr>
            <w:tcW w:w="286" w:type="dxa"/>
            <w:shd w:val="clear" w:color="auto" w:fill="CCECFF"/>
            <w:tcMar>
              <w:top w:w="15" w:type="dxa"/>
              <w:left w:w="0" w:type="dxa"/>
              <w:bottom w:w="0" w:type="dxa"/>
              <w:right w:w="15" w:type="dxa"/>
            </w:tcMar>
            <w:vAlign w:val="bottom"/>
            <w:hideMark/>
          </w:tcPr>
          <w:p w14:paraId="4AB9379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3E976431"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50EB83B1"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4805" w:type="dxa"/>
            <w:shd w:val="clear" w:color="auto" w:fill="CCECFF"/>
            <w:tcMar>
              <w:top w:w="15" w:type="dxa"/>
              <w:left w:w="0" w:type="dxa"/>
              <w:bottom w:w="0" w:type="dxa"/>
              <w:right w:w="15" w:type="dxa"/>
            </w:tcMar>
            <w:hideMark/>
          </w:tcPr>
          <w:p w14:paraId="7627F99C"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769FCD7B"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342" w:type="dxa"/>
            <w:shd w:val="clear" w:color="auto" w:fill="CCECFF"/>
            <w:tcMar>
              <w:top w:w="15" w:type="dxa"/>
              <w:left w:w="0" w:type="dxa"/>
              <w:bottom w:w="0" w:type="dxa"/>
              <w:right w:w="15" w:type="dxa"/>
            </w:tcMar>
            <w:hideMark/>
          </w:tcPr>
          <w:p w14:paraId="6B9AD29B" w14:textId="77777777" w:rsidR="00AC4931" w:rsidRPr="00AC4931" w:rsidRDefault="00AC4931" w:rsidP="00AC4931">
            <w:pPr>
              <w:widowControl/>
              <w:jc w:val="center"/>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40A7E997" w14:textId="77777777" w:rsidTr="00AC4931">
        <w:tc>
          <w:tcPr>
            <w:tcW w:w="9349" w:type="dxa"/>
            <w:shd w:val="clear" w:color="auto" w:fill="FFFFFF"/>
            <w:tcMar>
              <w:top w:w="15" w:type="dxa"/>
              <w:left w:w="0" w:type="dxa"/>
              <w:bottom w:w="0" w:type="dxa"/>
              <w:right w:w="15" w:type="dxa"/>
            </w:tcMar>
            <w:hideMark/>
          </w:tcPr>
          <w:p w14:paraId="4AE99C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(Baoding) Vehicle Safety Systems Co., Ltd</w:t>
            </w:r>
          </w:p>
        </w:tc>
        <w:tc>
          <w:tcPr>
            <w:tcW w:w="286" w:type="dxa"/>
            <w:shd w:val="clear" w:color="auto" w:fill="FFFFFF"/>
            <w:tcMar>
              <w:top w:w="15" w:type="dxa"/>
              <w:left w:w="0" w:type="dxa"/>
              <w:bottom w:w="0" w:type="dxa"/>
              <w:right w:w="15" w:type="dxa"/>
            </w:tcMar>
            <w:vAlign w:val="bottom"/>
            <w:hideMark/>
          </w:tcPr>
          <w:p w14:paraId="7F166B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1A1BC1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Baoding</w:t>
            </w:r>
          </w:p>
        </w:tc>
        <w:tc>
          <w:tcPr>
            <w:tcW w:w="286" w:type="dxa"/>
            <w:shd w:val="clear" w:color="auto" w:fill="FFFFFF"/>
            <w:tcMar>
              <w:top w:w="15" w:type="dxa"/>
              <w:left w:w="0" w:type="dxa"/>
              <w:bottom w:w="0" w:type="dxa"/>
              <w:right w:w="15" w:type="dxa"/>
            </w:tcMar>
            <w:vAlign w:val="bottom"/>
            <w:hideMark/>
          </w:tcPr>
          <w:p w14:paraId="35D444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B4FEB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w:t>
            </w:r>
          </w:p>
        </w:tc>
        <w:tc>
          <w:tcPr>
            <w:tcW w:w="286" w:type="dxa"/>
            <w:shd w:val="clear" w:color="auto" w:fill="FFFFFF"/>
            <w:tcMar>
              <w:top w:w="15" w:type="dxa"/>
              <w:left w:w="0" w:type="dxa"/>
              <w:bottom w:w="0" w:type="dxa"/>
              <w:right w:w="15" w:type="dxa"/>
            </w:tcMar>
            <w:vAlign w:val="bottom"/>
            <w:hideMark/>
          </w:tcPr>
          <w:p w14:paraId="3411D6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2B6AF0E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2D1BBA8B" w14:textId="77777777" w:rsidTr="00AC4931">
        <w:tc>
          <w:tcPr>
            <w:tcW w:w="9349" w:type="dxa"/>
            <w:shd w:val="clear" w:color="auto" w:fill="FFFFFF"/>
            <w:tcMar>
              <w:top w:w="15" w:type="dxa"/>
              <w:left w:w="0" w:type="dxa"/>
              <w:bottom w:w="0" w:type="dxa"/>
              <w:right w:w="15" w:type="dxa"/>
            </w:tcMar>
            <w:hideMark/>
          </w:tcPr>
          <w:p w14:paraId="04B917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(Changchun) Vehicle Safety Systems Co., Ltd.</w:t>
            </w:r>
          </w:p>
        </w:tc>
        <w:tc>
          <w:tcPr>
            <w:tcW w:w="286" w:type="dxa"/>
            <w:shd w:val="clear" w:color="auto" w:fill="FFFFFF"/>
            <w:tcMar>
              <w:top w:w="15" w:type="dxa"/>
              <w:left w:w="0" w:type="dxa"/>
              <w:bottom w:w="0" w:type="dxa"/>
              <w:right w:w="15" w:type="dxa"/>
            </w:tcMar>
            <w:vAlign w:val="bottom"/>
            <w:hideMark/>
          </w:tcPr>
          <w:p w14:paraId="4BC2AF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06DAEF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Changchun</w:t>
            </w:r>
          </w:p>
        </w:tc>
        <w:tc>
          <w:tcPr>
            <w:tcW w:w="286" w:type="dxa"/>
            <w:shd w:val="clear" w:color="auto" w:fill="FFFFFF"/>
            <w:tcMar>
              <w:top w:w="15" w:type="dxa"/>
              <w:left w:w="0" w:type="dxa"/>
              <w:bottom w:w="0" w:type="dxa"/>
              <w:right w:w="15" w:type="dxa"/>
            </w:tcMar>
            <w:vAlign w:val="bottom"/>
            <w:hideMark/>
          </w:tcPr>
          <w:p w14:paraId="182D23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16BA6B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and seatbelts</w:t>
            </w:r>
          </w:p>
        </w:tc>
        <w:tc>
          <w:tcPr>
            <w:tcW w:w="286" w:type="dxa"/>
            <w:shd w:val="clear" w:color="auto" w:fill="FFFFFF"/>
            <w:tcMar>
              <w:top w:w="15" w:type="dxa"/>
              <w:left w:w="0" w:type="dxa"/>
              <w:bottom w:w="0" w:type="dxa"/>
              <w:right w:w="15" w:type="dxa"/>
            </w:tcMar>
            <w:vAlign w:val="bottom"/>
            <w:hideMark/>
          </w:tcPr>
          <w:p w14:paraId="08AA02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D226F7B"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1481F0ED" w14:textId="77777777" w:rsidTr="00AC4931">
        <w:tc>
          <w:tcPr>
            <w:tcW w:w="9349" w:type="dxa"/>
            <w:shd w:val="clear" w:color="auto" w:fill="FFFFFF"/>
            <w:tcMar>
              <w:top w:w="15" w:type="dxa"/>
              <w:left w:w="0" w:type="dxa"/>
              <w:bottom w:w="0" w:type="dxa"/>
              <w:right w:w="15" w:type="dxa"/>
            </w:tcMar>
            <w:hideMark/>
          </w:tcPr>
          <w:p w14:paraId="1BD03F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(China) Steering Wheel Co., Ltd.</w:t>
            </w:r>
          </w:p>
        </w:tc>
        <w:tc>
          <w:tcPr>
            <w:tcW w:w="286" w:type="dxa"/>
            <w:shd w:val="clear" w:color="auto" w:fill="FFFFFF"/>
            <w:tcMar>
              <w:top w:w="15" w:type="dxa"/>
              <w:left w:w="0" w:type="dxa"/>
              <w:bottom w:w="0" w:type="dxa"/>
              <w:right w:w="15" w:type="dxa"/>
            </w:tcMar>
            <w:vAlign w:val="bottom"/>
            <w:hideMark/>
          </w:tcPr>
          <w:p w14:paraId="1F2FB5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045A13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Fengxian/Shanghai</w:t>
            </w:r>
          </w:p>
        </w:tc>
        <w:tc>
          <w:tcPr>
            <w:tcW w:w="286" w:type="dxa"/>
            <w:shd w:val="clear" w:color="auto" w:fill="FFFFFF"/>
            <w:tcMar>
              <w:top w:w="15" w:type="dxa"/>
              <w:left w:w="0" w:type="dxa"/>
              <w:bottom w:w="0" w:type="dxa"/>
              <w:right w:w="15" w:type="dxa"/>
            </w:tcMar>
            <w:vAlign w:val="bottom"/>
            <w:hideMark/>
          </w:tcPr>
          <w:p w14:paraId="0E99CC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3D3662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Steering wheels</w:t>
            </w:r>
          </w:p>
        </w:tc>
        <w:tc>
          <w:tcPr>
            <w:tcW w:w="286" w:type="dxa"/>
            <w:shd w:val="clear" w:color="auto" w:fill="FFFFFF"/>
            <w:tcMar>
              <w:top w:w="15" w:type="dxa"/>
              <w:left w:w="0" w:type="dxa"/>
              <w:bottom w:w="0" w:type="dxa"/>
              <w:right w:w="15" w:type="dxa"/>
            </w:tcMar>
            <w:vAlign w:val="bottom"/>
            <w:hideMark/>
          </w:tcPr>
          <w:p w14:paraId="6A751B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29A0AFB8"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58E2634F" w14:textId="77777777" w:rsidTr="00AC4931">
        <w:tc>
          <w:tcPr>
            <w:tcW w:w="9349" w:type="dxa"/>
            <w:shd w:val="clear" w:color="auto" w:fill="FFFFFF"/>
            <w:tcMar>
              <w:top w:w="15" w:type="dxa"/>
              <w:left w:w="0" w:type="dxa"/>
              <w:bottom w:w="0" w:type="dxa"/>
              <w:right w:w="15" w:type="dxa"/>
            </w:tcMar>
            <w:hideMark/>
          </w:tcPr>
          <w:p w14:paraId="580467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(Guangzhou) Vehicle Safety Systems Co., Ltd.</w:t>
            </w:r>
          </w:p>
        </w:tc>
        <w:tc>
          <w:tcPr>
            <w:tcW w:w="286" w:type="dxa"/>
            <w:shd w:val="clear" w:color="auto" w:fill="FFFFFF"/>
            <w:tcMar>
              <w:top w:w="15" w:type="dxa"/>
              <w:left w:w="0" w:type="dxa"/>
              <w:bottom w:w="0" w:type="dxa"/>
              <w:right w:w="15" w:type="dxa"/>
            </w:tcMar>
            <w:vAlign w:val="bottom"/>
            <w:hideMark/>
          </w:tcPr>
          <w:p w14:paraId="3C0C03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33FB3A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Guangzhou</w:t>
            </w:r>
          </w:p>
        </w:tc>
        <w:tc>
          <w:tcPr>
            <w:tcW w:w="286" w:type="dxa"/>
            <w:shd w:val="clear" w:color="auto" w:fill="FFFFFF"/>
            <w:tcMar>
              <w:top w:w="15" w:type="dxa"/>
              <w:left w:w="0" w:type="dxa"/>
              <w:bottom w:w="0" w:type="dxa"/>
              <w:right w:w="15" w:type="dxa"/>
            </w:tcMar>
            <w:vAlign w:val="bottom"/>
            <w:hideMark/>
          </w:tcPr>
          <w:p w14:paraId="47EFB9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52BAB1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and seatbelts</w:t>
            </w:r>
          </w:p>
        </w:tc>
        <w:tc>
          <w:tcPr>
            <w:tcW w:w="286" w:type="dxa"/>
            <w:shd w:val="clear" w:color="auto" w:fill="FFFFFF"/>
            <w:tcMar>
              <w:top w:w="15" w:type="dxa"/>
              <w:left w:w="0" w:type="dxa"/>
              <w:bottom w:w="0" w:type="dxa"/>
              <w:right w:w="15" w:type="dxa"/>
            </w:tcMar>
            <w:vAlign w:val="bottom"/>
            <w:hideMark/>
          </w:tcPr>
          <w:p w14:paraId="5F3651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41F115E9"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19FC4C6E" w14:textId="77777777" w:rsidTr="00AC4931">
        <w:tc>
          <w:tcPr>
            <w:tcW w:w="9349" w:type="dxa"/>
            <w:shd w:val="clear" w:color="auto" w:fill="FFFFFF"/>
            <w:tcMar>
              <w:top w:w="15" w:type="dxa"/>
              <w:left w:w="0" w:type="dxa"/>
              <w:bottom w:w="0" w:type="dxa"/>
              <w:right w:w="15" w:type="dxa"/>
            </w:tcMar>
            <w:hideMark/>
          </w:tcPr>
          <w:p w14:paraId="0008BB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(Nanjing) Vehicle Safety Systems Co., Ltd.</w:t>
            </w:r>
          </w:p>
        </w:tc>
        <w:tc>
          <w:tcPr>
            <w:tcW w:w="286" w:type="dxa"/>
            <w:shd w:val="clear" w:color="auto" w:fill="FFFFFF"/>
            <w:tcMar>
              <w:top w:w="15" w:type="dxa"/>
              <w:left w:w="0" w:type="dxa"/>
              <w:bottom w:w="0" w:type="dxa"/>
              <w:right w:w="15" w:type="dxa"/>
            </w:tcMar>
            <w:vAlign w:val="bottom"/>
            <w:hideMark/>
          </w:tcPr>
          <w:p w14:paraId="6A0CC8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077101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Nanjing</w:t>
            </w:r>
          </w:p>
        </w:tc>
        <w:tc>
          <w:tcPr>
            <w:tcW w:w="286" w:type="dxa"/>
            <w:shd w:val="clear" w:color="auto" w:fill="FFFFFF"/>
            <w:tcMar>
              <w:top w:w="15" w:type="dxa"/>
              <w:left w:w="0" w:type="dxa"/>
              <w:bottom w:w="0" w:type="dxa"/>
              <w:right w:w="15" w:type="dxa"/>
            </w:tcMar>
            <w:vAlign w:val="bottom"/>
            <w:hideMark/>
          </w:tcPr>
          <w:p w14:paraId="1545B4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E388C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w:t>
            </w:r>
          </w:p>
        </w:tc>
        <w:tc>
          <w:tcPr>
            <w:tcW w:w="286" w:type="dxa"/>
            <w:shd w:val="clear" w:color="auto" w:fill="FFFFFF"/>
            <w:tcMar>
              <w:top w:w="15" w:type="dxa"/>
              <w:left w:w="0" w:type="dxa"/>
              <w:bottom w:w="0" w:type="dxa"/>
              <w:right w:w="15" w:type="dxa"/>
            </w:tcMar>
            <w:vAlign w:val="bottom"/>
            <w:hideMark/>
          </w:tcPr>
          <w:p w14:paraId="4A8534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34E32B5"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3A0F24A6" w14:textId="77777777" w:rsidTr="00AC4931">
        <w:tc>
          <w:tcPr>
            <w:tcW w:w="9349" w:type="dxa"/>
            <w:shd w:val="clear" w:color="auto" w:fill="FFFFFF"/>
            <w:tcMar>
              <w:top w:w="15" w:type="dxa"/>
              <w:left w:w="0" w:type="dxa"/>
              <w:bottom w:w="0" w:type="dxa"/>
              <w:right w:w="15" w:type="dxa"/>
            </w:tcMar>
            <w:hideMark/>
          </w:tcPr>
          <w:p w14:paraId="7F0CE9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Shenda (Nanjing) Automotive Components Co., Ltd.</w:t>
            </w:r>
          </w:p>
        </w:tc>
        <w:tc>
          <w:tcPr>
            <w:tcW w:w="286" w:type="dxa"/>
            <w:shd w:val="clear" w:color="auto" w:fill="FFFFFF"/>
            <w:tcMar>
              <w:top w:w="15" w:type="dxa"/>
              <w:left w:w="0" w:type="dxa"/>
              <w:bottom w:w="0" w:type="dxa"/>
              <w:right w:w="15" w:type="dxa"/>
            </w:tcMar>
            <w:vAlign w:val="bottom"/>
            <w:hideMark/>
          </w:tcPr>
          <w:p w14:paraId="2D6325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4FA76C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Nanjing</w:t>
            </w:r>
          </w:p>
        </w:tc>
        <w:tc>
          <w:tcPr>
            <w:tcW w:w="286" w:type="dxa"/>
            <w:shd w:val="clear" w:color="auto" w:fill="FFFFFF"/>
            <w:tcMar>
              <w:top w:w="15" w:type="dxa"/>
              <w:left w:w="0" w:type="dxa"/>
              <w:bottom w:w="0" w:type="dxa"/>
              <w:right w:w="15" w:type="dxa"/>
            </w:tcMar>
            <w:vAlign w:val="bottom"/>
            <w:hideMark/>
          </w:tcPr>
          <w:p w14:paraId="64EFC5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5D7DCC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 webbing</w:t>
            </w:r>
          </w:p>
        </w:tc>
        <w:tc>
          <w:tcPr>
            <w:tcW w:w="286" w:type="dxa"/>
            <w:shd w:val="clear" w:color="auto" w:fill="FFFFFF"/>
            <w:tcMar>
              <w:top w:w="15" w:type="dxa"/>
              <w:left w:w="0" w:type="dxa"/>
              <w:bottom w:w="0" w:type="dxa"/>
              <w:right w:w="15" w:type="dxa"/>
            </w:tcMar>
            <w:vAlign w:val="bottom"/>
            <w:hideMark/>
          </w:tcPr>
          <w:p w14:paraId="3E1BB6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483BD2B4"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5AEC3667" w14:textId="77777777" w:rsidTr="00AC4931">
        <w:tc>
          <w:tcPr>
            <w:tcW w:w="9349" w:type="dxa"/>
            <w:shd w:val="clear" w:color="auto" w:fill="FFFFFF"/>
            <w:tcMar>
              <w:top w:w="15" w:type="dxa"/>
              <w:left w:w="0" w:type="dxa"/>
              <w:bottom w:w="0" w:type="dxa"/>
              <w:right w:w="15" w:type="dxa"/>
            </w:tcMar>
            <w:hideMark/>
          </w:tcPr>
          <w:p w14:paraId="71FDC5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(Shanghai) Vehicle Safety Systems Co., Ltd.</w:t>
            </w:r>
          </w:p>
        </w:tc>
        <w:tc>
          <w:tcPr>
            <w:tcW w:w="286" w:type="dxa"/>
            <w:shd w:val="clear" w:color="auto" w:fill="FFFFFF"/>
            <w:tcMar>
              <w:top w:w="15" w:type="dxa"/>
              <w:left w:w="0" w:type="dxa"/>
              <w:bottom w:w="0" w:type="dxa"/>
              <w:right w:w="15" w:type="dxa"/>
            </w:tcMar>
            <w:vAlign w:val="bottom"/>
            <w:hideMark/>
          </w:tcPr>
          <w:p w14:paraId="2F8702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6972E9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Shanghai</w:t>
            </w:r>
          </w:p>
        </w:tc>
        <w:tc>
          <w:tcPr>
            <w:tcW w:w="286" w:type="dxa"/>
            <w:shd w:val="clear" w:color="auto" w:fill="FFFFFF"/>
            <w:tcMar>
              <w:top w:w="15" w:type="dxa"/>
              <w:left w:w="0" w:type="dxa"/>
              <w:bottom w:w="0" w:type="dxa"/>
              <w:right w:w="15" w:type="dxa"/>
            </w:tcMar>
            <w:vAlign w:val="bottom"/>
            <w:hideMark/>
          </w:tcPr>
          <w:p w14:paraId="788132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0F7738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w:t>
            </w:r>
          </w:p>
        </w:tc>
        <w:tc>
          <w:tcPr>
            <w:tcW w:w="286" w:type="dxa"/>
            <w:shd w:val="clear" w:color="auto" w:fill="FFFFFF"/>
            <w:tcMar>
              <w:top w:w="15" w:type="dxa"/>
              <w:left w:w="0" w:type="dxa"/>
              <w:bottom w:w="0" w:type="dxa"/>
              <w:right w:w="15" w:type="dxa"/>
            </w:tcMar>
            <w:vAlign w:val="bottom"/>
            <w:hideMark/>
          </w:tcPr>
          <w:p w14:paraId="6BBA22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5EC58781"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18EA4F65" w14:textId="77777777" w:rsidTr="00AC4931">
        <w:tc>
          <w:tcPr>
            <w:tcW w:w="9349" w:type="dxa"/>
            <w:shd w:val="clear" w:color="auto" w:fill="FFFFFF"/>
            <w:tcMar>
              <w:top w:w="15" w:type="dxa"/>
              <w:left w:w="0" w:type="dxa"/>
              <w:bottom w:w="0" w:type="dxa"/>
              <w:right w:w="15" w:type="dxa"/>
            </w:tcMar>
            <w:hideMark/>
          </w:tcPr>
          <w:p w14:paraId="32F005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Autoliv Shenda (Tai Cang) Automotive Safety Systems Co., Ltd.</w:t>
            </w:r>
          </w:p>
        </w:tc>
        <w:tc>
          <w:tcPr>
            <w:tcW w:w="286" w:type="dxa"/>
            <w:shd w:val="clear" w:color="auto" w:fill="FFFFFF"/>
            <w:tcMar>
              <w:top w:w="15" w:type="dxa"/>
              <w:left w:w="0" w:type="dxa"/>
              <w:bottom w:w="0" w:type="dxa"/>
              <w:right w:w="15" w:type="dxa"/>
            </w:tcMar>
            <w:vAlign w:val="bottom"/>
            <w:hideMark/>
          </w:tcPr>
          <w:p w14:paraId="3D198C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181D33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Shanghai</w:t>
            </w:r>
          </w:p>
        </w:tc>
        <w:tc>
          <w:tcPr>
            <w:tcW w:w="286" w:type="dxa"/>
            <w:shd w:val="clear" w:color="auto" w:fill="FFFFFF"/>
            <w:tcMar>
              <w:top w:w="15" w:type="dxa"/>
              <w:left w:w="0" w:type="dxa"/>
              <w:bottom w:w="0" w:type="dxa"/>
              <w:right w:w="15" w:type="dxa"/>
            </w:tcMar>
            <w:vAlign w:val="bottom"/>
            <w:hideMark/>
          </w:tcPr>
          <w:p w14:paraId="3341D2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7F3210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 webbing</w:t>
            </w:r>
          </w:p>
        </w:tc>
        <w:tc>
          <w:tcPr>
            <w:tcW w:w="286" w:type="dxa"/>
            <w:shd w:val="clear" w:color="auto" w:fill="FFFFFF"/>
            <w:tcMar>
              <w:top w:w="15" w:type="dxa"/>
              <w:left w:w="0" w:type="dxa"/>
              <w:bottom w:w="0" w:type="dxa"/>
              <w:right w:w="15" w:type="dxa"/>
            </w:tcMar>
            <w:vAlign w:val="bottom"/>
            <w:hideMark/>
          </w:tcPr>
          <w:p w14:paraId="3EB9E4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C6DBCA0"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78A10299" w14:textId="77777777" w:rsidTr="00AC4931">
        <w:tc>
          <w:tcPr>
            <w:tcW w:w="9349" w:type="dxa"/>
            <w:shd w:val="clear" w:color="auto" w:fill="FFFFFF"/>
            <w:tcMar>
              <w:top w:w="15" w:type="dxa"/>
              <w:left w:w="0" w:type="dxa"/>
              <w:bottom w:w="0" w:type="dxa"/>
              <w:right w:w="15" w:type="dxa"/>
            </w:tcMar>
            <w:hideMark/>
          </w:tcPr>
          <w:p w14:paraId="6FF4A6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(Jiangsu) Automotive Safety Components Co., Ltd.</w:t>
            </w:r>
          </w:p>
        </w:tc>
        <w:tc>
          <w:tcPr>
            <w:tcW w:w="286" w:type="dxa"/>
            <w:shd w:val="clear" w:color="auto" w:fill="FFFFFF"/>
            <w:tcMar>
              <w:top w:w="15" w:type="dxa"/>
              <w:left w:w="0" w:type="dxa"/>
              <w:bottom w:w="0" w:type="dxa"/>
              <w:right w:w="15" w:type="dxa"/>
            </w:tcMar>
            <w:vAlign w:val="bottom"/>
            <w:hideMark/>
          </w:tcPr>
          <w:p w14:paraId="17A5D5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500023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Jintan</w:t>
            </w:r>
          </w:p>
        </w:tc>
        <w:tc>
          <w:tcPr>
            <w:tcW w:w="286" w:type="dxa"/>
            <w:shd w:val="clear" w:color="auto" w:fill="FFFFFF"/>
            <w:tcMar>
              <w:top w:w="15" w:type="dxa"/>
              <w:left w:w="0" w:type="dxa"/>
              <w:bottom w:w="0" w:type="dxa"/>
              <w:right w:w="15" w:type="dxa"/>
            </w:tcMar>
            <w:vAlign w:val="bottom"/>
            <w:hideMark/>
          </w:tcPr>
          <w:p w14:paraId="306F10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FDF34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Propellant, Airbag initiators and Airbag inflators</w:t>
            </w:r>
          </w:p>
        </w:tc>
        <w:tc>
          <w:tcPr>
            <w:tcW w:w="286" w:type="dxa"/>
            <w:shd w:val="clear" w:color="auto" w:fill="FFFFFF"/>
            <w:tcMar>
              <w:top w:w="15" w:type="dxa"/>
              <w:left w:w="0" w:type="dxa"/>
              <w:bottom w:w="0" w:type="dxa"/>
              <w:right w:w="15" w:type="dxa"/>
            </w:tcMar>
            <w:vAlign w:val="bottom"/>
            <w:hideMark/>
          </w:tcPr>
          <w:p w14:paraId="20E399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568648BB"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1E4D5BFC" w14:textId="77777777" w:rsidTr="00AC4931">
        <w:tc>
          <w:tcPr>
            <w:tcW w:w="9349" w:type="dxa"/>
            <w:shd w:val="clear" w:color="auto" w:fill="FFFFFF"/>
            <w:tcMar>
              <w:top w:w="15" w:type="dxa"/>
              <w:left w:w="0" w:type="dxa"/>
              <w:bottom w:w="0" w:type="dxa"/>
              <w:right w:w="15" w:type="dxa"/>
            </w:tcMar>
            <w:hideMark/>
          </w:tcPr>
          <w:p w14:paraId="53EDB1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(China) Automotive Safety Systems Co., Ltd.</w:t>
            </w:r>
          </w:p>
        </w:tc>
        <w:tc>
          <w:tcPr>
            <w:tcW w:w="286" w:type="dxa"/>
            <w:shd w:val="clear" w:color="auto" w:fill="FFFFFF"/>
            <w:tcMar>
              <w:top w:w="15" w:type="dxa"/>
              <w:left w:w="0" w:type="dxa"/>
              <w:bottom w:w="0" w:type="dxa"/>
              <w:right w:w="15" w:type="dxa"/>
            </w:tcMar>
            <w:vAlign w:val="bottom"/>
            <w:hideMark/>
          </w:tcPr>
          <w:p w14:paraId="60C04A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4C0854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Nantong</w:t>
            </w:r>
          </w:p>
        </w:tc>
        <w:tc>
          <w:tcPr>
            <w:tcW w:w="286" w:type="dxa"/>
            <w:shd w:val="clear" w:color="auto" w:fill="FFFFFF"/>
            <w:tcMar>
              <w:top w:w="15" w:type="dxa"/>
              <w:left w:w="0" w:type="dxa"/>
              <w:bottom w:w="0" w:type="dxa"/>
              <w:right w:w="15" w:type="dxa"/>
            </w:tcMar>
            <w:vAlign w:val="bottom"/>
            <w:hideMark/>
          </w:tcPr>
          <w:p w14:paraId="7698AE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5A75D6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cushions</w:t>
            </w:r>
          </w:p>
        </w:tc>
        <w:tc>
          <w:tcPr>
            <w:tcW w:w="286" w:type="dxa"/>
            <w:shd w:val="clear" w:color="auto" w:fill="FFFFFF"/>
            <w:tcMar>
              <w:top w:w="15" w:type="dxa"/>
              <w:left w:w="0" w:type="dxa"/>
              <w:bottom w:w="0" w:type="dxa"/>
              <w:right w:w="15" w:type="dxa"/>
            </w:tcMar>
            <w:vAlign w:val="bottom"/>
            <w:hideMark/>
          </w:tcPr>
          <w:p w14:paraId="75C4B7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16BE519B"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0A898542" w14:textId="77777777" w:rsidTr="00AC4931">
        <w:tc>
          <w:tcPr>
            <w:tcW w:w="9349" w:type="dxa"/>
            <w:shd w:val="clear" w:color="auto" w:fill="FFFFFF"/>
            <w:tcMar>
              <w:top w:w="15" w:type="dxa"/>
              <w:left w:w="0" w:type="dxa"/>
              <w:bottom w:w="0" w:type="dxa"/>
              <w:right w:w="15" w:type="dxa"/>
            </w:tcMar>
            <w:hideMark/>
          </w:tcPr>
          <w:p w14:paraId="18CEA0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Mei-An Autoliv Co., Ltd.</w:t>
            </w:r>
          </w:p>
        </w:tc>
        <w:tc>
          <w:tcPr>
            <w:tcW w:w="286" w:type="dxa"/>
            <w:shd w:val="clear" w:color="auto" w:fill="FFFFFF"/>
            <w:tcMar>
              <w:top w:w="15" w:type="dxa"/>
              <w:left w:w="0" w:type="dxa"/>
              <w:bottom w:w="0" w:type="dxa"/>
              <w:right w:w="15" w:type="dxa"/>
            </w:tcMar>
            <w:vAlign w:val="bottom"/>
            <w:hideMark/>
          </w:tcPr>
          <w:p w14:paraId="49F4D7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510D0C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Taipei</w:t>
            </w:r>
          </w:p>
        </w:tc>
        <w:tc>
          <w:tcPr>
            <w:tcW w:w="286" w:type="dxa"/>
            <w:shd w:val="clear" w:color="auto" w:fill="FFFFFF"/>
            <w:tcMar>
              <w:top w:w="15" w:type="dxa"/>
              <w:left w:w="0" w:type="dxa"/>
              <w:bottom w:w="0" w:type="dxa"/>
              <w:right w:w="15" w:type="dxa"/>
            </w:tcMar>
            <w:vAlign w:val="bottom"/>
            <w:hideMark/>
          </w:tcPr>
          <w:p w14:paraId="7CAFC1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7DA6CB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and airbags</w:t>
            </w:r>
          </w:p>
        </w:tc>
        <w:tc>
          <w:tcPr>
            <w:tcW w:w="286" w:type="dxa"/>
            <w:shd w:val="clear" w:color="auto" w:fill="FFFFFF"/>
            <w:tcMar>
              <w:top w:w="15" w:type="dxa"/>
              <w:left w:w="0" w:type="dxa"/>
              <w:bottom w:w="0" w:type="dxa"/>
              <w:right w:w="15" w:type="dxa"/>
            </w:tcMar>
            <w:vAlign w:val="bottom"/>
            <w:hideMark/>
          </w:tcPr>
          <w:p w14:paraId="02DD38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BCD357A"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0656338B" w14:textId="77777777" w:rsidTr="00AC4931">
        <w:tc>
          <w:tcPr>
            <w:tcW w:w="9349" w:type="dxa"/>
            <w:shd w:val="clear" w:color="auto" w:fill="FFFFFF"/>
            <w:tcMar>
              <w:top w:w="15" w:type="dxa"/>
              <w:left w:w="0" w:type="dxa"/>
              <w:bottom w:w="0" w:type="dxa"/>
              <w:right w:w="15" w:type="dxa"/>
            </w:tcMar>
            <w:hideMark/>
          </w:tcPr>
          <w:p w14:paraId="58C9E9CD"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551B397C"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107925FD"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12B30985"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7980E60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61060CB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40227E5B"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4C4EE284" w14:textId="77777777" w:rsidTr="00AC4931">
        <w:tc>
          <w:tcPr>
            <w:tcW w:w="9349" w:type="dxa"/>
            <w:shd w:val="clear" w:color="auto" w:fill="CCECFF"/>
            <w:tcMar>
              <w:top w:w="15" w:type="dxa"/>
              <w:left w:w="0" w:type="dxa"/>
              <w:bottom w:w="0" w:type="dxa"/>
              <w:right w:w="15" w:type="dxa"/>
            </w:tcMar>
            <w:hideMark/>
          </w:tcPr>
          <w:p w14:paraId="3403FDB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Estonia</w:t>
            </w:r>
          </w:p>
        </w:tc>
        <w:tc>
          <w:tcPr>
            <w:tcW w:w="286" w:type="dxa"/>
            <w:shd w:val="clear" w:color="auto" w:fill="CCECFF"/>
            <w:tcMar>
              <w:top w:w="15" w:type="dxa"/>
              <w:left w:w="0" w:type="dxa"/>
              <w:bottom w:w="0" w:type="dxa"/>
              <w:right w:w="15" w:type="dxa"/>
            </w:tcMar>
            <w:vAlign w:val="bottom"/>
            <w:hideMark/>
          </w:tcPr>
          <w:p w14:paraId="182A15E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21960087"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129EFFD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4805" w:type="dxa"/>
            <w:shd w:val="clear" w:color="auto" w:fill="CCECFF"/>
            <w:tcMar>
              <w:top w:w="15" w:type="dxa"/>
              <w:left w:w="0" w:type="dxa"/>
              <w:bottom w:w="0" w:type="dxa"/>
              <w:right w:w="15" w:type="dxa"/>
            </w:tcMar>
            <w:hideMark/>
          </w:tcPr>
          <w:p w14:paraId="78C9381C"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5A7A910B"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342" w:type="dxa"/>
            <w:shd w:val="clear" w:color="auto" w:fill="CCECFF"/>
            <w:tcMar>
              <w:top w:w="15" w:type="dxa"/>
              <w:left w:w="0" w:type="dxa"/>
              <w:bottom w:w="0" w:type="dxa"/>
              <w:right w:w="15" w:type="dxa"/>
            </w:tcMar>
            <w:hideMark/>
          </w:tcPr>
          <w:p w14:paraId="2B1B2B0A" w14:textId="77777777" w:rsidR="00AC4931" w:rsidRPr="00AC4931" w:rsidRDefault="00AC4931" w:rsidP="00AC4931">
            <w:pPr>
              <w:widowControl/>
              <w:jc w:val="center"/>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34191DD6" w14:textId="77777777" w:rsidTr="00AC4931">
        <w:tc>
          <w:tcPr>
            <w:tcW w:w="9349" w:type="dxa"/>
            <w:shd w:val="clear" w:color="auto" w:fill="FFFFFF"/>
            <w:tcMar>
              <w:top w:w="15" w:type="dxa"/>
              <w:left w:w="0" w:type="dxa"/>
              <w:bottom w:w="0" w:type="dxa"/>
              <w:right w:w="15" w:type="dxa"/>
            </w:tcMar>
            <w:hideMark/>
          </w:tcPr>
          <w:p w14:paraId="0954D1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AS Norma</w:t>
            </w:r>
          </w:p>
        </w:tc>
        <w:tc>
          <w:tcPr>
            <w:tcW w:w="286" w:type="dxa"/>
            <w:shd w:val="clear" w:color="auto" w:fill="FFFFFF"/>
            <w:tcMar>
              <w:top w:w="15" w:type="dxa"/>
              <w:left w:w="0" w:type="dxa"/>
              <w:bottom w:w="0" w:type="dxa"/>
              <w:right w:w="15" w:type="dxa"/>
            </w:tcMar>
            <w:vAlign w:val="bottom"/>
            <w:hideMark/>
          </w:tcPr>
          <w:p w14:paraId="15F6C6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3739D2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Tallinn</w:t>
            </w:r>
          </w:p>
        </w:tc>
        <w:tc>
          <w:tcPr>
            <w:tcW w:w="286" w:type="dxa"/>
            <w:shd w:val="clear" w:color="auto" w:fill="FFFFFF"/>
            <w:tcMar>
              <w:top w:w="15" w:type="dxa"/>
              <w:left w:w="0" w:type="dxa"/>
              <w:bottom w:w="0" w:type="dxa"/>
              <w:right w:w="15" w:type="dxa"/>
            </w:tcMar>
            <w:vAlign w:val="bottom"/>
            <w:hideMark/>
          </w:tcPr>
          <w:p w14:paraId="404F59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3F2445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and belt components</w:t>
            </w:r>
          </w:p>
        </w:tc>
        <w:tc>
          <w:tcPr>
            <w:tcW w:w="286" w:type="dxa"/>
            <w:shd w:val="clear" w:color="auto" w:fill="FFFFFF"/>
            <w:tcMar>
              <w:top w:w="15" w:type="dxa"/>
              <w:left w:w="0" w:type="dxa"/>
              <w:bottom w:w="0" w:type="dxa"/>
              <w:right w:w="15" w:type="dxa"/>
            </w:tcMar>
            <w:vAlign w:val="bottom"/>
            <w:hideMark/>
          </w:tcPr>
          <w:p w14:paraId="6D88AE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2FA6FBDD"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1800109F" w14:textId="77777777" w:rsidTr="00AC4931">
        <w:tc>
          <w:tcPr>
            <w:tcW w:w="9349" w:type="dxa"/>
            <w:shd w:val="clear" w:color="auto" w:fill="FFFFFF"/>
            <w:tcMar>
              <w:top w:w="15" w:type="dxa"/>
              <w:left w:w="0" w:type="dxa"/>
              <w:bottom w:w="0" w:type="dxa"/>
              <w:right w:w="15" w:type="dxa"/>
            </w:tcMar>
            <w:hideMark/>
          </w:tcPr>
          <w:p w14:paraId="429A5855"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363B9A8F"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27A52615"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05B2CE12"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3798453B"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67A4C73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377B8091"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426C5DF4" w14:textId="77777777" w:rsidTr="00AC4931">
        <w:tc>
          <w:tcPr>
            <w:tcW w:w="9349" w:type="dxa"/>
            <w:shd w:val="clear" w:color="auto" w:fill="CCECFF"/>
            <w:tcMar>
              <w:top w:w="15" w:type="dxa"/>
              <w:left w:w="0" w:type="dxa"/>
              <w:bottom w:w="0" w:type="dxa"/>
              <w:right w:w="15" w:type="dxa"/>
            </w:tcMar>
            <w:hideMark/>
          </w:tcPr>
          <w:p w14:paraId="558A645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France</w:t>
            </w:r>
          </w:p>
        </w:tc>
        <w:tc>
          <w:tcPr>
            <w:tcW w:w="286" w:type="dxa"/>
            <w:shd w:val="clear" w:color="auto" w:fill="CCECFF"/>
            <w:tcMar>
              <w:top w:w="15" w:type="dxa"/>
              <w:left w:w="0" w:type="dxa"/>
              <w:bottom w:w="0" w:type="dxa"/>
              <w:right w:w="15" w:type="dxa"/>
            </w:tcMar>
            <w:vAlign w:val="bottom"/>
            <w:hideMark/>
          </w:tcPr>
          <w:p w14:paraId="39389A3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4B8077A2"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1A7A6B47"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4805" w:type="dxa"/>
            <w:shd w:val="clear" w:color="auto" w:fill="CCECFF"/>
            <w:tcMar>
              <w:top w:w="15" w:type="dxa"/>
              <w:left w:w="0" w:type="dxa"/>
              <w:bottom w:w="0" w:type="dxa"/>
              <w:right w:w="15" w:type="dxa"/>
            </w:tcMar>
            <w:hideMark/>
          </w:tcPr>
          <w:p w14:paraId="65724C12"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6CDD411A"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342" w:type="dxa"/>
            <w:shd w:val="clear" w:color="auto" w:fill="CCECFF"/>
            <w:tcMar>
              <w:top w:w="15" w:type="dxa"/>
              <w:left w:w="0" w:type="dxa"/>
              <w:bottom w:w="0" w:type="dxa"/>
              <w:right w:w="15" w:type="dxa"/>
            </w:tcMar>
            <w:hideMark/>
          </w:tcPr>
          <w:p w14:paraId="7F17783B" w14:textId="77777777" w:rsidR="00AC4931" w:rsidRPr="00AC4931" w:rsidRDefault="00AC4931" w:rsidP="00AC4931">
            <w:pPr>
              <w:widowControl/>
              <w:jc w:val="center"/>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02CBC09E" w14:textId="77777777" w:rsidTr="00AC4931">
        <w:tc>
          <w:tcPr>
            <w:tcW w:w="9349" w:type="dxa"/>
            <w:shd w:val="clear" w:color="auto" w:fill="FFFFFF"/>
            <w:tcMar>
              <w:top w:w="15" w:type="dxa"/>
              <w:left w:w="0" w:type="dxa"/>
              <w:bottom w:w="0" w:type="dxa"/>
              <w:right w:w="15" w:type="dxa"/>
            </w:tcMar>
            <w:hideMark/>
          </w:tcPr>
          <w:p w14:paraId="525D30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France SNC</w:t>
            </w:r>
          </w:p>
        </w:tc>
        <w:tc>
          <w:tcPr>
            <w:tcW w:w="286" w:type="dxa"/>
            <w:shd w:val="clear" w:color="auto" w:fill="FFFFFF"/>
            <w:tcMar>
              <w:top w:w="15" w:type="dxa"/>
              <w:left w:w="0" w:type="dxa"/>
              <w:bottom w:w="0" w:type="dxa"/>
              <w:right w:w="15" w:type="dxa"/>
            </w:tcMar>
            <w:vAlign w:val="bottom"/>
            <w:hideMark/>
          </w:tcPr>
          <w:p w14:paraId="5C19CC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64C83B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Gournay-en-Bray</w:t>
            </w:r>
          </w:p>
        </w:tc>
        <w:tc>
          <w:tcPr>
            <w:tcW w:w="286" w:type="dxa"/>
            <w:shd w:val="clear" w:color="auto" w:fill="FFFFFF"/>
            <w:tcMar>
              <w:top w:w="15" w:type="dxa"/>
              <w:left w:w="0" w:type="dxa"/>
              <w:bottom w:w="0" w:type="dxa"/>
              <w:right w:w="15" w:type="dxa"/>
            </w:tcMar>
            <w:vAlign w:val="bottom"/>
            <w:hideMark/>
          </w:tcPr>
          <w:p w14:paraId="70ABCC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09E02C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and airbags</w:t>
            </w:r>
          </w:p>
        </w:tc>
        <w:tc>
          <w:tcPr>
            <w:tcW w:w="286" w:type="dxa"/>
            <w:shd w:val="clear" w:color="auto" w:fill="FFFFFF"/>
            <w:tcMar>
              <w:top w:w="15" w:type="dxa"/>
              <w:left w:w="0" w:type="dxa"/>
              <w:bottom w:w="0" w:type="dxa"/>
              <w:right w:w="15" w:type="dxa"/>
            </w:tcMar>
            <w:vAlign w:val="bottom"/>
            <w:hideMark/>
          </w:tcPr>
          <w:p w14:paraId="78127D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86CD8F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72CB285C" w14:textId="77777777" w:rsidTr="00AC4931">
        <w:tc>
          <w:tcPr>
            <w:tcW w:w="9349" w:type="dxa"/>
            <w:shd w:val="clear" w:color="auto" w:fill="FFFFFF"/>
            <w:tcMar>
              <w:top w:w="15" w:type="dxa"/>
              <w:left w:w="0" w:type="dxa"/>
              <w:bottom w:w="0" w:type="dxa"/>
              <w:right w:w="15" w:type="dxa"/>
            </w:tcMar>
            <w:hideMark/>
          </w:tcPr>
          <w:p w14:paraId="5DA914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Isodelta SAS</w:t>
            </w:r>
          </w:p>
        </w:tc>
        <w:tc>
          <w:tcPr>
            <w:tcW w:w="286" w:type="dxa"/>
            <w:shd w:val="clear" w:color="auto" w:fill="FFFFFF"/>
            <w:tcMar>
              <w:top w:w="15" w:type="dxa"/>
              <w:left w:w="0" w:type="dxa"/>
              <w:bottom w:w="0" w:type="dxa"/>
              <w:right w:w="15" w:type="dxa"/>
            </w:tcMar>
            <w:vAlign w:val="bottom"/>
            <w:hideMark/>
          </w:tcPr>
          <w:p w14:paraId="3A9317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3802A5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Chiré-en-Montreuil</w:t>
            </w:r>
          </w:p>
        </w:tc>
        <w:tc>
          <w:tcPr>
            <w:tcW w:w="286" w:type="dxa"/>
            <w:shd w:val="clear" w:color="auto" w:fill="FFFFFF"/>
            <w:tcMar>
              <w:top w:w="15" w:type="dxa"/>
              <w:left w:w="0" w:type="dxa"/>
              <w:bottom w:w="0" w:type="dxa"/>
              <w:right w:w="15" w:type="dxa"/>
            </w:tcMar>
            <w:vAlign w:val="bottom"/>
            <w:hideMark/>
          </w:tcPr>
          <w:p w14:paraId="588A37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498CA6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Steering wheels and covers</w:t>
            </w:r>
          </w:p>
        </w:tc>
        <w:tc>
          <w:tcPr>
            <w:tcW w:w="286" w:type="dxa"/>
            <w:shd w:val="clear" w:color="auto" w:fill="FFFFFF"/>
            <w:tcMar>
              <w:top w:w="15" w:type="dxa"/>
              <w:left w:w="0" w:type="dxa"/>
              <w:bottom w:w="0" w:type="dxa"/>
              <w:right w:w="15" w:type="dxa"/>
            </w:tcMar>
            <w:vAlign w:val="bottom"/>
            <w:hideMark/>
          </w:tcPr>
          <w:p w14:paraId="33EE41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56576BB0"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2B300481" w14:textId="77777777" w:rsidTr="00AC4931">
        <w:tc>
          <w:tcPr>
            <w:tcW w:w="9349" w:type="dxa"/>
            <w:shd w:val="clear" w:color="auto" w:fill="FFFFFF"/>
            <w:tcMar>
              <w:top w:w="15" w:type="dxa"/>
              <w:left w:w="0" w:type="dxa"/>
              <w:bottom w:w="0" w:type="dxa"/>
              <w:right w:w="15" w:type="dxa"/>
            </w:tcMar>
            <w:hideMark/>
          </w:tcPr>
          <w:p w14:paraId="76D841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Livbag SAS</w:t>
            </w:r>
          </w:p>
        </w:tc>
        <w:tc>
          <w:tcPr>
            <w:tcW w:w="286" w:type="dxa"/>
            <w:shd w:val="clear" w:color="auto" w:fill="FFFFFF"/>
            <w:tcMar>
              <w:top w:w="15" w:type="dxa"/>
              <w:left w:w="0" w:type="dxa"/>
              <w:bottom w:w="0" w:type="dxa"/>
              <w:right w:w="15" w:type="dxa"/>
            </w:tcMar>
            <w:vAlign w:val="bottom"/>
            <w:hideMark/>
          </w:tcPr>
          <w:p w14:paraId="6144F5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2D8C19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Pont-de-Buis</w:t>
            </w:r>
          </w:p>
        </w:tc>
        <w:tc>
          <w:tcPr>
            <w:tcW w:w="286" w:type="dxa"/>
            <w:shd w:val="clear" w:color="auto" w:fill="FFFFFF"/>
            <w:tcMar>
              <w:top w:w="15" w:type="dxa"/>
              <w:left w:w="0" w:type="dxa"/>
              <w:bottom w:w="0" w:type="dxa"/>
              <w:right w:w="15" w:type="dxa"/>
            </w:tcMar>
            <w:vAlign w:val="bottom"/>
            <w:hideMark/>
          </w:tcPr>
          <w:p w14:paraId="72BA4A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6FCB70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inflators</w:t>
            </w:r>
          </w:p>
        </w:tc>
        <w:tc>
          <w:tcPr>
            <w:tcW w:w="286" w:type="dxa"/>
            <w:shd w:val="clear" w:color="auto" w:fill="FFFFFF"/>
            <w:tcMar>
              <w:top w:w="15" w:type="dxa"/>
              <w:left w:w="0" w:type="dxa"/>
              <w:bottom w:w="0" w:type="dxa"/>
              <w:right w:w="15" w:type="dxa"/>
            </w:tcMar>
            <w:vAlign w:val="bottom"/>
            <w:hideMark/>
          </w:tcPr>
          <w:p w14:paraId="6A9742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47EB5BDD"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337B5A70" w14:textId="77777777" w:rsidTr="00AC4931">
        <w:tc>
          <w:tcPr>
            <w:tcW w:w="9349" w:type="dxa"/>
            <w:shd w:val="clear" w:color="auto" w:fill="FFFFFF"/>
            <w:tcMar>
              <w:top w:w="15" w:type="dxa"/>
              <w:left w:w="0" w:type="dxa"/>
              <w:bottom w:w="0" w:type="dxa"/>
              <w:right w:w="15" w:type="dxa"/>
            </w:tcMar>
            <w:hideMark/>
          </w:tcPr>
          <w:p w14:paraId="6C298C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N.C.S. Pyrotechnie et Technologies SAS</w:t>
            </w:r>
          </w:p>
        </w:tc>
        <w:tc>
          <w:tcPr>
            <w:tcW w:w="286" w:type="dxa"/>
            <w:shd w:val="clear" w:color="auto" w:fill="FFFFFF"/>
            <w:tcMar>
              <w:top w:w="15" w:type="dxa"/>
              <w:left w:w="0" w:type="dxa"/>
              <w:bottom w:w="0" w:type="dxa"/>
              <w:right w:w="15" w:type="dxa"/>
            </w:tcMar>
            <w:vAlign w:val="bottom"/>
            <w:hideMark/>
          </w:tcPr>
          <w:p w14:paraId="110C4A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1F9F68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Survilliers</w:t>
            </w:r>
          </w:p>
        </w:tc>
        <w:tc>
          <w:tcPr>
            <w:tcW w:w="286" w:type="dxa"/>
            <w:shd w:val="clear" w:color="auto" w:fill="FFFFFF"/>
            <w:tcMar>
              <w:top w:w="15" w:type="dxa"/>
              <w:left w:w="0" w:type="dxa"/>
              <w:bottom w:w="0" w:type="dxa"/>
              <w:right w:w="15" w:type="dxa"/>
            </w:tcMar>
            <w:vAlign w:val="bottom"/>
            <w:hideMark/>
          </w:tcPr>
          <w:p w14:paraId="41704D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0C5FBB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initiators and seatbelt micro gas generators</w:t>
            </w:r>
          </w:p>
        </w:tc>
        <w:tc>
          <w:tcPr>
            <w:tcW w:w="286" w:type="dxa"/>
            <w:shd w:val="clear" w:color="auto" w:fill="FFFFFF"/>
            <w:tcMar>
              <w:top w:w="15" w:type="dxa"/>
              <w:left w:w="0" w:type="dxa"/>
              <w:bottom w:w="0" w:type="dxa"/>
              <w:right w:w="15" w:type="dxa"/>
            </w:tcMar>
            <w:vAlign w:val="bottom"/>
            <w:hideMark/>
          </w:tcPr>
          <w:p w14:paraId="4FB015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3130AD76"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4C3E1F3E" w14:textId="77777777" w:rsidTr="00AC4931">
        <w:tc>
          <w:tcPr>
            <w:tcW w:w="9349" w:type="dxa"/>
            <w:shd w:val="clear" w:color="auto" w:fill="FFFFFF"/>
            <w:tcMar>
              <w:top w:w="15" w:type="dxa"/>
              <w:left w:w="0" w:type="dxa"/>
              <w:bottom w:w="0" w:type="dxa"/>
              <w:right w:w="15" w:type="dxa"/>
            </w:tcMar>
            <w:hideMark/>
          </w:tcPr>
          <w:p w14:paraId="1E495AF9"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7F33C597"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00302879"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528D4BC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119FDB8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3CB54C3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1239BE16"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61391F37" w14:textId="77777777" w:rsidTr="00AC4931">
        <w:tc>
          <w:tcPr>
            <w:tcW w:w="9349" w:type="dxa"/>
            <w:shd w:val="clear" w:color="auto" w:fill="CCECFF"/>
            <w:tcMar>
              <w:top w:w="15" w:type="dxa"/>
              <w:left w:w="0" w:type="dxa"/>
              <w:bottom w:w="0" w:type="dxa"/>
              <w:right w:w="15" w:type="dxa"/>
            </w:tcMar>
            <w:hideMark/>
          </w:tcPr>
          <w:p w14:paraId="064171C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Germany</w:t>
            </w:r>
          </w:p>
        </w:tc>
        <w:tc>
          <w:tcPr>
            <w:tcW w:w="286" w:type="dxa"/>
            <w:shd w:val="clear" w:color="auto" w:fill="CCECFF"/>
            <w:tcMar>
              <w:top w:w="15" w:type="dxa"/>
              <w:left w:w="0" w:type="dxa"/>
              <w:bottom w:w="0" w:type="dxa"/>
              <w:right w:w="15" w:type="dxa"/>
            </w:tcMar>
            <w:vAlign w:val="bottom"/>
            <w:hideMark/>
          </w:tcPr>
          <w:p w14:paraId="17B6BA7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581CDCB2"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664B7499"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4805" w:type="dxa"/>
            <w:shd w:val="clear" w:color="auto" w:fill="CCECFF"/>
            <w:tcMar>
              <w:top w:w="15" w:type="dxa"/>
              <w:left w:w="0" w:type="dxa"/>
              <w:bottom w:w="0" w:type="dxa"/>
              <w:right w:w="15" w:type="dxa"/>
            </w:tcMar>
            <w:hideMark/>
          </w:tcPr>
          <w:p w14:paraId="77C50CE9"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5D8D4619"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342" w:type="dxa"/>
            <w:shd w:val="clear" w:color="auto" w:fill="CCECFF"/>
            <w:tcMar>
              <w:top w:w="15" w:type="dxa"/>
              <w:left w:w="0" w:type="dxa"/>
              <w:bottom w:w="0" w:type="dxa"/>
              <w:right w:w="15" w:type="dxa"/>
            </w:tcMar>
            <w:hideMark/>
          </w:tcPr>
          <w:p w14:paraId="0FC705E0" w14:textId="77777777" w:rsidR="00AC4931" w:rsidRPr="00AC4931" w:rsidRDefault="00AC4931" w:rsidP="00AC4931">
            <w:pPr>
              <w:widowControl/>
              <w:jc w:val="center"/>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2187A742" w14:textId="77777777" w:rsidTr="00AC4931">
        <w:tc>
          <w:tcPr>
            <w:tcW w:w="9349" w:type="dxa"/>
            <w:shd w:val="clear" w:color="auto" w:fill="FFFFFF"/>
            <w:tcMar>
              <w:top w:w="15" w:type="dxa"/>
              <w:left w:w="0" w:type="dxa"/>
              <w:bottom w:w="0" w:type="dxa"/>
              <w:right w:w="15" w:type="dxa"/>
            </w:tcMar>
            <w:hideMark/>
          </w:tcPr>
          <w:p w14:paraId="676F6D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B.V. &amp; Co. KG</w:t>
            </w:r>
          </w:p>
        </w:tc>
        <w:tc>
          <w:tcPr>
            <w:tcW w:w="286" w:type="dxa"/>
            <w:shd w:val="clear" w:color="auto" w:fill="FFFFFF"/>
            <w:tcMar>
              <w:top w:w="15" w:type="dxa"/>
              <w:left w:w="0" w:type="dxa"/>
              <w:bottom w:w="0" w:type="dxa"/>
              <w:right w:w="15" w:type="dxa"/>
            </w:tcMar>
            <w:vAlign w:val="bottom"/>
            <w:hideMark/>
          </w:tcPr>
          <w:p w14:paraId="38D05B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2C4E22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Elmshorn</w:t>
            </w:r>
          </w:p>
        </w:tc>
        <w:tc>
          <w:tcPr>
            <w:tcW w:w="286" w:type="dxa"/>
            <w:shd w:val="clear" w:color="auto" w:fill="FFFFFF"/>
            <w:tcMar>
              <w:top w:w="15" w:type="dxa"/>
              <w:left w:w="0" w:type="dxa"/>
              <w:bottom w:w="0" w:type="dxa"/>
              <w:right w:w="15" w:type="dxa"/>
            </w:tcMar>
            <w:vAlign w:val="bottom"/>
            <w:hideMark/>
          </w:tcPr>
          <w:p w14:paraId="4C8304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595BF3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w:t>
            </w:r>
          </w:p>
        </w:tc>
        <w:tc>
          <w:tcPr>
            <w:tcW w:w="286" w:type="dxa"/>
            <w:shd w:val="clear" w:color="auto" w:fill="FFFFFF"/>
            <w:tcMar>
              <w:top w:w="15" w:type="dxa"/>
              <w:left w:w="0" w:type="dxa"/>
              <w:bottom w:w="0" w:type="dxa"/>
              <w:right w:w="15" w:type="dxa"/>
            </w:tcMar>
            <w:vAlign w:val="bottom"/>
            <w:hideMark/>
          </w:tcPr>
          <w:p w14:paraId="378B1D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6F04ADAD"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62FC4B65" w14:textId="77777777" w:rsidTr="00AC4931">
        <w:tc>
          <w:tcPr>
            <w:tcW w:w="9349" w:type="dxa"/>
            <w:shd w:val="clear" w:color="auto" w:fill="FFFFFF"/>
            <w:tcMar>
              <w:top w:w="15" w:type="dxa"/>
              <w:left w:w="0" w:type="dxa"/>
              <w:bottom w:w="0" w:type="dxa"/>
              <w:right w:w="15" w:type="dxa"/>
            </w:tcMar>
            <w:hideMark/>
          </w:tcPr>
          <w:p w14:paraId="6C28478C"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604DA504"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1DC07EAB"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7CC83564"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27B5444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7009108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26CB5EB0"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7E9A937F" w14:textId="77777777" w:rsidTr="00AC4931">
        <w:tc>
          <w:tcPr>
            <w:tcW w:w="9349" w:type="dxa"/>
            <w:shd w:val="clear" w:color="auto" w:fill="CCECFF"/>
            <w:tcMar>
              <w:top w:w="15" w:type="dxa"/>
              <w:left w:w="0" w:type="dxa"/>
              <w:bottom w:w="0" w:type="dxa"/>
              <w:right w:w="15" w:type="dxa"/>
            </w:tcMar>
            <w:hideMark/>
          </w:tcPr>
          <w:p w14:paraId="03E54A2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Hungary</w:t>
            </w:r>
          </w:p>
        </w:tc>
        <w:tc>
          <w:tcPr>
            <w:tcW w:w="286" w:type="dxa"/>
            <w:shd w:val="clear" w:color="auto" w:fill="CCECFF"/>
            <w:tcMar>
              <w:top w:w="15" w:type="dxa"/>
              <w:left w:w="0" w:type="dxa"/>
              <w:bottom w:w="0" w:type="dxa"/>
              <w:right w:w="15" w:type="dxa"/>
            </w:tcMar>
            <w:vAlign w:val="bottom"/>
            <w:hideMark/>
          </w:tcPr>
          <w:p w14:paraId="0E5A28D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33DE5B5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7462BCCB"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CCECFF"/>
            <w:tcMar>
              <w:top w:w="15" w:type="dxa"/>
              <w:left w:w="0" w:type="dxa"/>
              <w:bottom w:w="0" w:type="dxa"/>
              <w:right w:w="15" w:type="dxa"/>
            </w:tcMar>
            <w:hideMark/>
          </w:tcPr>
          <w:p w14:paraId="0AF1ADB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74A0E8D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CCECFF"/>
            <w:tcMar>
              <w:top w:w="15" w:type="dxa"/>
              <w:left w:w="0" w:type="dxa"/>
              <w:bottom w:w="0" w:type="dxa"/>
              <w:right w:w="15" w:type="dxa"/>
            </w:tcMar>
            <w:hideMark/>
          </w:tcPr>
          <w:p w14:paraId="5C107663"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653F7BEC" w14:textId="77777777" w:rsidTr="00AC4931">
        <w:tc>
          <w:tcPr>
            <w:tcW w:w="9349" w:type="dxa"/>
            <w:shd w:val="clear" w:color="auto" w:fill="FFFFFF"/>
            <w:tcMar>
              <w:top w:w="15" w:type="dxa"/>
              <w:left w:w="0" w:type="dxa"/>
              <w:bottom w:w="0" w:type="dxa"/>
              <w:right w:w="15" w:type="dxa"/>
            </w:tcMar>
            <w:hideMark/>
          </w:tcPr>
          <w:p w14:paraId="0B195F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Kft.</w:t>
            </w:r>
          </w:p>
        </w:tc>
        <w:tc>
          <w:tcPr>
            <w:tcW w:w="286" w:type="dxa"/>
            <w:shd w:val="clear" w:color="auto" w:fill="FFFFFF"/>
            <w:tcMar>
              <w:top w:w="15" w:type="dxa"/>
              <w:left w:w="0" w:type="dxa"/>
              <w:bottom w:w="0" w:type="dxa"/>
              <w:right w:w="15" w:type="dxa"/>
            </w:tcMar>
            <w:vAlign w:val="bottom"/>
            <w:hideMark/>
          </w:tcPr>
          <w:p w14:paraId="677869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11727F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Sopronkövesd</w:t>
            </w:r>
          </w:p>
        </w:tc>
        <w:tc>
          <w:tcPr>
            <w:tcW w:w="286" w:type="dxa"/>
            <w:shd w:val="clear" w:color="auto" w:fill="FFFFFF"/>
            <w:tcMar>
              <w:top w:w="15" w:type="dxa"/>
              <w:left w:w="0" w:type="dxa"/>
              <w:bottom w:w="0" w:type="dxa"/>
              <w:right w:w="15" w:type="dxa"/>
            </w:tcMar>
            <w:vAlign w:val="bottom"/>
            <w:hideMark/>
          </w:tcPr>
          <w:p w14:paraId="709CB9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478D02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w:t>
            </w:r>
          </w:p>
        </w:tc>
        <w:tc>
          <w:tcPr>
            <w:tcW w:w="286" w:type="dxa"/>
            <w:shd w:val="clear" w:color="auto" w:fill="FFFFFF"/>
            <w:tcMar>
              <w:top w:w="15" w:type="dxa"/>
              <w:left w:w="0" w:type="dxa"/>
              <w:bottom w:w="0" w:type="dxa"/>
              <w:right w:w="15" w:type="dxa"/>
            </w:tcMar>
            <w:vAlign w:val="bottom"/>
            <w:hideMark/>
          </w:tcPr>
          <w:p w14:paraId="0792FB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2CD43D46"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1D25978C" w14:textId="77777777" w:rsidTr="00AC4931">
        <w:tc>
          <w:tcPr>
            <w:tcW w:w="9349" w:type="dxa"/>
            <w:shd w:val="clear" w:color="auto" w:fill="FFFFFF"/>
            <w:tcMar>
              <w:top w:w="15" w:type="dxa"/>
              <w:left w:w="0" w:type="dxa"/>
              <w:bottom w:w="0" w:type="dxa"/>
              <w:right w:w="15" w:type="dxa"/>
            </w:tcMar>
            <w:hideMark/>
          </w:tcPr>
          <w:p w14:paraId="4F81F03D"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46EA3664"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vAlign w:val="bottom"/>
            <w:hideMark/>
          </w:tcPr>
          <w:p w14:paraId="22357931"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7876FEA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vAlign w:val="bottom"/>
            <w:hideMark/>
          </w:tcPr>
          <w:p w14:paraId="0813385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6464160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vAlign w:val="bottom"/>
            <w:hideMark/>
          </w:tcPr>
          <w:p w14:paraId="6EADD08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1778ABE0" w14:textId="77777777" w:rsidTr="00AC4931">
        <w:tc>
          <w:tcPr>
            <w:tcW w:w="9349" w:type="dxa"/>
            <w:shd w:val="clear" w:color="auto" w:fill="CCECFF"/>
            <w:tcMar>
              <w:top w:w="15" w:type="dxa"/>
              <w:left w:w="0" w:type="dxa"/>
              <w:bottom w:w="0" w:type="dxa"/>
              <w:right w:w="15" w:type="dxa"/>
            </w:tcMar>
            <w:hideMark/>
          </w:tcPr>
          <w:p w14:paraId="46339AD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India</w:t>
            </w:r>
          </w:p>
        </w:tc>
        <w:tc>
          <w:tcPr>
            <w:tcW w:w="286" w:type="dxa"/>
            <w:shd w:val="clear" w:color="auto" w:fill="CCECFF"/>
            <w:tcMar>
              <w:top w:w="15" w:type="dxa"/>
              <w:left w:w="0" w:type="dxa"/>
              <w:bottom w:w="0" w:type="dxa"/>
              <w:right w:w="15" w:type="dxa"/>
            </w:tcMar>
            <w:vAlign w:val="bottom"/>
            <w:hideMark/>
          </w:tcPr>
          <w:p w14:paraId="44C91BA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7236A9CF"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361D69B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CCECFF"/>
            <w:tcMar>
              <w:top w:w="15" w:type="dxa"/>
              <w:left w:w="0" w:type="dxa"/>
              <w:bottom w:w="0" w:type="dxa"/>
              <w:right w:w="15" w:type="dxa"/>
            </w:tcMar>
            <w:hideMark/>
          </w:tcPr>
          <w:p w14:paraId="216DE468"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0FE02979"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CCECFF"/>
            <w:tcMar>
              <w:top w:w="15" w:type="dxa"/>
              <w:left w:w="0" w:type="dxa"/>
              <w:bottom w:w="0" w:type="dxa"/>
              <w:right w:w="15" w:type="dxa"/>
            </w:tcMar>
            <w:hideMark/>
          </w:tcPr>
          <w:p w14:paraId="25A3C992"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24D77447" w14:textId="77777777" w:rsidTr="00AC4931">
        <w:tc>
          <w:tcPr>
            <w:tcW w:w="9349" w:type="dxa"/>
            <w:shd w:val="clear" w:color="auto" w:fill="FFFFFF"/>
            <w:tcMar>
              <w:top w:w="15" w:type="dxa"/>
              <w:left w:w="0" w:type="dxa"/>
              <w:bottom w:w="0" w:type="dxa"/>
              <w:right w:w="15" w:type="dxa"/>
            </w:tcMar>
            <w:hideMark/>
          </w:tcPr>
          <w:p w14:paraId="0B666E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India Private Ltd.</w:t>
            </w:r>
          </w:p>
        </w:tc>
        <w:tc>
          <w:tcPr>
            <w:tcW w:w="286" w:type="dxa"/>
            <w:shd w:val="clear" w:color="auto" w:fill="FFFFFF"/>
            <w:tcMar>
              <w:top w:w="15" w:type="dxa"/>
              <w:left w:w="0" w:type="dxa"/>
              <w:bottom w:w="0" w:type="dxa"/>
              <w:right w:w="15" w:type="dxa"/>
            </w:tcMar>
            <w:vAlign w:val="bottom"/>
            <w:hideMark/>
          </w:tcPr>
          <w:p w14:paraId="73BAE0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634C1C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Bangalore</w:t>
            </w:r>
          </w:p>
        </w:tc>
        <w:tc>
          <w:tcPr>
            <w:tcW w:w="286" w:type="dxa"/>
            <w:shd w:val="clear" w:color="auto" w:fill="FFFFFF"/>
            <w:tcMar>
              <w:top w:w="15" w:type="dxa"/>
              <w:left w:w="0" w:type="dxa"/>
              <w:bottom w:w="0" w:type="dxa"/>
              <w:right w:w="15" w:type="dxa"/>
            </w:tcMar>
            <w:vAlign w:val="bottom"/>
            <w:hideMark/>
          </w:tcPr>
          <w:p w14:paraId="79FBDC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4E57EC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airbags and steering wheels</w:t>
            </w:r>
          </w:p>
        </w:tc>
        <w:tc>
          <w:tcPr>
            <w:tcW w:w="286" w:type="dxa"/>
            <w:shd w:val="clear" w:color="auto" w:fill="FFFFFF"/>
            <w:tcMar>
              <w:top w:w="15" w:type="dxa"/>
              <w:left w:w="0" w:type="dxa"/>
              <w:bottom w:w="0" w:type="dxa"/>
              <w:right w:w="15" w:type="dxa"/>
            </w:tcMar>
            <w:vAlign w:val="bottom"/>
            <w:hideMark/>
          </w:tcPr>
          <w:p w14:paraId="1E0B95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3D814F99"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0DAB6134" w14:textId="77777777" w:rsidTr="00AC4931">
        <w:tc>
          <w:tcPr>
            <w:tcW w:w="9349" w:type="dxa"/>
            <w:shd w:val="clear" w:color="auto" w:fill="FFFFFF"/>
            <w:tcMar>
              <w:top w:w="15" w:type="dxa"/>
              <w:left w:w="0" w:type="dxa"/>
              <w:bottom w:w="0" w:type="dxa"/>
              <w:right w:w="15" w:type="dxa"/>
            </w:tcMar>
            <w:hideMark/>
          </w:tcPr>
          <w:p w14:paraId="78949D82"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FFFFFF"/>
            <w:tcMar>
              <w:top w:w="15" w:type="dxa"/>
              <w:left w:w="0" w:type="dxa"/>
              <w:bottom w:w="0" w:type="dxa"/>
              <w:right w:w="15" w:type="dxa"/>
            </w:tcMar>
            <w:vAlign w:val="bottom"/>
            <w:hideMark/>
          </w:tcPr>
          <w:p w14:paraId="786B7CA2"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55" w:type="dxa"/>
            <w:shd w:val="clear" w:color="auto" w:fill="FFFFFF"/>
            <w:tcMar>
              <w:top w:w="15" w:type="dxa"/>
              <w:left w:w="0" w:type="dxa"/>
              <w:bottom w:w="0" w:type="dxa"/>
              <w:right w:w="15" w:type="dxa"/>
            </w:tcMar>
            <w:hideMark/>
          </w:tcPr>
          <w:p w14:paraId="4E994F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Mysore</w:t>
            </w:r>
          </w:p>
        </w:tc>
        <w:tc>
          <w:tcPr>
            <w:tcW w:w="286" w:type="dxa"/>
            <w:shd w:val="clear" w:color="auto" w:fill="FFFFFF"/>
            <w:tcMar>
              <w:top w:w="15" w:type="dxa"/>
              <w:left w:w="0" w:type="dxa"/>
              <w:bottom w:w="0" w:type="dxa"/>
              <w:right w:w="15" w:type="dxa"/>
            </w:tcMar>
            <w:vAlign w:val="bottom"/>
            <w:hideMark/>
          </w:tcPr>
          <w:p w14:paraId="6A7E98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15AF76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 webbing</w:t>
            </w:r>
          </w:p>
        </w:tc>
        <w:tc>
          <w:tcPr>
            <w:tcW w:w="286" w:type="dxa"/>
            <w:shd w:val="clear" w:color="auto" w:fill="FFFFFF"/>
            <w:tcMar>
              <w:top w:w="15" w:type="dxa"/>
              <w:left w:w="0" w:type="dxa"/>
              <w:bottom w:w="0" w:type="dxa"/>
              <w:right w:w="15" w:type="dxa"/>
            </w:tcMar>
            <w:vAlign w:val="bottom"/>
            <w:hideMark/>
          </w:tcPr>
          <w:p w14:paraId="075EEA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5F4C5024"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217DFB2C" w14:textId="77777777" w:rsidTr="00AC4931">
        <w:tc>
          <w:tcPr>
            <w:tcW w:w="9349" w:type="dxa"/>
            <w:shd w:val="clear" w:color="auto" w:fill="FFFFFF"/>
            <w:tcMar>
              <w:top w:w="15" w:type="dxa"/>
              <w:left w:w="0" w:type="dxa"/>
              <w:bottom w:w="0" w:type="dxa"/>
              <w:right w:w="15" w:type="dxa"/>
            </w:tcMar>
            <w:hideMark/>
          </w:tcPr>
          <w:p w14:paraId="02BCBF7E"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FFFFFF"/>
            <w:tcMar>
              <w:top w:w="15" w:type="dxa"/>
              <w:left w:w="0" w:type="dxa"/>
              <w:bottom w:w="0" w:type="dxa"/>
              <w:right w:w="15" w:type="dxa"/>
            </w:tcMar>
            <w:vAlign w:val="bottom"/>
            <w:hideMark/>
          </w:tcPr>
          <w:p w14:paraId="1E0AEFB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55" w:type="dxa"/>
            <w:shd w:val="clear" w:color="auto" w:fill="FFFFFF"/>
            <w:tcMar>
              <w:top w:w="15" w:type="dxa"/>
              <w:left w:w="0" w:type="dxa"/>
              <w:bottom w:w="0" w:type="dxa"/>
              <w:right w:w="15" w:type="dxa"/>
            </w:tcMar>
            <w:hideMark/>
          </w:tcPr>
          <w:p w14:paraId="249ACF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Delhi</w:t>
            </w:r>
          </w:p>
        </w:tc>
        <w:tc>
          <w:tcPr>
            <w:tcW w:w="286" w:type="dxa"/>
            <w:shd w:val="clear" w:color="auto" w:fill="FFFFFF"/>
            <w:tcMar>
              <w:top w:w="15" w:type="dxa"/>
              <w:left w:w="0" w:type="dxa"/>
              <w:bottom w:w="0" w:type="dxa"/>
              <w:right w:w="15" w:type="dxa"/>
            </w:tcMar>
            <w:vAlign w:val="bottom"/>
            <w:hideMark/>
          </w:tcPr>
          <w:p w14:paraId="621DA6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68CD6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airbags and steering wheels</w:t>
            </w:r>
          </w:p>
        </w:tc>
        <w:tc>
          <w:tcPr>
            <w:tcW w:w="286" w:type="dxa"/>
            <w:shd w:val="clear" w:color="auto" w:fill="FFFFFF"/>
            <w:tcMar>
              <w:top w:w="15" w:type="dxa"/>
              <w:left w:w="0" w:type="dxa"/>
              <w:bottom w:w="0" w:type="dxa"/>
              <w:right w:w="15" w:type="dxa"/>
            </w:tcMar>
            <w:vAlign w:val="bottom"/>
            <w:hideMark/>
          </w:tcPr>
          <w:p w14:paraId="03FBCF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6E4D2B2B"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68ECD535" w14:textId="77777777" w:rsidTr="00AC4931">
        <w:tc>
          <w:tcPr>
            <w:tcW w:w="9349" w:type="dxa"/>
            <w:shd w:val="clear" w:color="auto" w:fill="FFFFFF"/>
            <w:tcMar>
              <w:top w:w="15" w:type="dxa"/>
              <w:left w:w="0" w:type="dxa"/>
              <w:bottom w:w="0" w:type="dxa"/>
              <w:right w:w="15" w:type="dxa"/>
            </w:tcMar>
            <w:hideMark/>
          </w:tcPr>
          <w:p w14:paraId="791985D9"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FFFFFF"/>
            <w:tcMar>
              <w:top w:w="15" w:type="dxa"/>
              <w:left w:w="0" w:type="dxa"/>
              <w:bottom w:w="0" w:type="dxa"/>
              <w:right w:w="15" w:type="dxa"/>
            </w:tcMar>
            <w:vAlign w:val="bottom"/>
            <w:hideMark/>
          </w:tcPr>
          <w:p w14:paraId="6330BEE1"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55" w:type="dxa"/>
            <w:shd w:val="clear" w:color="auto" w:fill="FFFFFF"/>
            <w:tcMar>
              <w:top w:w="15" w:type="dxa"/>
              <w:left w:w="0" w:type="dxa"/>
              <w:bottom w:w="0" w:type="dxa"/>
              <w:right w:w="15" w:type="dxa"/>
            </w:tcMar>
            <w:hideMark/>
          </w:tcPr>
          <w:p w14:paraId="6017B1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Chennai</w:t>
            </w:r>
          </w:p>
        </w:tc>
        <w:tc>
          <w:tcPr>
            <w:tcW w:w="286" w:type="dxa"/>
            <w:shd w:val="clear" w:color="auto" w:fill="FFFFFF"/>
            <w:tcMar>
              <w:top w:w="15" w:type="dxa"/>
              <w:left w:w="0" w:type="dxa"/>
              <w:bottom w:w="0" w:type="dxa"/>
              <w:right w:w="15" w:type="dxa"/>
            </w:tcMar>
            <w:vAlign w:val="bottom"/>
            <w:hideMark/>
          </w:tcPr>
          <w:p w14:paraId="07F02E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43376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Seatbelts</w:t>
            </w:r>
          </w:p>
        </w:tc>
        <w:tc>
          <w:tcPr>
            <w:tcW w:w="286" w:type="dxa"/>
            <w:shd w:val="clear" w:color="auto" w:fill="FFFFFF"/>
            <w:tcMar>
              <w:top w:w="15" w:type="dxa"/>
              <w:left w:w="0" w:type="dxa"/>
              <w:bottom w:w="0" w:type="dxa"/>
              <w:right w:w="15" w:type="dxa"/>
            </w:tcMar>
            <w:vAlign w:val="bottom"/>
            <w:hideMark/>
          </w:tcPr>
          <w:p w14:paraId="656556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BB1A3FB"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33B81862" w14:textId="77777777" w:rsidTr="00AC4931">
        <w:tc>
          <w:tcPr>
            <w:tcW w:w="9349" w:type="dxa"/>
            <w:shd w:val="clear" w:color="auto" w:fill="FFFFFF"/>
            <w:tcMar>
              <w:top w:w="15" w:type="dxa"/>
              <w:left w:w="0" w:type="dxa"/>
              <w:bottom w:w="0" w:type="dxa"/>
              <w:right w:w="15" w:type="dxa"/>
            </w:tcMar>
            <w:hideMark/>
          </w:tcPr>
          <w:p w14:paraId="60BC4A5D"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327DB225"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vAlign w:val="bottom"/>
            <w:hideMark/>
          </w:tcPr>
          <w:p w14:paraId="1B27FF8C"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688369FC"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vAlign w:val="bottom"/>
            <w:hideMark/>
          </w:tcPr>
          <w:p w14:paraId="1485D75E"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6DA3FD6C"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vAlign w:val="bottom"/>
            <w:hideMark/>
          </w:tcPr>
          <w:p w14:paraId="473E14FD"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376F6DD0" w14:textId="77777777" w:rsidTr="00AC4931">
        <w:tc>
          <w:tcPr>
            <w:tcW w:w="9349" w:type="dxa"/>
            <w:shd w:val="clear" w:color="auto" w:fill="CCECFF"/>
            <w:tcMar>
              <w:top w:w="15" w:type="dxa"/>
              <w:left w:w="0" w:type="dxa"/>
              <w:bottom w:w="0" w:type="dxa"/>
              <w:right w:w="15" w:type="dxa"/>
            </w:tcMar>
            <w:hideMark/>
          </w:tcPr>
          <w:p w14:paraId="388C45B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Indonesia</w:t>
            </w:r>
          </w:p>
        </w:tc>
        <w:tc>
          <w:tcPr>
            <w:tcW w:w="286" w:type="dxa"/>
            <w:shd w:val="clear" w:color="auto" w:fill="CCECFF"/>
            <w:tcMar>
              <w:top w:w="15" w:type="dxa"/>
              <w:left w:w="0" w:type="dxa"/>
              <w:bottom w:w="0" w:type="dxa"/>
              <w:right w:w="15" w:type="dxa"/>
            </w:tcMar>
            <w:vAlign w:val="bottom"/>
            <w:hideMark/>
          </w:tcPr>
          <w:p w14:paraId="785B365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5E40EF5D"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7C2BA68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CCECFF"/>
            <w:tcMar>
              <w:top w:w="15" w:type="dxa"/>
              <w:left w:w="0" w:type="dxa"/>
              <w:bottom w:w="0" w:type="dxa"/>
              <w:right w:w="15" w:type="dxa"/>
            </w:tcMar>
            <w:hideMark/>
          </w:tcPr>
          <w:p w14:paraId="319FE6B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5E63403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CCECFF"/>
            <w:tcMar>
              <w:top w:w="15" w:type="dxa"/>
              <w:left w:w="0" w:type="dxa"/>
              <w:bottom w:w="0" w:type="dxa"/>
              <w:right w:w="15" w:type="dxa"/>
            </w:tcMar>
            <w:hideMark/>
          </w:tcPr>
          <w:p w14:paraId="20A3653C"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123ADF77" w14:textId="77777777" w:rsidTr="00AC4931">
        <w:tc>
          <w:tcPr>
            <w:tcW w:w="9349" w:type="dxa"/>
            <w:shd w:val="clear" w:color="auto" w:fill="FFFFFF"/>
            <w:tcMar>
              <w:top w:w="15" w:type="dxa"/>
              <w:left w:w="0" w:type="dxa"/>
              <w:bottom w:w="0" w:type="dxa"/>
              <w:right w:w="15" w:type="dxa"/>
            </w:tcMar>
            <w:hideMark/>
          </w:tcPr>
          <w:p w14:paraId="48D495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P.T. Autoliv Indonesia</w:t>
            </w:r>
          </w:p>
        </w:tc>
        <w:tc>
          <w:tcPr>
            <w:tcW w:w="286" w:type="dxa"/>
            <w:shd w:val="clear" w:color="auto" w:fill="FFFFFF"/>
            <w:tcMar>
              <w:top w:w="15" w:type="dxa"/>
              <w:left w:w="0" w:type="dxa"/>
              <w:bottom w:w="0" w:type="dxa"/>
              <w:right w:w="15" w:type="dxa"/>
            </w:tcMar>
            <w:vAlign w:val="bottom"/>
            <w:hideMark/>
          </w:tcPr>
          <w:p w14:paraId="1E6C17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33BB16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Jakarta</w:t>
            </w:r>
          </w:p>
        </w:tc>
        <w:tc>
          <w:tcPr>
            <w:tcW w:w="286" w:type="dxa"/>
            <w:shd w:val="clear" w:color="auto" w:fill="FFFFFF"/>
            <w:tcMar>
              <w:top w:w="15" w:type="dxa"/>
              <w:left w:w="0" w:type="dxa"/>
              <w:bottom w:w="0" w:type="dxa"/>
              <w:right w:w="15" w:type="dxa"/>
            </w:tcMar>
            <w:vAlign w:val="bottom"/>
            <w:hideMark/>
          </w:tcPr>
          <w:p w14:paraId="2B4F42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1ABD97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and steering wheels</w:t>
            </w:r>
          </w:p>
        </w:tc>
        <w:tc>
          <w:tcPr>
            <w:tcW w:w="286" w:type="dxa"/>
            <w:shd w:val="clear" w:color="auto" w:fill="FFFFFF"/>
            <w:tcMar>
              <w:top w:w="15" w:type="dxa"/>
              <w:left w:w="0" w:type="dxa"/>
              <w:bottom w:w="0" w:type="dxa"/>
              <w:right w:w="15" w:type="dxa"/>
            </w:tcMar>
            <w:vAlign w:val="bottom"/>
            <w:hideMark/>
          </w:tcPr>
          <w:p w14:paraId="766618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45D4DD4E"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48C6057A" w14:textId="77777777" w:rsidTr="00AC4931">
        <w:tc>
          <w:tcPr>
            <w:tcW w:w="9349" w:type="dxa"/>
            <w:shd w:val="clear" w:color="auto" w:fill="FFFFFF"/>
            <w:tcMar>
              <w:top w:w="15" w:type="dxa"/>
              <w:left w:w="0" w:type="dxa"/>
              <w:bottom w:w="0" w:type="dxa"/>
              <w:right w:w="15" w:type="dxa"/>
            </w:tcMar>
            <w:hideMark/>
          </w:tcPr>
          <w:p w14:paraId="779BA1CF"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289B6A47"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vAlign w:val="bottom"/>
            <w:hideMark/>
          </w:tcPr>
          <w:p w14:paraId="6D48E4CE"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207EA9D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vAlign w:val="bottom"/>
            <w:hideMark/>
          </w:tcPr>
          <w:p w14:paraId="3645C83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2E1EA12D"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vAlign w:val="bottom"/>
            <w:hideMark/>
          </w:tcPr>
          <w:p w14:paraId="681A01D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69C7A045" w14:textId="77777777" w:rsidTr="00AC4931">
        <w:tc>
          <w:tcPr>
            <w:tcW w:w="9349" w:type="dxa"/>
            <w:shd w:val="clear" w:color="auto" w:fill="CCECFF"/>
            <w:tcMar>
              <w:top w:w="15" w:type="dxa"/>
              <w:left w:w="0" w:type="dxa"/>
              <w:bottom w:w="0" w:type="dxa"/>
              <w:right w:w="15" w:type="dxa"/>
            </w:tcMar>
            <w:hideMark/>
          </w:tcPr>
          <w:p w14:paraId="6FCCE7C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Japan</w:t>
            </w:r>
          </w:p>
        </w:tc>
        <w:tc>
          <w:tcPr>
            <w:tcW w:w="286" w:type="dxa"/>
            <w:shd w:val="clear" w:color="auto" w:fill="CCECFF"/>
            <w:tcMar>
              <w:top w:w="15" w:type="dxa"/>
              <w:left w:w="0" w:type="dxa"/>
              <w:bottom w:w="0" w:type="dxa"/>
              <w:right w:w="15" w:type="dxa"/>
            </w:tcMar>
            <w:vAlign w:val="bottom"/>
            <w:hideMark/>
          </w:tcPr>
          <w:p w14:paraId="22E4513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2C0CDDD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04A7245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CCECFF"/>
            <w:tcMar>
              <w:top w:w="15" w:type="dxa"/>
              <w:left w:w="0" w:type="dxa"/>
              <w:bottom w:w="0" w:type="dxa"/>
              <w:right w:w="15" w:type="dxa"/>
            </w:tcMar>
            <w:hideMark/>
          </w:tcPr>
          <w:p w14:paraId="1B2945DE"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196A149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CCECFF"/>
            <w:tcMar>
              <w:top w:w="15" w:type="dxa"/>
              <w:left w:w="0" w:type="dxa"/>
              <w:bottom w:w="0" w:type="dxa"/>
              <w:right w:w="15" w:type="dxa"/>
            </w:tcMar>
            <w:hideMark/>
          </w:tcPr>
          <w:p w14:paraId="15A4AE83"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287A9AFA" w14:textId="77777777" w:rsidTr="00AC4931">
        <w:tc>
          <w:tcPr>
            <w:tcW w:w="9349" w:type="dxa"/>
            <w:shd w:val="clear" w:color="auto" w:fill="FFFFFF"/>
            <w:tcMar>
              <w:top w:w="15" w:type="dxa"/>
              <w:left w:w="0" w:type="dxa"/>
              <w:bottom w:w="0" w:type="dxa"/>
              <w:right w:w="15" w:type="dxa"/>
            </w:tcMar>
            <w:hideMark/>
          </w:tcPr>
          <w:p w14:paraId="2A5C58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Japan Ltd.</w:t>
            </w:r>
          </w:p>
        </w:tc>
        <w:tc>
          <w:tcPr>
            <w:tcW w:w="286" w:type="dxa"/>
            <w:shd w:val="clear" w:color="auto" w:fill="FFFFFF"/>
            <w:tcMar>
              <w:top w:w="15" w:type="dxa"/>
              <w:left w:w="0" w:type="dxa"/>
              <w:bottom w:w="0" w:type="dxa"/>
              <w:right w:w="15" w:type="dxa"/>
            </w:tcMar>
            <w:vAlign w:val="bottom"/>
            <w:hideMark/>
          </w:tcPr>
          <w:p w14:paraId="33B259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5C17E4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Atsugi</w:t>
            </w:r>
          </w:p>
        </w:tc>
        <w:tc>
          <w:tcPr>
            <w:tcW w:w="286" w:type="dxa"/>
            <w:shd w:val="clear" w:color="auto" w:fill="FFFFFF"/>
            <w:tcMar>
              <w:top w:w="15" w:type="dxa"/>
              <w:left w:w="0" w:type="dxa"/>
              <w:bottom w:w="0" w:type="dxa"/>
              <w:right w:w="15" w:type="dxa"/>
            </w:tcMar>
            <w:vAlign w:val="bottom"/>
            <w:hideMark/>
          </w:tcPr>
          <w:p w14:paraId="1B9EC4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34D226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Steering wheels</w:t>
            </w:r>
          </w:p>
        </w:tc>
        <w:tc>
          <w:tcPr>
            <w:tcW w:w="286" w:type="dxa"/>
            <w:shd w:val="clear" w:color="auto" w:fill="FFFFFF"/>
            <w:tcMar>
              <w:top w:w="15" w:type="dxa"/>
              <w:left w:w="0" w:type="dxa"/>
              <w:bottom w:w="0" w:type="dxa"/>
              <w:right w:w="15" w:type="dxa"/>
            </w:tcMar>
            <w:vAlign w:val="bottom"/>
            <w:hideMark/>
          </w:tcPr>
          <w:p w14:paraId="7D12D8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570CFE0A"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1D2AFBD4" w14:textId="77777777" w:rsidTr="00AC4931">
        <w:tc>
          <w:tcPr>
            <w:tcW w:w="9349" w:type="dxa"/>
            <w:shd w:val="clear" w:color="auto" w:fill="FFFFFF"/>
            <w:tcMar>
              <w:top w:w="15" w:type="dxa"/>
              <w:left w:w="0" w:type="dxa"/>
              <w:bottom w:w="0" w:type="dxa"/>
              <w:right w:w="15" w:type="dxa"/>
            </w:tcMar>
            <w:hideMark/>
          </w:tcPr>
          <w:p w14:paraId="02983E64"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FFFFFF"/>
            <w:tcMar>
              <w:top w:w="15" w:type="dxa"/>
              <w:left w:w="0" w:type="dxa"/>
              <w:bottom w:w="0" w:type="dxa"/>
              <w:right w:w="15" w:type="dxa"/>
            </w:tcMar>
            <w:vAlign w:val="bottom"/>
            <w:hideMark/>
          </w:tcPr>
          <w:p w14:paraId="259E4671"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55" w:type="dxa"/>
            <w:shd w:val="clear" w:color="auto" w:fill="FFFFFF"/>
            <w:tcMar>
              <w:top w:w="15" w:type="dxa"/>
              <w:left w:w="0" w:type="dxa"/>
              <w:bottom w:w="0" w:type="dxa"/>
              <w:right w:w="15" w:type="dxa"/>
            </w:tcMar>
            <w:hideMark/>
          </w:tcPr>
          <w:p w14:paraId="440114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Hiroshima</w:t>
            </w:r>
          </w:p>
        </w:tc>
        <w:tc>
          <w:tcPr>
            <w:tcW w:w="286" w:type="dxa"/>
            <w:shd w:val="clear" w:color="auto" w:fill="FFFFFF"/>
            <w:tcMar>
              <w:top w:w="15" w:type="dxa"/>
              <w:left w:w="0" w:type="dxa"/>
              <w:bottom w:w="0" w:type="dxa"/>
              <w:right w:w="15" w:type="dxa"/>
            </w:tcMar>
            <w:vAlign w:val="bottom"/>
            <w:hideMark/>
          </w:tcPr>
          <w:p w14:paraId="7887CC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0CB73D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and steering wheels</w:t>
            </w:r>
          </w:p>
        </w:tc>
        <w:tc>
          <w:tcPr>
            <w:tcW w:w="286" w:type="dxa"/>
            <w:shd w:val="clear" w:color="auto" w:fill="FFFFFF"/>
            <w:tcMar>
              <w:top w:w="15" w:type="dxa"/>
              <w:left w:w="0" w:type="dxa"/>
              <w:bottom w:w="0" w:type="dxa"/>
              <w:right w:w="15" w:type="dxa"/>
            </w:tcMar>
            <w:vAlign w:val="bottom"/>
            <w:hideMark/>
          </w:tcPr>
          <w:p w14:paraId="6CCFDE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D902010"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06E75CBB" w14:textId="77777777" w:rsidTr="00AC4931">
        <w:tc>
          <w:tcPr>
            <w:tcW w:w="9349" w:type="dxa"/>
            <w:shd w:val="clear" w:color="auto" w:fill="FFFFFF"/>
            <w:tcMar>
              <w:top w:w="15" w:type="dxa"/>
              <w:left w:w="0" w:type="dxa"/>
              <w:bottom w:w="0" w:type="dxa"/>
              <w:right w:w="15" w:type="dxa"/>
            </w:tcMar>
            <w:vAlign w:val="bottom"/>
            <w:hideMark/>
          </w:tcPr>
          <w:p w14:paraId="150BAA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7BA3D8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57BF47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Taketoyo</w:t>
            </w:r>
          </w:p>
        </w:tc>
        <w:tc>
          <w:tcPr>
            <w:tcW w:w="286" w:type="dxa"/>
            <w:shd w:val="clear" w:color="auto" w:fill="FFFFFF"/>
            <w:tcMar>
              <w:top w:w="15" w:type="dxa"/>
              <w:left w:w="0" w:type="dxa"/>
              <w:bottom w:w="0" w:type="dxa"/>
              <w:right w:w="15" w:type="dxa"/>
            </w:tcMar>
            <w:vAlign w:val="bottom"/>
            <w:hideMark/>
          </w:tcPr>
          <w:p w14:paraId="6039BA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1A3A2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inflators</w:t>
            </w:r>
          </w:p>
        </w:tc>
        <w:tc>
          <w:tcPr>
            <w:tcW w:w="286" w:type="dxa"/>
            <w:shd w:val="clear" w:color="auto" w:fill="FFFFFF"/>
            <w:tcMar>
              <w:top w:w="15" w:type="dxa"/>
              <w:left w:w="0" w:type="dxa"/>
              <w:bottom w:w="0" w:type="dxa"/>
              <w:right w:w="15" w:type="dxa"/>
            </w:tcMar>
            <w:vAlign w:val="bottom"/>
            <w:hideMark/>
          </w:tcPr>
          <w:p w14:paraId="1DA476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49601A8D"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6D766E8A" w14:textId="77777777" w:rsidTr="00AC4931">
        <w:tc>
          <w:tcPr>
            <w:tcW w:w="9349" w:type="dxa"/>
            <w:shd w:val="clear" w:color="auto" w:fill="FFFFFF"/>
            <w:tcMar>
              <w:top w:w="15" w:type="dxa"/>
              <w:left w:w="0" w:type="dxa"/>
              <w:bottom w:w="0" w:type="dxa"/>
              <w:right w:w="15" w:type="dxa"/>
            </w:tcMar>
            <w:vAlign w:val="bottom"/>
            <w:hideMark/>
          </w:tcPr>
          <w:p w14:paraId="74DD2C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6407D2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1B1A90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Tsukuba</w:t>
            </w:r>
          </w:p>
        </w:tc>
        <w:tc>
          <w:tcPr>
            <w:tcW w:w="286" w:type="dxa"/>
            <w:shd w:val="clear" w:color="auto" w:fill="FFFFFF"/>
            <w:tcMar>
              <w:top w:w="15" w:type="dxa"/>
              <w:left w:w="0" w:type="dxa"/>
              <w:bottom w:w="0" w:type="dxa"/>
              <w:right w:w="15" w:type="dxa"/>
            </w:tcMar>
            <w:vAlign w:val="bottom"/>
            <w:hideMark/>
          </w:tcPr>
          <w:p w14:paraId="653142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DC51D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and seatbelts</w:t>
            </w:r>
          </w:p>
        </w:tc>
        <w:tc>
          <w:tcPr>
            <w:tcW w:w="286" w:type="dxa"/>
            <w:shd w:val="clear" w:color="auto" w:fill="FFFFFF"/>
            <w:tcMar>
              <w:top w:w="15" w:type="dxa"/>
              <w:left w:w="0" w:type="dxa"/>
              <w:bottom w:w="0" w:type="dxa"/>
              <w:right w:w="15" w:type="dxa"/>
            </w:tcMar>
            <w:vAlign w:val="bottom"/>
            <w:hideMark/>
          </w:tcPr>
          <w:p w14:paraId="7DFA5D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08DBA5DB"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1A2237ED" w14:textId="77777777" w:rsidTr="00AC4931">
        <w:tc>
          <w:tcPr>
            <w:tcW w:w="9349" w:type="dxa"/>
            <w:shd w:val="clear" w:color="auto" w:fill="FFFFFF"/>
            <w:tcMar>
              <w:top w:w="15" w:type="dxa"/>
              <w:left w:w="0" w:type="dxa"/>
              <w:bottom w:w="0" w:type="dxa"/>
              <w:right w:w="15" w:type="dxa"/>
            </w:tcMar>
            <w:hideMark/>
          </w:tcPr>
          <w:p w14:paraId="737B95DF"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67318206"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7155FD5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0AE3DDCD"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62C0BF2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17718E5D"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7A6F47CB"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bl>
    <w:p w14:paraId="2DC83845"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22</w:t>
      </w:r>
    </w:p>
    <w:p w14:paraId="7523793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CEF38F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069DFF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8C18DB2"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09D61E3">
          <v:rect id="_x0000_i1047" style="width:0;height:1.5pt" o:hralign="center" o:hrstd="t" o:hrnoshade="t" o:hr="t" fillcolor="black" stroked="f"/>
        </w:pict>
      </w:r>
    </w:p>
    <w:p w14:paraId="6465E1B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3922E6F"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A0C2E32"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lastRenderedPageBreak/>
        <w:t> </w:t>
      </w:r>
    </w:p>
    <w:tbl>
      <w:tblPr>
        <w:tblW w:w="20614" w:type="dxa"/>
        <w:tblCellMar>
          <w:left w:w="0" w:type="dxa"/>
          <w:right w:w="0" w:type="dxa"/>
        </w:tblCellMar>
        <w:tblLook w:val="04A0" w:firstRow="1" w:lastRow="0" w:firstColumn="1" w:lastColumn="0" w:noHBand="0" w:noVBand="1"/>
      </w:tblPr>
      <w:tblGrid>
        <w:gridCol w:w="9398"/>
        <w:gridCol w:w="287"/>
        <w:gridCol w:w="3171"/>
        <w:gridCol w:w="287"/>
        <w:gridCol w:w="4830"/>
        <w:gridCol w:w="287"/>
        <w:gridCol w:w="2354"/>
      </w:tblGrid>
      <w:tr w:rsidR="00AC4931" w:rsidRPr="00AC4931" w14:paraId="05682D8F" w14:textId="77777777" w:rsidTr="00AC4931">
        <w:tc>
          <w:tcPr>
            <w:tcW w:w="9349" w:type="dxa"/>
            <w:shd w:val="clear" w:color="auto" w:fill="CCECFF"/>
            <w:tcMar>
              <w:top w:w="15" w:type="dxa"/>
              <w:left w:w="0" w:type="dxa"/>
              <w:bottom w:w="0" w:type="dxa"/>
              <w:right w:w="15" w:type="dxa"/>
            </w:tcMar>
            <w:hideMark/>
          </w:tcPr>
          <w:p w14:paraId="1054EDCA" w14:textId="77777777" w:rsidR="00AC4931" w:rsidRPr="00AC4931" w:rsidRDefault="00AC4931" w:rsidP="00AC4931">
            <w:pPr>
              <w:widowControl/>
              <w:jc w:val="left"/>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Malaysia</w:t>
            </w:r>
          </w:p>
        </w:tc>
        <w:tc>
          <w:tcPr>
            <w:tcW w:w="286" w:type="dxa"/>
            <w:shd w:val="clear" w:color="auto" w:fill="CCECFF"/>
            <w:tcMar>
              <w:top w:w="15" w:type="dxa"/>
              <w:left w:w="0" w:type="dxa"/>
              <w:bottom w:w="0" w:type="dxa"/>
              <w:right w:w="15" w:type="dxa"/>
            </w:tcMar>
            <w:vAlign w:val="bottom"/>
            <w:hideMark/>
          </w:tcPr>
          <w:p w14:paraId="253305A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316C6B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276B92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CCECFF"/>
            <w:tcMar>
              <w:top w:w="15" w:type="dxa"/>
              <w:left w:w="0" w:type="dxa"/>
              <w:bottom w:w="0" w:type="dxa"/>
              <w:right w:w="15" w:type="dxa"/>
            </w:tcMar>
            <w:hideMark/>
          </w:tcPr>
          <w:p w14:paraId="64DD63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1C4C46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CCECFF"/>
            <w:tcMar>
              <w:top w:w="15" w:type="dxa"/>
              <w:left w:w="0" w:type="dxa"/>
              <w:bottom w:w="0" w:type="dxa"/>
              <w:right w:w="15" w:type="dxa"/>
            </w:tcMar>
            <w:hideMark/>
          </w:tcPr>
          <w:p w14:paraId="352C73ED"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533069B" w14:textId="77777777" w:rsidTr="00AC4931">
        <w:tc>
          <w:tcPr>
            <w:tcW w:w="9349" w:type="dxa"/>
            <w:shd w:val="clear" w:color="auto" w:fill="FFFFFF"/>
            <w:tcMar>
              <w:top w:w="15" w:type="dxa"/>
              <w:left w:w="0" w:type="dxa"/>
              <w:bottom w:w="0" w:type="dxa"/>
              <w:right w:w="15" w:type="dxa"/>
            </w:tcMar>
            <w:hideMark/>
          </w:tcPr>
          <w:p w14:paraId="08A86D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Autoliv-Hirotako Sdn Bhd</w:t>
            </w:r>
          </w:p>
        </w:tc>
        <w:tc>
          <w:tcPr>
            <w:tcW w:w="286" w:type="dxa"/>
            <w:shd w:val="clear" w:color="auto" w:fill="FFFFFF"/>
            <w:tcMar>
              <w:top w:w="15" w:type="dxa"/>
              <w:left w:w="0" w:type="dxa"/>
              <w:bottom w:w="0" w:type="dxa"/>
              <w:right w:w="15" w:type="dxa"/>
            </w:tcMar>
            <w:vAlign w:val="bottom"/>
            <w:hideMark/>
          </w:tcPr>
          <w:p w14:paraId="40904E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7B297B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Kuala Lumpur</w:t>
            </w:r>
          </w:p>
        </w:tc>
        <w:tc>
          <w:tcPr>
            <w:tcW w:w="286" w:type="dxa"/>
            <w:shd w:val="clear" w:color="auto" w:fill="FFFFFF"/>
            <w:tcMar>
              <w:top w:w="15" w:type="dxa"/>
              <w:left w:w="0" w:type="dxa"/>
              <w:bottom w:w="0" w:type="dxa"/>
              <w:right w:w="15" w:type="dxa"/>
            </w:tcMar>
            <w:vAlign w:val="bottom"/>
            <w:hideMark/>
          </w:tcPr>
          <w:p w14:paraId="0177C6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6AF675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airbags and steering wheels</w:t>
            </w:r>
          </w:p>
        </w:tc>
        <w:tc>
          <w:tcPr>
            <w:tcW w:w="286" w:type="dxa"/>
            <w:shd w:val="clear" w:color="auto" w:fill="FFFFFF"/>
            <w:tcMar>
              <w:top w:w="15" w:type="dxa"/>
              <w:left w:w="0" w:type="dxa"/>
              <w:bottom w:w="0" w:type="dxa"/>
              <w:right w:w="15" w:type="dxa"/>
            </w:tcMar>
            <w:vAlign w:val="bottom"/>
            <w:hideMark/>
          </w:tcPr>
          <w:p w14:paraId="0C09B5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6B78D291"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06F56CDF" w14:textId="77777777" w:rsidTr="00AC4931">
        <w:tc>
          <w:tcPr>
            <w:tcW w:w="9349" w:type="dxa"/>
            <w:shd w:val="clear" w:color="auto" w:fill="FFFFFF"/>
            <w:tcMar>
              <w:top w:w="15" w:type="dxa"/>
              <w:left w:w="0" w:type="dxa"/>
              <w:bottom w:w="0" w:type="dxa"/>
              <w:right w:w="15" w:type="dxa"/>
            </w:tcMar>
            <w:hideMark/>
          </w:tcPr>
          <w:p w14:paraId="61911A95"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16B5C1C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3155" w:type="dxa"/>
            <w:shd w:val="clear" w:color="auto" w:fill="FFFFFF"/>
            <w:tcMar>
              <w:top w:w="15" w:type="dxa"/>
              <w:left w:w="0" w:type="dxa"/>
              <w:bottom w:w="0" w:type="dxa"/>
              <w:right w:w="15" w:type="dxa"/>
            </w:tcMar>
            <w:hideMark/>
          </w:tcPr>
          <w:p w14:paraId="55D7247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399DCB48"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758C66E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26541B9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03B30C8F"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243BA68C" w14:textId="77777777" w:rsidTr="00AC4931">
        <w:tc>
          <w:tcPr>
            <w:tcW w:w="9349" w:type="dxa"/>
            <w:shd w:val="clear" w:color="auto" w:fill="CCECFF"/>
            <w:tcMar>
              <w:top w:w="15" w:type="dxa"/>
              <w:left w:w="0" w:type="dxa"/>
              <w:bottom w:w="0" w:type="dxa"/>
              <w:right w:w="15" w:type="dxa"/>
            </w:tcMar>
            <w:hideMark/>
          </w:tcPr>
          <w:p w14:paraId="105E4CD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Mexico</w:t>
            </w:r>
          </w:p>
        </w:tc>
        <w:tc>
          <w:tcPr>
            <w:tcW w:w="286" w:type="dxa"/>
            <w:shd w:val="clear" w:color="auto" w:fill="CCECFF"/>
            <w:tcMar>
              <w:top w:w="15" w:type="dxa"/>
              <w:left w:w="0" w:type="dxa"/>
              <w:bottom w:w="0" w:type="dxa"/>
              <w:right w:w="15" w:type="dxa"/>
            </w:tcMar>
            <w:vAlign w:val="bottom"/>
            <w:hideMark/>
          </w:tcPr>
          <w:p w14:paraId="0CB7169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vAlign w:val="bottom"/>
            <w:hideMark/>
          </w:tcPr>
          <w:p w14:paraId="66EB99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777CA3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CCECFF"/>
            <w:tcMar>
              <w:top w:w="15" w:type="dxa"/>
              <w:left w:w="0" w:type="dxa"/>
              <w:bottom w:w="0" w:type="dxa"/>
              <w:right w:w="15" w:type="dxa"/>
            </w:tcMar>
            <w:vAlign w:val="bottom"/>
            <w:hideMark/>
          </w:tcPr>
          <w:p w14:paraId="038B5C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146BF5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CCECFF"/>
            <w:tcMar>
              <w:top w:w="15" w:type="dxa"/>
              <w:left w:w="0" w:type="dxa"/>
              <w:bottom w:w="0" w:type="dxa"/>
              <w:right w:w="15" w:type="dxa"/>
            </w:tcMar>
            <w:vAlign w:val="bottom"/>
            <w:hideMark/>
          </w:tcPr>
          <w:p w14:paraId="0CC2B2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F141B16" w14:textId="77777777" w:rsidTr="00AC4931">
        <w:tc>
          <w:tcPr>
            <w:tcW w:w="9349" w:type="dxa"/>
            <w:shd w:val="clear" w:color="auto" w:fill="FFFFFF"/>
            <w:tcMar>
              <w:top w:w="15" w:type="dxa"/>
              <w:left w:w="0" w:type="dxa"/>
              <w:bottom w:w="0" w:type="dxa"/>
              <w:right w:w="15" w:type="dxa"/>
            </w:tcMar>
            <w:hideMark/>
          </w:tcPr>
          <w:p w14:paraId="1F7116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Mexico East S.A. de C.V.</w:t>
            </w:r>
          </w:p>
        </w:tc>
        <w:tc>
          <w:tcPr>
            <w:tcW w:w="286" w:type="dxa"/>
            <w:shd w:val="clear" w:color="auto" w:fill="FFFFFF"/>
            <w:tcMar>
              <w:top w:w="15" w:type="dxa"/>
              <w:left w:w="0" w:type="dxa"/>
              <w:bottom w:w="0" w:type="dxa"/>
              <w:right w:w="15" w:type="dxa"/>
            </w:tcMar>
            <w:vAlign w:val="bottom"/>
            <w:hideMark/>
          </w:tcPr>
          <w:p w14:paraId="506734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22580A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Matamoros</w:t>
            </w:r>
          </w:p>
        </w:tc>
        <w:tc>
          <w:tcPr>
            <w:tcW w:w="286" w:type="dxa"/>
            <w:shd w:val="clear" w:color="auto" w:fill="FFFFFF"/>
            <w:tcMar>
              <w:top w:w="15" w:type="dxa"/>
              <w:left w:w="0" w:type="dxa"/>
              <w:bottom w:w="0" w:type="dxa"/>
              <w:right w:w="15" w:type="dxa"/>
            </w:tcMar>
            <w:vAlign w:val="bottom"/>
            <w:hideMark/>
          </w:tcPr>
          <w:p w14:paraId="26A6CE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68597A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Steering wheels</w:t>
            </w:r>
          </w:p>
        </w:tc>
        <w:tc>
          <w:tcPr>
            <w:tcW w:w="286" w:type="dxa"/>
            <w:shd w:val="clear" w:color="auto" w:fill="FFFFFF"/>
            <w:tcMar>
              <w:top w:w="15" w:type="dxa"/>
              <w:left w:w="0" w:type="dxa"/>
              <w:bottom w:w="0" w:type="dxa"/>
              <w:right w:w="15" w:type="dxa"/>
            </w:tcMar>
            <w:vAlign w:val="bottom"/>
            <w:hideMark/>
          </w:tcPr>
          <w:p w14:paraId="4BBC5D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145D01A0"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5B695318" w14:textId="77777777" w:rsidTr="00AC4931">
        <w:tc>
          <w:tcPr>
            <w:tcW w:w="9349" w:type="dxa"/>
            <w:shd w:val="clear" w:color="auto" w:fill="FFFFFF"/>
            <w:tcMar>
              <w:top w:w="15" w:type="dxa"/>
              <w:left w:w="0" w:type="dxa"/>
              <w:bottom w:w="0" w:type="dxa"/>
              <w:right w:w="15" w:type="dxa"/>
            </w:tcMar>
            <w:hideMark/>
          </w:tcPr>
          <w:p w14:paraId="515FEB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Mexico S.A. de C.V.</w:t>
            </w:r>
          </w:p>
        </w:tc>
        <w:tc>
          <w:tcPr>
            <w:tcW w:w="286" w:type="dxa"/>
            <w:shd w:val="clear" w:color="auto" w:fill="FFFFFF"/>
            <w:tcMar>
              <w:top w:w="15" w:type="dxa"/>
              <w:left w:w="0" w:type="dxa"/>
              <w:bottom w:w="0" w:type="dxa"/>
              <w:right w:w="15" w:type="dxa"/>
            </w:tcMar>
            <w:vAlign w:val="bottom"/>
            <w:hideMark/>
          </w:tcPr>
          <w:p w14:paraId="67CD91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545CAD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Lerma</w:t>
            </w:r>
          </w:p>
        </w:tc>
        <w:tc>
          <w:tcPr>
            <w:tcW w:w="286" w:type="dxa"/>
            <w:shd w:val="clear" w:color="auto" w:fill="FFFFFF"/>
            <w:tcMar>
              <w:top w:w="15" w:type="dxa"/>
              <w:left w:w="0" w:type="dxa"/>
              <w:bottom w:w="0" w:type="dxa"/>
              <w:right w:w="15" w:type="dxa"/>
            </w:tcMar>
            <w:vAlign w:val="bottom"/>
            <w:hideMark/>
          </w:tcPr>
          <w:p w14:paraId="026E01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51405C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w:t>
            </w:r>
          </w:p>
        </w:tc>
        <w:tc>
          <w:tcPr>
            <w:tcW w:w="286" w:type="dxa"/>
            <w:shd w:val="clear" w:color="auto" w:fill="FFFFFF"/>
            <w:tcMar>
              <w:top w:w="15" w:type="dxa"/>
              <w:left w:w="0" w:type="dxa"/>
              <w:bottom w:w="0" w:type="dxa"/>
              <w:right w:w="15" w:type="dxa"/>
            </w:tcMar>
            <w:vAlign w:val="bottom"/>
            <w:hideMark/>
          </w:tcPr>
          <w:p w14:paraId="2D3C53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E53441F"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12E21E5B" w14:textId="77777777" w:rsidTr="00AC4931">
        <w:tc>
          <w:tcPr>
            <w:tcW w:w="9349" w:type="dxa"/>
            <w:shd w:val="clear" w:color="auto" w:fill="FFFFFF"/>
            <w:tcMar>
              <w:top w:w="15" w:type="dxa"/>
              <w:left w:w="0" w:type="dxa"/>
              <w:bottom w:w="0" w:type="dxa"/>
              <w:right w:w="15" w:type="dxa"/>
            </w:tcMar>
            <w:hideMark/>
          </w:tcPr>
          <w:p w14:paraId="72A5A7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Safety Technology de</w:t>
            </w:r>
          </w:p>
        </w:tc>
        <w:tc>
          <w:tcPr>
            <w:tcW w:w="286" w:type="dxa"/>
            <w:shd w:val="clear" w:color="auto" w:fill="FFFFFF"/>
            <w:tcMar>
              <w:top w:w="15" w:type="dxa"/>
              <w:left w:w="0" w:type="dxa"/>
              <w:bottom w:w="0" w:type="dxa"/>
              <w:right w:w="15" w:type="dxa"/>
            </w:tcMar>
            <w:vAlign w:val="bottom"/>
            <w:hideMark/>
          </w:tcPr>
          <w:p w14:paraId="58063D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026C25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Tijuana</w:t>
            </w:r>
          </w:p>
        </w:tc>
        <w:tc>
          <w:tcPr>
            <w:tcW w:w="286" w:type="dxa"/>
            <w:shd w:val="clear" w:color="auto" w:fill="FFFFFF"/>
            <w:tcMar>
              <w:top w:w="15" w:type="dxa"/>
              <w:left w:w="0" w:type="dxa"/>
              <w:bottom w:w="0" w:type="dxa"/>
              <w:right w:w="15" w:type="dxa"/>
            </w:tcMar>
            <w:vAlign w:val="bottom"/>
            <w:hideMark/>
          </w:tcPr>
          <w:p w14:paraId="09EC17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415377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w:t>
            </w:r>
          </w:p>
        </w:tc>
        <w:tc>
          <w:tcPr>
            <w:tcW w:w="286" w:type="dxa"/>
            <w:shd w:val="clear" w:color="auto" w:fill="FFFFFF"/>
            <w:tcMar>
              <w:top w:w="15" w:type="dxa"/>
              <w:left w:w="0" w:type="dxa"/>
              <w:bottom w:w="0" w:type="dxa"/>
              <w:right w:w="15" w:type="dxa"/>
            </w:tcMar>
            <w:vAlign w:val="bottom"/>
            <w:hideMark/>
          </w:tcPr>
          <w:p w14:paraId="3A21E4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41591E09"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5B8F04E1" w14:textId="77777777" w:rsidTr="00AC4931">
        <w:tc>
          <w:tcPr>
            <w:tcW w:w="9349" w:type="dxa"/>
            <w:shd w:val="clear" w:color="auto" w:fill="FFFFFF"/>
            <w:tcMar>
              <w:top w:w="15" w:type="dxa"/>
              <w:left w:w="0" w:type="dxa"/>
              <w:bottom w:w="0" w:type="dxa"/>
              <w:right w:w="15" w:type="dxa"/>
            </w:tcMar>
            <w:hideMark/>
          </w:tcPr>
          <w:p w14:paraId="07B34F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Mexico S.A. de C.V.</w:t>
            </w:r>
          </w:p>
        </w:tc>
        <w:tc>
          <w:tcPr>
            <w:tcW w:w="286" w:type="dxa"/>
            <w:shd w:val="clear" w:color="auto" w:fill="FFFFFF"/>
            <w:tcMar>
              <w:top w:w="15" w:type="dxa"/>
              <w:left w:w="0" w:type="dxa"/>
              <w:bottom w:w="0" w:type="dxa"/>
              <w:right w:w="15" w:type="dxa"/>
            </w:tcMar>
            <w:vAlign w:val="bottom"/>
            <w:hideMark/>
          </w:tcPr>
          <w:p w14:paraId="0508E4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412787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Querétaro</w:t>
            </w:r>
          </w:p>
        </w:tc>
        <w:tc>
          <w:tcPr>
            <w:tcW w:w="286" w:type="dxa"/>
            <w:shd w:val="clear" w:color="auto" w:fill="FFFFFF"/>
            <w:tcMar>
              <w:top w:w="15" w:type="dxa"/>
              <w:left w:w="0" w:type="dxa"/>
              <w:bottom w:w="0" w:type="dxa"/>
              <w:right w:w="15" w:type="dxa"/>
            </w:tcMar>
            <w:vAlign w:val="bottom"/>
            <w:hideMark/>
          </w:tcPr>
          <w:p w14:paraId="247FF6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5C1C0F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cushions</w:t>
            </w:r>
          </w:p>
        </w:tc>
        <w:tc>
          <w:tcPr>
            <w:tcW w:w="286" w:type="dxa"/>
            <w:shd w:val="clear" w:color="auto" w:fill="FFFFFF"/>
            <w:tcMar>
              <w:top w:w="15" w:type="dxa"/>
              <w:left w:w="0" w:type="dxa"/>
              <w:bottom w:w="0" w:type="dxa"/>
              <w:right w:w="15" w:type="dxa"/>
            </w:tcMar>
            <w:vAlign w:val="bottom"/>
            <w:hideMark/>
          </w:tcPr>
          <w:p w14:paraId="3B86C6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3C85295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6F1B27C9" w14:textId="77777777" w:rsidTr="00AC4931">
        <w:tc>
          <w:tcPr>
            <w:tcW w:w="9349" w:type="dxa"/>
            <w:shd w:val="clear" w:color="auto" w:fill="FFFFFF"/>
            <w:tcMar>
              <w:top w:w="15" w:type="dxa"/>
              <w:left w:w="0" w:type="dxa"/>
              <w:bottom w:w="0" w:type="dxa"/>
              <w:right w:w="15" w:type="dxa"/>
            </w:tcMar>
            <w:hideMark/>
          </w:tcPr>
          <w:p w14:paraId="18BB20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Steering Wheels Mexico S. de R.L. de C.V.</w:t>
            </w:r>
          </w:p>
        </w:tc>
        <w:tc>
          <w:tcPr>
            <w:tcW w:w="286" w:type="dxa"/>
            <w:shd w:val="clear" w:color="auto" w:fill="FFFFFF"/>
            <w:tcMar>
              <w:top w:w="15" w:type="dxa"/>
              <w:left w:w="0" w:type="dxa"/>
              <w:bottom w:w="0" w:type="dxa"/>
              <w:right w:w="15" w:type="dxa"/>
            </w:tcMar>
            <w:vAlign w:val="bottom"/>
            <w:hideMark/>
          </w:tcPr>
          <w:p w14:paraId="5DDF81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628184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Querétaro</w:t>
            </w:r>
          </w:p>
        </w:tc>
        <w:tc>
          <w:tcPr>
            <w:tcW w:w="286" w:type="dxa"/>
            <w:shd w:val="clear" w:color="auto" w:fill="FFFFFF"/>
            <w:tcMar>
              <w:top w:w="15" w:type="dxa"/>
              <w:left w:w="0" w:type="dxa"/>
              <w:bottom w:w="0" w:type="dxa"/>
              <w:right w:w="15" w:type="dxa"/>
            </w:tcMar>
            <w:vAlign w:val="bottom"/>
            <w:hideMark/>
          </w:tcPr>
          <w:p w14:paraId="1DC910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45921C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w:t>
            </w:r>
          </w:p>
        </w:tc>
        <w:tc>
          <w:tcPr>
            <w:tcW w:w="286" w:type="dxa"/>
            <w:shd w:val="clear" w:color="auto" w:fill="FFFFFF"/>
            <w:tcMar>
              <w:top w:w="15" w:type="dxa"/>
              <w:left w:w="0" w:type="dxa"/>
              <w:bottom w:w="0" w:type="dxa"/>
              <w:right w:w="15" w:type="dxa"/>
            </w:tcMar>
            <w:vAlign w:val="bottom"/>
            <w:hideMark/>
          </w:tcPr>
          <w:p w14:paraId="116528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0C5CB74"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330A3789" w14:textId="77777777" w:rsidTr="00AC4931">
        <w:tc>
          <w:tcPr>
            <w:tcW w:w="9349" w:type="dxa"/>
            <w:shd w:val="clear" w:color="auto" w:fill="FFFFFF"/>
            <w:tcMar>
              <w:top w:w="15" w:type="dxa"/>
              <w:left w:w="0" w:type="dxa"/>
              <w:bottom w:w="0" w:type="dxa"/>
              <w:right w:w="15" w:type="dxa"/>
            </w:tcMar>
            <w:hideMark/>
          </w:tcPr>
          <w:p w14:paraId="7FD23397"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3E122583"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vAlign w:val="bottom"/>
            <w:hideMark/>
          </w:tcPr>
          <w:p w14:paraId="5935DD98"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0282E33E"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vAlign w:val="bottom"/>
            <w:hideMark/>
          </w:tcPr>
          <w:p w14:paraId="72547EE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2E94C19B"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vAlign w:val="bottom"/>
            <w:hideMark/>
          </w:tcPr>
          <w:p w14:paraId="1BD41A8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63BFACA8" w14:textId="77777777" w:rsidTr="00AC4931">
        <w:tc>
          <w:tcPr>
            <w:tcW w:w="9349" w:type="dxa"/>
            <w:shd w:val="clear" w:color="auto" w:fill="CCECFF"/>
            <w:tcMar>
              <w:top w:w="15" w:type="dxa"/>
              <w:left w:w="0" w:type="dxa"/>
              <w:bottom w:w="0" w:type="dxa"/>
              <w:right w:w="15" w:type="dxa"/>
            </w:tcMar>
            <w:hideMark/>
          </w:tcPr>
          <w:p w14:paraId="2A0146B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Philippines</w:t>
            </w:r>
          </w:p>
        </w:tc>
        <w:tc>
          <w:tcPr>
            <w:tcW w:w="286" w:type="dxa"/>
            <w:shd w:val="clear" w:color="auto" w:fill="CCECFF"/>
            <w:tcMar>
              <w:top w:w="15" w:type="dxa"/>
              <w:left w:w="0" w:type="dxa"/>
              <w:bottom w:w="0" w:type="dxa"/>
              <w:right w:w="15" w:type="dxa"/>
            </w:tcMar>
            <w:vAlign w:val="bottom"/>
            <w:hideMark/>
          </w:tcPr>
          <w:p w14:paraId="0E03441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vAlign w:val="bottom"/>
            <w:hideMark/>
          </w:tcPr>
          <w:p w14:paraId="2E58A7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1A166F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CCECFF"/>
            <w:tcMar>
              <w:top w:w="15" w:type="dxa"/>
              <w:left w:w="0" w:type="dxa"/>
              <w:bottom w:w="0" w:type="dxa"/>
              <w:right w:w="15" w:type="dxa"/>
            </w:tcMar>
            <w:vAlign w:val="bottom"/>
            <w:hideMark/>
          </w:tcPr>
          <w:p w14:paraId="69BE06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3A04F0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CCECFF"/>
            <w:tcMar>
              <w:top w:w="15" w:type="dxa"/>
              <w:left w:w="0" w:type="dxa"/>
              <w:bottom w:w="0" w:type="dxa"/>
              <w:right w:w="15" w:type="dxa"/>
            </w:tcMar>
            <w:vAlign w:val="bottom"/>
            <w:hideMark/>
          </w:tcPr>
          <w:p w14:paraId="6A94A6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58D0BEE" w14:textId="77777777" w:rsidTr="00AC4931">
        <w:tc>
          <w:tcPr>
            <w:tcW w:w="9349" w:type="dxa"/>
            <w:shd w:val="clear" w:color="auto" w:fill="FFFFFF"/>
            <w:tcMar>
              <w:top w:w="15" w:type="dxa"/>
              <w:left w:w="0" w:type="dxa"/>
              <w:bottom w:w="0" w:type="dxa"/>
              <w:right w:w="15" w:type="dxa"/>
            </w:tcMar>
            <w:hideMark/>
          </w:tcPr>
          <w:p w14:paraId="4B4F85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Cebu Safety Manufacturing, Inc.</w:t>
            </w:r>
          </w:p>
        </w:tc>
        <w:tc>
          <w:tcPr>
            <w:tcW w:w="286" w:type="dxa"/>
            <w:shd w:val="clear" w:color="auto" w:fill="FFFFFF"/>
            <w:tcMar>
              <w:top w:w="15" w:type="dxa"/>
              <w:left w:w="0" w:type="dxa"/>
              <w:bottom w:w="0" w:type="dxa"/>
              <w:right w:w="15" w:type="dxa"/>
            </w:tcMar>
            <w:vAlign w:val="bottom"/>
            <w:hideMark/>
          </w:tcPr>
          <w:p w14:paraId="44C3F2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2C28D5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Cebu</w:t>
            </w:r>
          </w:p>
        </w:tc>
        <w:tc>
          <w:tcPr>
            <w:tcW w:w="286" w:type="dxa"/>
            <w:shd w:val="clear" w:color="auto" w:fill="FFFFFF"/>
            <w:tcMar>
              <w:top w:w="15" w:type="dxa"/>
              <w:left w:w="0" w:type="dxa"/>
              <w:bottom w:w="0" w:type="dxa"/>
              <w:right w:w="15" w:type="dxa"/>
            </w:tcMar>
            <w:vAlign w:val="bottom"/>
            <w:hideMark/>
          </w:tcPr>
          <w:p w14:paraId="358149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3BE429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Steering wheels</w:t>
            </w:r>
          </w:p>
        </w:tc>
        <w:tc>
          <w:tcPr>
            <w:tcW w:w="286" w:type="dxa"/>
            <w:shd w:val="clear" w:color="auto" w:fill="FFFFFF"/>
            <w:tcMar>
              <w:top w:w="15" w:type="dxa"/>
              <w:left w:w="0" w:type="dxa"/>
              <w:bottom w:w="0" w:type="dxa"/>
              <w:right w:w="15" w:type="dxa"/>
            </w:tcMar>
            <w:vAlign w:val="bottom"/>
            <w:hideMark/>
          </w:tcPr>
          <w:p w14:paraId="3B074A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21B20596"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45DD6929" w14:textId="77777777" w:rsidTr="00AC4931">
        <w:tc>
          <w:tcPr>
            <w:tcW w:w="9349" w:type="dxa"/>
            <w:shd w:val="clear" w:color="auto" w:fill="FFFFFF"/>
            <w:tcMar>
              <w:top w:w="15" w:type="dxa"/>
              <w:left w:w="0" w:type="dxa"/>
              <w:bottom w:w="0" w:type="dxa"/>
              <w:right w:w="15" w:type="dxa"/>
            </w:tcMar>
            <w:hideMark/>
          </w:tcPr>
          <w:p w14:paraId="4F0F8B64"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226364AE"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5A1A2985"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38B7CA01"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7DCD5769"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499F492F"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7EC77B98"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37ADD60D" w14:textId="77777777" w:rsidTr="00AC4931">
        <w:tc>
          <w:tcPr>
            <w:tcW w:w="9349" w:type="dxa"/>
            <w:shd w:val="clear" w:color="auto" w:fill="CCECFF"/>
            <w:tcMar>
              <w:top w:w="15" w:type="dxa"/>
              <w:left w:w="0" w:type="dxa"/>
              <w:bottom w:w="0" w:type="dxa"/>
              <w:right w:w="15" w:type="dxa"/>
            </w:tcMar>
            <w:hideMark/>
          </w:tcPr>
          <w:p w14:paraId="5A1815F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Poland</w:t>
            </w:r>
          </w:p>
        </w:tc>
        <w:tc>
          <w:tcPr>
            <w:tcW w:w="286" w:type="dxa"/>
            <w:shd w:val="clear" w:color="auto" w:fill="CCECFF"/>
            <w:tcMar>
              <w:top w:w="15" w:type="dxa"/>
              <w:left w:w="0" w:type="dxa"/>
              <w:bottom w:w="0" w:type="dxa"/>
              <w:right w:w="15" w:type="dxa"/>
            </w:tcMar>
            <w:vAlign w:val="bottom"/>
            <w:hideMark/>
          </w:tcPr>
          <w:p w14:paraId="690ECCC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77D24B99"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59AB28F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4805" w:type="dxa"/>
            <w:shd w:val="clear" w:color="auto" w:fill="CCECFF"/>
            <w:tcMar>
              <w:top w:w="15" w:type="dxa"/>
              <w:left w:w="0" w:type="dxa"/>
              <w:bottom w:w="0" w:type="dxa"/>
              <w:right w:w="15" w:type="dxa"/>
            </w:tcMar>
            <w:hideMark/>
          </w:tcPr>
          <w:p w14:paraId="164F534A"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7C3B0343"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342" w:type="dxa"/>
            <w:shd w:val="clear" w:color="auto" w:fill="CCECFF"/>
            <w:tcMar>
              <w:top w:w="15" w:type="dxa"/>
              <w:left w:w="0" w:type="dxa"/>
              <w:bottom w:w="0" w:type="dxa"/>
              <w:right w:w="15" w:type="dxa"/>
            </w:tcMar>
            <w:hideMark/>
          </w:tcPr>
          <w:p w14:paraId="7EF9292E" w14:textId="77777777" w:rsidR="00AC4931" w:rsidRPr="00AC4931" w:rsidRDefault="00AC4931" w:rsidP="00AC4931">
            <w:pPr>
              <w:widowControl/>
              <w:jc w:val="center"/>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52E748C2" w14:textId="77777777" w:rsidTr="00AC4931">
        <w:tc>
          <w:tcPr>
            <w:tcW w:w="9349" w:type="dxa"/>
            <w:shd w:val="clear" w:color="auto" w:fill="FFFFFF"/>
            <w:tcMar>
              <w:top w:w="15" w:type="dxa"/>
              <w:left w:w="0" w:type="dxa"/>
              <w:bottom w:w="0" w:type="dxa"/>
              <w:right w:w="15" w:type="dxa"/>
            </w:tcMar>
            <w:hideMark/>
          </w:tcPr>
          <w:p w14:paraId="22F992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Poland Sp. zo.o.</w:t>
            </w:r>
          </w:p>
        </w:tc>
        <w:tc>
          <w:tcPr>
            <w:tcW w:w="286" w:type="dxa"/>
            <w:shd w:val="clear" w:color="auto" w:fill="FFFFFF"/>
            <w:tcMar>
              <w:top w:w="15" w:type="dxa"/>
              <w:left w:w="0" w:type="dxa"/>
              <w:bottom w:w="0" w:type="dxa"/>
              <w:right w:w="15" w:type="dxa"/>
            </w:tcMar>
            <w:vAlign w:val="bottom"/>
            <w:hideMark/>
          </w:tcPr>
          <w:p w14:paraId="5B81B9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1AC027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Olawa</w:t>
            </w:r>
          </w:p>
        </w:tc>
        <w:tc>
          <w:tcPr>
            <w:tcW w:w="286" w:type="dxa"/>
            <w:shd w:val="clear" w:color="auto" w:fill="FFFFFF"/>
            <w:tcMar>
              <w:top w:w="15" w:type="dxa"/>
              <w:left w:w="0" w:type="dxa"/>
              <w:bottom w:w="0" w:type="dxa"/>
              <w:right w:w="15" w:type="dxa"/>
            </w:tcMar>
            <w:vAlign w:val="bottom"/>
            <w:hideMark/>
          </w:tcPr>
          <w:p w14:paraId="58C7E6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07EAE8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cushions</w:t>
            </w:r>
          </w:p>
        </w:tc>
        <w:tc>
          <w:tcPr>
            <w:tcW w:w="286" w:type="dxa"/>
            <w:shd w:val="clear" w:color="auto" w:fill="FFFFFF"/>
            <w:tcMar>
              <w:top w:w="15" w:type="dxa"/>
              <w:left w:w="0" w:type="dxa"/>
              <w:bottom w:w="0" w:type="dxa"/>
              <w:right w:w="15" w:type="dxa"/>
            </w:tcMar>
            <w:vAlign w:val="bottom"/>
            <w:hideMark/>
          </w:tcPr>
          <w:p w14:paraId="59F3BC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681214C"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2D371BB9" w14:textId="77777777" w:rsidTr="00AC4931">
        <w:tc>
          <w:tcPr>
            <w:tcW w:w="9349" w:type="dxa"/>
            <w:shd w:val="clear" w:color="auto" w:fill="FFFFFF"/>
            <w:tcMar>
              <w:top w:w="15" w:type="dxa"/>
              <w:left w:w="0" w:type="dxa"/>
              <w:bottom w:w="0" w:type="dxa"/>
              <w:right w:w="15" w:type="dxa"/>
            </w:tcMar>
            <w:hideMark/>
          </w:tcPr>
          <w:p w14:paraId="0DDF26E7"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FFFFFF"/>
            <w:tcMar>
              <w:top w:w="15" w:type="dxa"/>
              <w:left w:w="0" w:type="dxa"/>
              <w:bottom w:w="0" w:type="dxa"/>
              <w:right w:w="15" w:type="dxa"/>
            </w:tcMar>
            <w:vAlign w:val="bottom"/>
            <w:hideMark/>
          </w:tcPr>
          <w:p w14:paraId="44E4190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55" w:type="dxa"/>
            <w:shd w:val="clear" w:color="auto" w:fill="FFFFFF"/>
            <w:tcMar>
              <w:top w:w="15" w:type="dxa"/>
              <w:left w:w="0" w:type="dxa"/>
              <w:bottom w:w="0" w:type="dxa"/>
              <w:right w:w="15" w:type="dxa"/>
            </w:tcMar>
            <w:hideMark/>
          </w:tcPr>
          <w:p w14:paraId="7DA0E2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Jelcz-Laskowice</w:t>
            </w:r>
          </w:p>
        </w:tc>
        <w:tc>
          <w:tcPr>
            <w:tcW w:w="286" w:type="dxa"/>
            <w:shd w:val="clear" w:color="auto" w:fill="FFFFFF"/>
            <w:tcMar>
              <w:top w:w="15" w:type="dxa"/>
              <w:left w:w="0" w:type="dxa"/>
              <w:bottom w:w="0" w:type="dxa"/>
              <w:right w:w="15" w:type="dxa"/>
            </w:tcMar>
            <w:vAlign w:val="bottom"/>
            <w:hideMark/>
          </w:tcPr>
          <w:p w14:paraId="20189B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6B111F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and seatbelts</w:t>
            </w:r>
          </w:p>
        </w:tc>
        <w:tc>
          <w:tcPr>
            <w:tcW w:w="286" w:type="dxa"/>
            <w:shd w:val="clear" w:color="auto" w:fill="FFFFFF"/>
            <w:tcMar>
              <w:top w:w="15" w:type="dxa"/>
              <w:left w:w="0" w:type="dxa"/>
              <w:bottom w:w="0" w:type="dxa"/>
              <w:right w:w="15" w:type="dxa"/>
            </w:tcMar>
            <w:vAlign w:val="bottom"/>
            <w:hideMark/>
          </w:tcPr>
          <w:p w14:paraId="0AEC10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1D4CFA9D"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586D63C5" w14:textId="77777777" w:rsidTr="00AC4931">
        <w:tc>
          <w:tcPr>
            <w:tcW w:w="9349" w:type="dxa"/>
            <w:shd w:val="clear" w:color="auto" w:fill="FFFFFF"/>
            <w:tcMar>
              <w:top w:w="15" w:type="dxa"/>
              <w:left w:w="0" w:type="dxa"/>
              <w:bottom w:w="0" w:type="dxa"/>
              <w:right w:w="15" w:type="dxa"/>
            </w:tcMar>
            <w:hideMark/>
          </w:tcPr>
          <w:p w14:paraId="362F5502"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50DD0E89"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4B836B52"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0BB9028F"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53A3CC4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4DE11065"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4E3EC08B"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3AB12704" w14:textId="77777777" w:rsidTr="00AC4931">
        <w:tc>
          <w:tcPr>
            <w:tcW w:w="9349" w:type="dxa"/>
            <w:shd w:val="clear" w:color="auto" w:fill="CCECFF"/>
            <w:tcMar>
              <w:top w:w="15" w:type="dxa"/>
              <w:left w:w="0" w:type="dxa"/>
              <w:bottom w:w="0" w:type="dxa"/>
              <w:right w:w="15" w:type="dxa"/>
            </w:tcMar>
            <w:hideMark/>
          </w:tcPr>
          <w:p w14:paraId="77995D2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Romania</w:t>
            </w:r>
          </w:p>
        </w:tc>
        <w:tc>
          <w:tcPr>
            <w:tcW w:w="286" w:type="dxa"/>
            <w:shd w:val="clear" w:color="auto" w:fill="CCECFF"/>
            <w:tcMar>
              <w:top w:w="15" w:type="dxa"/>
              <w:left w:w="0" w:type="dxa"/>
              <w:bottom w:w="0" w:type="dxa"/>
              <w:right w:w="15" w:type="dxa"/>
            </w:tcMar>
            <w:vAlign w:val="bottom"/>
            <w:hideMark/>
          </w:tcPr>
          <w:p w14:paraId="519759D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vAlign w:val="bottom"/>
            <w:hideMark/>
          </w:tcPr>
          <w:p w14:paraId="365D66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38395D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CCECFF"/>
            <w:tcMar>
              <w:top w:w="15" w:type="dxa"/>
              <w:left w:w="0" w:type="dxa"/>
              <w:bottom w:w="0" w:type="dxa"/>
              <w:right w:w="15" w:type="dxa"/>
            </w:tcMar>
            <w:vAlign w:val="bottom"/>
            <w:hideMark/>
          </w:tcPr>
          <w:p w14:paraId="0BD368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4868D8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CCECFF"/>
            <w:tcMar>
              <w:top w:w="15" w:type="dxa"/>
              <w:left w:w="0" w:type="dxa"/>
              <w:bottom w:w="0" w:type="dxa"/>
              <w:right w:w="15" w:type="dxa"/>
            </w:tcMar>
            <w:vAlign w:val="bottom"/>
            <w:hideMark/>
          </w:tcPr>
          <w:p w14:paraId="795486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48FDADF" w14:textId="77777777" w:rsidTr="00AC4931">
        <w:tc>
          <w:tcPr>
            <w:tcW w:w="9349" w:type="dxa"/>
            <w:shd w:val="clear" w:color="auto" w:fill="FFFFFF"/>
            <w:tcMar>
              <w:top w:w="15" w:type="dxa"/>
              <w:left w:w="0" w:type="dxa"/>
              <w:bottom w:w="0" w:type="dxa"/>
              <w:right w:w="15" w:type="dxa"/>
            </w:tcMar>
            <w:hideMark/>
          </w:tcPr>
          <w:p w14:paraId="3932A5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Romania S.R.L.</w:t>
            </w:r>
          </w:p>
        </w:tc>
        <w:tc>
          <w:tcPr>
            <w:tcW w:w="286" w:type="dxa"/>
            <w:shd w:val="clear" w:color="auto" w:fill="FFFFFF"/>
            <w:tcMar>
              <w:top w:w="15" w:type="dxa"/>
              <w:left w:w="0" w:type="dxa"/>
              <w:bottom w:w="0" w:type="dxa"/>
              <w:right w:w="15" w:type="dxa"/>
            </w:tcMar>
            <w:vAlign w:val="bottom"/>
            <w:hideMark/>
          </w:tcPr>
          <w:p w14:paraId="670EE7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41E691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Brasov</w:t>
            </w:r>
          </w:p>
        </w:tc>
        <w:tc>
          <w:tcPr>
            <w:tcW w:w="286" w:type="dxa"/>
            <w:shd w:val="clear" w:color="auto" w:fill="FFFFFF"/>
            <w:tcMar>
              <w:top w:w="15" w:type="dxa"/>
              <w:left w:w="0" w:type="dxa"/>
              <w:bottom w:w="0" w:type="dxa"/>
              <w:right w:w="15" w:type="dxa"/>
            </w:tcMar>
            <w:vAlign w:val="bottom"/>
            <w:hideMark/>
          </w:tcPr>
          <w:p w14:paraId="45753F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3E0BD7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seatbelt webbing, airbags, airbag inflators, springs for retractors and seatbelt components</w:t>
            </w:r>
          </w:p>
        </w:tc>
        <w:tc>
          <w:tcPr>
            <w:tcW w:w="286" w:type="dxa"/>
            <w:shd w:val="clear" w:color="auto" w:fill="FFFFFF"/>
            <w:tcMar>
              <w:top w:w="15" w:type="dxa"/>
              <w:left w:w="0" w:type="dxa"/>
              <w:bottom w:w="0" w:type="dxa"/>
              <w:right w:w="15" w:type="dxa"/>
            </w:tcMar>
            <w:vAlign w:val="bottom"/>
            <w:hideMark/>
          </w:tcPr>
          <w:p w14:paraId="6763B7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7737D03"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2A91896F" w14:textId="77777777" w:rsidTr="00AC4931">
        <w:tc>
          <w:tcPr>
            <w:tcW w:w="9349" w:type="dxa"/>
            <w:shd w:val="clear" w:color="auto" w:fill="FFFFFF"/>
            <w:tcMar>
              <w:top w:w="15" w:type="dxa"/>
              <w:left w:w="0" w:type="dxa"/>
              <w:bottom w:w="0" w:type="dxa"/>
              <w:right w:w="15" w:type="dxa"/>
            </w:tcMar>
            <w:hideMark/>
          </w:tcPr>
          <w:p w14:paraId="3DCC5D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642706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483E2D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Lugoj</w:t>
            </w:r>
          </w:p>
        </w:tc>
        <w:tc>
          <w:tcPr>
            <w:tcW w:w="286" w:type="dxa"/>
            <w:shd w:val="clear" w:color="auto" w:fill="FFFFFF"/>
            <w:tcMar>
              <w:top w:w="15" w:type="dxa"/>
              <w:left w:w="0" w:type="dxa"/>
              <w:bottom w:w="0" w:type="dxa"/>
              <w:right w:w="15" w:type="dxa"/>
            </w:tcMar>
            <w:vAlign w:val="bottom"/>
            <w:hideMark/>
          </w:tcPr>
          <w:p w14:paraId="145958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42B503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cushions</w:t>
            </w:r>
          </w:p>
        </w:tc>
        <w:tc>
          <w:tcPr>
            <w:tcW w:w="286" w:type="dxa"/>
            <w:shd w:val="clear" w:color="auto" w:fill="FFFFFF"/>
            <w:tcMar>
              <w:top w:w="15" w:type="dxa"/>
              <w:left w:w="0" w:type="dxa"/>
              <w:bottom w:w="0" w:type="dxa"/>
              <w:right w:w="15" w:type="dxa"/>
            </w:tcMar>
            <w:vAlign w:val="bottom"/>
            <w:hideMark/>
          </w:tcPr>
          <w:p w14:paraId="354938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550E8F05"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1755CAAB" w14:textId="77777777" w:rsidTr="00AC4931">
        <w:tc>
          <w:tcPr>
            <w:tcW w:w="9349" w:type="dxa"/>
            <w:shd w:val="clear" w:color="auto" w:fill="FFFFFF"/>
            <w:tcMar>
              <w:top w:w="15" w:type="dxa"/>
              <w:left w:w="0" w:type="dxa"/>
              <w:bottom w:w="0" w:type="dxa"/>
              <w:right w:w="15" w:type="dxa"/>
            </w:tcMar>
            <w:hideMark/>
          </w:tcPr>
          <w:p w14:paraId="2C5240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6A783B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218EC2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Resita</w:t>
            </w:r>
          </w:p>
        </w:tc>
        <w:tc>
          <w:tcPr>
            <w:tcW w:w="286" w:type="dxa"/>
            <w:shd w:val="clear" w:color="auto" w:fill="FFFFFF"/>
            <w:tcMar>
              <w:top w:w="15" w:type="dxa"/>
              <w:left w:w="0" w:type="dxa"/>
              <w:bottom w:w="0" w:type="dxa"/>
              <w:right w:w="15" w:type="dxa"/>
            </w:tcMar>
            <w:vAlign w:val="bottom"/>
            <w:hideMark/>
          </w:tcPr>
          <w:p w14:paraId="7CBB8E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42694F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cushions</w:t>
            </w:r>
          </w:p>
        </w:tc>
        <w:tc>
          <w:tcPr>
            <w:tcW w:w="286" w:type="dxa"/>
            <w:shd w:val="clear" w:color="auto" w:fill="FFFFFF"/>
            <w:tcMar>
              <w:top w:w="15" w:type="dxa"/>
              <w:left w:w="0" w:type="dxa"/>
              <w:bottom w:w="0" w:type="dxa"/>
              <w:right w:w="15" w:type="dxa"/>
            </w:tcMar>
            <w:vAlign w:val="bottom"/>
            <w:hideMark/>
          </w:tcPr>
          <w:p w14:paraId="5D1DFE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62A9635D"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0DC031F6" w14:textId="77777777" w:rsidTr="00AC4931">
        <w:tc>
          <w:tcPr>
            <w:tcW w:w="9349" w:type="dxa"/>
            <w:shd w:val="clear" w:color="auto" w:fill="FFFFFF"/>
            <w:tcMar>
              <w:top w:w="15" w:type="dxa"/>
              <w:left w:w="0" w:type="dxa"/>
              <w:bottom w:w="0" w:type="dxa"/>
              <w:right w:w="15" w:type="dxa"/>
            </w:tcMar>
            <w:hideMark/>
          </w:tcPr>
          <w:p w14:paraId="514CBA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079A57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4728F9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Sfantu Georghe</w:t>
            </w:r>
          </w:p>
        </w:tc>
        <w:tc>
          <w:tcPr>
            <w:tcW w:w="286" w:type="dxa"/>
            <w:shd w:val="clear" w:color="auto" w:fill="FFFFFF"/>
            <w:tcMar>
              <w:top w:w="15" w:type="dxa"/>
              <w:left w:w="0" w:type="dxa"/>
              <w:bottom w:w="0" w:type="dxa"/>
              <w:right w:w="15" w:type="dxa"/>
            </w:tcMar>
            <w:vAlign w:val="bottom"/>
            <w:hideMark/>
          </w:tcPr>
          <w:p w14:paraId="0A07AC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637BCE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Steering wheels</w:t>
            </w:r>
          </w:p>
        </w:tc>
        <w:tc>
          <w:tcPr>
            <w:tcW w:w="286" w:type="dxa"/>
            <w:shd w:val="clear" w:color="auto" w:fill="FFFFFF"/>
            <w:tcMar>
              <w:top w:w="15" w:type="dxa"/>
              <w:left w:w="0" w:type="dxa"/>
              <w:bottom w:w="0" w:type="dxa"/>
              <w:right w:w="15" w:type="dxa"/>
            </w:tcMar>
            <w:vAlign w:val="bottom"/>
            <w:hideMark/>
          </w:tcPr>
          <w:p w14:paraId="1FB16C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49EDE39"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0399C6F2" w14:textId="77777777" w:rsidTr="00AC4931">
        <w:tc>
          <w:tcPr>
            <w:tcW w:w="9349" w:type="dxa"/>
            <w:shd w:val="clear" w:color="auto" w:fill="FFFFFF"/>
            <w:tcMar>
              <w:top w:w="15" w:type="dxa"/>
              <w:left w:w="0" w:type="dxa"/>
              <w:bottom w:w="0" w:type="dxa"/>
              <w:right w:w="15" w:type="dxa"/>
            </w:tcMar>
            <w:hideMark/>
          </w:tcPr>
          <w:p w14:paraId="21496A9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FFFFFF"/>
            <w:tcMar>
              <w:top w:w="15" w:type="dxa"/>
              <w:left w:w="0" w:type="dxa"/>
              <w:bottom w:w="0" w:type="dxa"/>
              <w:right w:w="15" w:type="dxa"/>
            </w:tcMar>
            <w:vAlign w:val="bottom"/>
            <w:hideMark/>
          </w:tcPr>
          <w:p w14:paraId="188AA328"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55" w:type="dxa"/>
            <w:shd w:val="clear" w:color="auto" w:fill="FFFFFF"/>
            <w:tcMar>
              <w:top w:w="15" w:type="dxa"/>
              <w:left w:w="0" w:type="dxa"/>
              <w:bottom w:w="0" w:type="dxa"/>
              <w:right w:w="15" w:type="dxa"/>
            </w:tcMar>
            <w:hideMark/>
          </w:tcPr>
          <w:p w14:paraId="19A204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Onesti</w:t>
            </w:r>
          </w:p>
        </w:tc>
        <w:tc>
          <w:tcPr>
            <w:tcW w:w="286" w:type="dxa"/>
            <w:shd w:val="clear" w:color="auto" w:fill="FFFFFF"/>
            <w:tcMar>
              <w:top w:w="15" w:type="dxa"/>
              <w:left w:w="0" w:type="dxa"/>
              <w:bottom w:w="0" w:type="dxa"/>
              <w:right w:w="15" w:type="dxa"/>
            </w:tcMar>
            <w:vAlign w:val="bottom"/>
            <w:hideMark/>
          </w:tcPr>
          <w:p w14:paraId="77A213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1FCAD8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Steering wheels</w:t>
            </w:r>
          </w:p>
        </w:tc>
        <w:tc>
          <w:tcPr>
            <w:tcW w:w="286" w:type="dxa"/>
            <w:shd w:val="clear" w:color="auto" w:fill="FFFFFF"/>
            <w:tcMar>
              <w:top w:w="15" w:type="dxa"/>
              <w:left w:w="0" w:type="dxa"/>
              <w:bottom w:w="0" w:type="dxa"/>
              <w:right w:w="15" w:type="dxa"/>
            </w:tcMar>
            <w:vAlign w:val="bottom"/>
            <w:hideMark/>
          </w:tcPr>
          <w:p w14:paraId="43EAE4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253F2C78"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68467789" w14:textId="77777777" w:rsidTr="00AC4931">
        <w:tc>
          <w:tcPr>
            <w:tcW w:w="9349" w:type="dxa"/>
            <w:shd w:val="clear" w:color="auto" w:fill="FFFFFF"/>
            <w:tcMar>
              <w:top w:w="15" w:type="dxa"/>
              <w:left w:w="0" w:type="dxa"/>
              <w:bottom w:w="0" w:type="dxa"/>
              <w:right w:w="15" w:type="dxa"/>
            </w:tcMar>
            <w:hideMark/>
          </w:tcPr>
          <w:p w14:paraId="3D71F31A"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FFFFFF"/>
            <w:tcMar>
              <w:top w:w="15" w:type="dxa"/>
              <w:left w:w="0" w:type="dxa"/>
              <w:bottom w:w="0" w:type="dxa"/>
              <w:right w:w="15" w:type="dxa"/>
            </w:tcMar>
            <w:vAlign w:val="bottom"/>
            <w:hideMark/>
          </w:tcPr>
          <w:p w14:paraId="5788075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55" w:type="dxa"/>
            <w:shd w:val="clear" w:color="auto" w:fill="FFFFFF"/>
            <w:tcMar>
              <w:top w:w="15" w:type="dxa"/>
              <w:left w:w="0" w:type="dxa"/>
              <w:bottom w:w="0" w:type="dxa"/>
              <w:right w:w="15" w:type="dxa"/>
            </w:tcMar>
            <w:hideMark/>
          </w:tcPr>
          <w:p w14:paraId="188E2E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Rovinari</w:t>
            </w:r>
          </w:p>
        </w:tc>
        <w:tc>
          <w:tcPr>
            <w:tcW w:w="286" w:type="dxa"/>
            <w:shd w:val="clear" w:color="auto" w:fill="FFFFFF"/>
            <w:tcMar>
              <w:top w:w="15" w:type="dxa"/>
              <w:left w:w="0" w:type="dxa"/>
              <w:bottom w:w="0" w:type="dxa"/>
              <w:right w:w="15" w:type="dxa"/>
            </w:tcMar>
            <w:vAlign w:val="bottom"/>
            <w:hideMark/>
          </w:tcPr>
          <w:p w14:paraId="21962B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1915C5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w:t>
            </w:r>
          </w:p>
        </w:tc>
        <w:tc>
          <w:tcPr>
            <w:tcW w:w="286" w:type="dxa"/>
            <w:shd w:val="clear" w:color="auto" w:fill="FFFFFF"/>
            <w:tcMar>
              <w:top w:w="15" w:type="dxa"/>
              <w:left w:w="0" w:type="dxa"/>
              <w:bottom w:w="0" w:type="dxa"/>
              <w:right w:w="15" w:type="dxa"/>
            </w:tcMar>
            <w:vAlign w:val="bottom"/>
            <w:hideMark/>
          </w:tcPr>
          <w:p w14:paraId="735496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0F1D0B48"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2BD978DA" w14:textId="77777777" w:rsidTr="00AC4931">
        <w:tc>
          <w:tcPr>
            <w:tcW w:w="9349" w:type="dxa"/>
            <w:shd w:val="clear" w:color="auto" w:fill="FFFFFF"/>
            <w:tcMar>
              <w:top w:w="15" w:type="dxa"/>
              <w:left w:w="0" w:type="dxa"/>
              <w:bottom w:w="0" w:type="dxa"/>
              <w:right w:w="15" w:type="dxa"/>
            </w:tcMar>
            <w:vAlign w:val="bottom"/>
            <w:hideMark/>
          </w:tcPr>
          <w:p w14:paraId="7264AD51"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1B59E182"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3155" w:type="dxa"/>
            <w:shd w:val="clear" w:color="auto" w:fill="FFFFFF"/>
            <w:tcMar>
              <w:top w:w="15" w:type="dxa"/>
              <w:left w:w="0" w:type="dxa"/>
              <w:bottom w:w="0" w:type="dxa"/>
              <w:right w:w="15" w:type="dxa"/>
            </w:tcMar>
            <w:vAlign w:val="bottom"/>
            <w:hideMark/>
          </w:tcPr>
          <w:p w14:paraId="622CED0D"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708EE7BB"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vAlign w:val="bottom"/>
            <w:hideMark/>
          </w:tcPr>
          <w:p w14:paraId="355CF33C"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49EC19D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vAlign w:val="bottom"/>
            <w:hideMark/>
          </w:tcPr>
          <w:p w14:paraId="01A82D2B"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29A6AD77" w14:textId="77777777" w:rsidTr="00AC4931">
        <w:tc>
          <w:tcPr>
            <w:tcW w:w="9349" w:type="dxa"/>
            <w:shd w:val="clear" w:color="auto" w:fill="CCECFF"/>
            <w:tcMar>
              <w:top w:w="15" w:type="dxa"/>
              <w:left w:w="0" w:type="dxa"/>
              <w:bottom w:w="0" w:type="dxa"/>
              <w:right w:w="15" w:type="dxa"/>
            </w:tcMar>
            <w:hideMark/>
          </w:tcPr>
          <w:p w14:paraId="50FE1FC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Russia</w:t>
            </w:r>
          </w:p>
        </w:tc>
        <w:tc>
          <w:tcPr>
            <w:tcW w:w="286" w:type="dxa"/>
            <w:shd w:val="clear" w:color="auto" w:fill="CCECFF"/>
            <w:tcMar>
              <w:top w:w="15" w:type="dxa"/>
              <w:left w:w="0" w:type="dxa"/>
              <w:bottom w:w="0" w:type="dxa"/>
              <w:right w:w="15" w:type="dxa"/>
            </w:tcMar>
            <w:vAlign w:val="bottom"/>
            <w:hideMark/>
          </w:tcPr>
          <w:p w14:paraId="40171AA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vAlign w:val="bottom"/>
            <w:hideMark/>
          </w:tcPr>
          <w:p w14:paraId="516688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657F5A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CCECFF"/>
            <w:tcMar>
              <w:top w:w="15" w:type="dxa"/>
              <w:left w:w="0" w:type="dxa"/>
              <w:bottom w:w="0" w:type="dxa"/>
              <w:right w:w="15" w:type="dxa"/>
            </w:tcMar>
            <w:vAlign w:val="bottom"/>
            <w:hideMark/>
          </w:tcPr>
          <w:p w14:paraId="61BD0E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2CEC69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CCECFF"/>
            <w:tcMar>
              <w:top w:w="15" w:type="dxa"/>
              <w:left w:w="0" w:type="dxa"/>
              <w:bottom w:w="0" w:type="dxa"/>
              <w:right w:w="15" w:type="dxa"/>
            </w:tcMar>
            <w:vAlign w:val="bottom"/>
            <w:hideMark/>
          </w:tcPr>
          <w:p w14:paraId="04897D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CEB08CC" w14:textId="77777777" w:rsidTr="00AC4931">
        <w:tc>
          <w:tcPr>
            <w:tcW w:w="9349" w:type="dxa"/>
            <w:shd w:val="clear" w:color="auto" w:fill="FFFFFF"/>
            <w:tcMar>
              <w:top w:w="15" w:type="dxa"/>
              <w:left w:w="0" w:type="dxa"/>
              <w:bottom w:w="0" w:type="dxa"/>
              <w:right w:w="15" w:type="dxa"/>
            </w:tcMar>
            <w:hideMark/>
          </w:tcPr>
          <w:p w14:paraId="7A5965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OOO Autoliv</w:t>
            </w:r>
          </w:p>
        </w:tc>
        <w:tc>
          <w:tcPr>
            <w:tcW w:w="286" w:type="dxa"/>
            <w:shd w:val="clear" w:color="auto" w:fill="FFFFFF"/>
            <w:tcMar>
              <w:top w:w="15" w:type="dxa"/>
              <w:left w:w="0" w:type="dxa"/>
              <w:bottom w:w="0" w:type="dxa"/>
              <w:right w:w="15" w:type="dxa"/>
            </w:tcMar>
            <w:vAlign w:val="bottom"/>
            <w:hideMark/>
          </w:tcPr>
          <w:p w14:paraId="529308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6DAA29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Togliatti</w:t>
            </w:r>
          </w:p>
        </w:tc>
        <w:tc>
          <w:tcPr>
            <w:tcW w:w="286" w:type="dxa"/>
            <w:shd w:val="clear" w:color="auto" w:fill="FFFFFF"/>
            <w:tcMar>
              <w:top w:w="15" w:type="dxa"/>
              <w:left w:w="0" w:type="dxa"/>
              <w:bottom w:w="0" w:type="dxa"/>
              <w:right w:w="15" w:type="dxa"/>
            </w:tcMar>
            <w:vAlign w:val="bottom"/>
            <w:hideMark/>
          </w:tcPr>
          <w:p w14:paraId="340EC5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35CC89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seatbelts and steering wheels</w:t>
            </w:r>
          </w:p>
        </w:tc>
        <w:tc>
          <w:tcPr>
            <w:tcW w:w="286" w:type="dxa"/>
            <w:shd w:val="clear" w:color="auto" w:fill="FFFFFF"/>
            <w:tcMar>
              <w:top w:w="15" w:type="dxa"/>
              <w:left w:w="0" w:type="dxa"/>
              <w:bottom w:w="0" w:type="dxa"/>
              <w:right w:w="15" w:type="dxa"/>
            </w:tcMar>
            <w:vAlign w:val="bottom"/>
            <w:hideMark/>
          </w:tcPr>
          <w:p w14:paraId="02C733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2F2015A4"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157ED8E9" w14:textId="77777777" w:rsidTr="00AC4931">
        <w:tc>
          <w:tcPr>
            <w:tcW w:w="9349" w:type="dxa"/>
            <w:shd w:val="clear" w:color="auto" w:fill="FFFFFF"/>
            <w:tcMar>
              <w:top w:w="15" w:type="dxa"/>
              <w:left w:w="0" w:type="dxa"/>
              <w:bottom w:w="0" w:type="dxa"/>
              <w:right w:w="15" w:type="dxa"/>
            </w:tcMar>
            <w:hideMark/>
          </w:tcPr>
          <w:p w14:paraId="5FBD713E"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01AE5089"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vAlign w:val="bottom"/>
            <w:hideMark/>
          </w:tcPr>
          <w:p w14:paraId="175458A9"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19DA0A6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vAlign w:val="bottom"/>
            <w:hideMark/>
          </w:tcPr>
          <w:p w14:paraId="5CCE45C5"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7057786C"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vAlign w:val="bottom"/>
            <w:hideMark/>
          </w:tcPr>
          <w:p w14:paraId="66B3A99D"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00C636F4" w14:textId="77777777" w:rsidTr="00AC4931">
        <w:tc>
          <w:tcPr>
            <w:tcW w:w="9349" w:type="dxa"/>
            <w:shd w:val="clear" w:color="auto" w:fill="CCECFF"/>
            <w:tcMar>
              <w:top w:w="15" w:type="dxa"/>
              <w:left w:w="0" w:type="dxa"/>
              <w:bottom w:w="0" w:type="dxa"/>
              <w:right w:w="15" w:type="dxa"/>
            </w:tcMar>
            <w:hideMark/>
          </w:tcPr>
          <w:p w14:paraId="3E54133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South Africa</w:t>
            </w:r>
          </w:p>
        </w:tc>
        <w:tc>
          <w:tcPr>
            <w:tcW w:w="286" w:type="dxa"/>
            <w:shd w:val="clear" w:color="auto" w:fill="CCECFF"/>
            <w:tcMar>
              <w:top w:w="15" w:type="dxa"/>
              <w:left w:w="0" w:type="dxa"/>
              <w:bottom w:w="0" w:type="dxa"/>
              <w:right w:w="15" w:type="dxa"/>
            </w:tcMar>
            <w:vAlign w:val="bottom"/>
            <w:hideMark/>
          </w:tcPr>
          <w:p w14:paraId="3A7159F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vAlign w:val="bottom"/>
            <w:hideMark/>
          </w:tcPr>
          <w:p w14:paraId="2995AC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6E06AA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CCECFF"/>
            <w:tcMar>
              <w:top w:w="15" w:type="dxa"/>
              <w:left w:w="0" w:type="dxa"/>
              <w:bottom w:w="0" w:type="dxa"/>
              <w:right w:w="15" w:type="dxa"/>
            </w:tcMar>
            <w:vAlign w:val="bottom"/>
            <w:hideMark/>
          </w:tcPr>
          <w:p w14:paraId="10C007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31F102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CCECFF"/>
            <w:tcMar>
              <w:top w:w="15" w:type="dxa"/>
              <w:left w:w="0" w:type="dxa"/>
              <w:bottom w:w="0" w:type="dxa"/>
              <w:right w:w="15" w:type="dxa"/>
            </w:tcMar>
            <w:vAlign w:val="bottom"/>
            <w:hideMark/>
          </w:tcPr>
          <w:p w14:paraId="05F41B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AA3F43D" w14:textId="77777777" w:rsidTr="00AC4931">
        <w:tc>
          <w:tcPr>
            <w:tcW w:w="9349" w:type="dxa"/>
            <w:shd w:val="clear" w:color="auto" w:fill="FFFFFF"/>
            <w:tcMar>
              <w:top w:w="15" w:type="dxa"/>
              <w:left w:w="0" w:type="dxa"/>
              <w:bottom w:w="0" w:type="dxa"/>
              <w:right w:w="15" w:type="dxa"/>
            </w:tcMar>
            <w:hideMark/>
          </w:tcPr>
          <w:p w14:paraId="4F36D3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Southern Africa (Pty) Ltd.</w:t>
            </w:r>
          </w:p>
        </w:tc>
        <w:tc>
          <w:tcPr>
            <w:tcW w:w="286" w:type="dxa"/>
            <w:shd w:val="clear" w:color="auto" w:fill="FFFFFF"/>
            <w:tcMar>
              <w:top w:w="15" w:type="dxa"/>
              <w:left w:w="0" w:type="dxa"/>
              <w:bottom w:w="0" w:type="dxa"/>
              <w:right w:w="15" w:type="dxa"/>
            </w:tcMar>
            <w:vAlign w:val="bottom"/>
            <w:hideMark/>
          </w:tcPr>
          <w:p w14:paraId="056863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10B546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Krügersdorp</w:t>
            </w:r>
          </w:p>
        </w:tc>
        <w:tc>
          <w:tcPr>
            <w:tcW w:w="286" w:type="dxa"/>
            <w:shd w:val="clear" w:color="auto" w:fill="FFFFFF"/>
            <w:tcMar>
              <w:top w:w="15" w:type="dxa"/>
              <w:left w:w="0" w:type="dxa"/>
              <w:bottom w:w="0" w:type="dxa"/>
              <w:right w:w="15" w:type="dxa"/>
            </w:tcMar>
            <w:vAlign w:val="bottom"/>
            <w:hideMark/>
          </w:tcPr>
          <w:p w14:paraId="15690B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79F194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and airbags</w:t>
            </w:r>
          </w:p>
        </w:tc>
        <w:tc>
          <w:tcPr>
            <w:tcW w:w="286" w:type="dxa"/>
            <w:shd w:val="clear" w:color="auto" w:fill="FFFFFF"/>
            <w:tcMar>
              <w:top w:w="15" w:type="dxa"/>
              <w:left w:w="0" w:type="dxa"/>
              <w:bottom w:w="0" w:type="dxa"/>
              <w:right w:w="15" w:type="dxa"/>
            </w:tcMar>
            <w:vAlign w:val="bottom"/>
            <w:hideMark/>
          </w:tcPr>
          <w:p w14:paraId="43ED56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0322D72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5BB93D2F" w14:textId="77777777" w:rsidTr="00AC4931">
        <w:tc>
          <w:tcPr>
            <w:tcW w:w="9349" w:type="dxa"/>
            <w:shd w:val="clear" w:color="auto" w:fill="FFFFFF"/>
            <w:tcMar>
              <w:top w:w="15" w:type="dxa"/>
              <w:left w:w="0" w:type="dxa"/>
              <w:bottom w:w="0" w:type="dxa"/>
              <w:right w:w="15" w:type="dxa"/>
            </w:tcMar>
            <w:hideMark/>
          </w:tcPr>
          <w:p w14:paraId="2EDDAD8B"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09576EC3"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vAlign w:val="bottom"/>
            <w:hideMark/>
          </w:tcPr>
          <w:p w14:paraId="7A40EA54"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276AA14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vAlign w:val="bottom"/>
            <w:hideMark/>
          </w:tcPr>
          <w:p w14:paraId="40B94DD9"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1FEC54C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vAlign w:val="bottom"/>
            <w:hideMark/>
          </w:tcPr>
          <w:p w14:paraId="487C183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5518F525" w14:textId="77777777" w:rsidTr="00AC4931">
        <w:tc>
          <w:tcPr>
            <w:tcW w:w="9349" w:type="dxa"/>
            <w:shd w:val="clear" w:color="auto" w:fill="CCECFF"/>
            <w:tcMar>
              <w:top w:w="15" w:type="dxa"/>
              <w:left w:w="0" w:type="dxa"/>
              <w:bottom w:w="0" w:type="dxa"/>
              <w:right w:w="15" w:type="dxa"/>
            </w:tcMar>
            <w:hideMark/>
          </w:tcPr>
          <w:p w14:paraId="6C6D1A0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South Korea</w:t>
            </w:r>
          </w:p>
        </w:tc>
        <w:tc>
          <w:tcPr>
            <w:tcW w:w="286" w:type="dxa"/>
            <w:shd w:val="clear" w:color="auto" w:fill="CCECFF"/>
            <w:tcMar>
              <w:top w:w="15" w:type="dxa"/>
              <w:left w:w="0" w:type="dxa"/>
              <w:bottom w:w="0" w:type="dxa"/>
              <w:right w:w="15" w:type="dxa"/>
            </w:tcMar>
            <w:vAlign w:val="bottom"/>
            <w:hideMark/>
          </w:tcPr>
          <w:p w14:paraId="308D46B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36DF3DE4"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2D56120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4805" w:type="dxa"/>
            <w:shd w:val="clear" w:color="auto" w:fill="CCECFF"/>
            <w:tcMar>
              <w:top w:w="15" w:type="dxa"/>
              <w:left w:w="0" w:type="dxa"/>
              <w:bottom w:w="0" w:type="dxa"/>
              <w:right w:w="15" w:type="dxa"/>
            </w:tcMar>
            <w:hideMark/>
          </w:tcPr>
          <w:p w14:paraId="59FE1A8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044C057C"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CCECFF"/>
            <w:tcMar>
              <w:top w:w="15" w:type="dxa"/>
              <w:left w:w="0" w:type="dxa"/>
              <w:bottom w:w="0" w:type="dxa"/>
              <w:right w:w="15" w:type="dxa"/>
            </w:tcMar>
            <w:hideMark/>
          </w:tcPr>
          <w:p w14:paraId="737B1D1E" w14:textId="77777777" w:rsidR="00AC4931" w:rsidRPr="00AC4931" w:rsidRDefault="00AC4931" w:rsidP="00AC4931">
            <w:pPr>
              <w:widowControl/>
              <w:jc w:val="center"/>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0AF90BC6" w14:textId="77777777" w:rsidTr="00AC4931">
        <w:tc>
          <w:tcPr>
            <w:tcW w:w="9349" w:type="dxa"/>
            <w:shd w:val="clear" w:color="auto" w:fill="FFFFFF"/>
            <w:tcMar>
              <w:top w:w="15" w:type="dxa"/>
              <w:left w:w="0" w:type="dxa"/>
              <w:bottom w:w="0" w:type="dxa"/>
              <w:right w:w="15" w:type="dxa"/>
            </w:tcMar>
            <w:hideMark/>
          </w:tcPr>
          <w:p w14:paraId="39815F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Corporation</w:t>
            </w:r>
          </w:p>
        </w:tc>
        <w:tc>
          <w:tcPr>
            <w:tcW w:w="286" w:type="dxa"/>
            <w:shd w:val="clear" w:color="auto" w:fill="FFFFFF"/>
            <w:tcMar>
              <w:top w:w="15" w:type="dxa"/>
              <w:left w:w="0" w:type="dxa"/>
              <w:bottom w:w="0" w:type="dxa"/>
              <w:right w:w="15" w:type="dxa"/>
            </w:tcMar>
            <w:vAlign w:val="bottom"/>
            <w:hideMark/>
          </w:tcPr>
          <w:p w14:paraId="334C34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0D8E44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Hwasung</w:t>
            </w:r>
          </w:p>
        </w:tc>
        <w:tc>
          <w:tcPr>
            <w:tcW w:w="286" w:type="dxa"/>
            <w:shd w:val="clear" w:color="auto" w:fill="FFFFFF"/>
            <w:tcMar>
              <w:top w:w="15" w:type="dxa"/>
              <w:left w:w="0" w:type="dxa"/>
              <w:bottom w:w="0" w:type="dxa"/>
              <w:right w:w="15" w:type="dxa"/>
            </w:tcMar>
            <w:vAlign w:val="bottom"/>
            <w:hideMark/>
          </w:tcPr>
          <w:p w14:paraId="25EA29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3591C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w:t>
            </w:r>
          </w:p>
        </w:tc>
        <w:tc>
          <w:tcPr>
            <w:tcW w:w="286" w:type="dxa"/>
            <w:shd w:val="clear" w:color="auto" w:fill="FFFFFF"/>
            <w:tcMar>
              <w:top w:w="15" w:type="dxa"/>
              <w:left w:w="0" w:type="dxa"/>
              <w:bottom w:w="0" w:type="dxa"/>
              <w:right w:w="15" w:type="dxa"/>
            </w:tcMar>
            <w:vAlign w:val="bottom"/>
            <w:hideMark/>
          </w:tcPr>
          <w:p w14:paraId="2CA691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0D29784E"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7054ACB1" w14:textId="77777777" w:rsidTr="00AC4931">
        <w:tc>
          <w:tcPr>
            <w:tcW w:w="9349" w:type="dxa"/>
            <w:shd w:val="clear" w:color="auto" w:fill="FFFFFF"/>
            <w:tcMar>
              <w:top w:w="15" w:type="dxa"/>
              <w:left w:w="0" w:type="dxa"/>
              <w:bottom w:w="0" w:type="dxa"/>
              <w:right w:w="15" w:type="dxa"/>
            </w:tcMar>
            <w:hideMark/>
          </w:tcPr>
          <w:p w14:paraId="0F4570B1"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7600EDE5"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1CB361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Wonju</w:t>
            </w:r>
          </w:p>
        </w:tc>
        <w:tc>
          <w:tcPr>
            <w:tcW w:w="286" w:type="dxa"/>
            <w:shd w:val="clear" w:color="auto" w:fill="FFFFFF"/>
            <w:tcMar>
              <w:top w:w="15" w:type="dxa"/>
              <w:left w:w="0" w:type="dxa"/>
              <w:bottom w:w="0" w:type="dxa"/>
              <w:right w:w="15" w:type="dxa"/>
            </w:tcMar>
            <w:vAlign w:val="bottom"/>
            <w:hideMark/>
          </w:tcPr>
          <w:p w14:paraId="28BDC5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13425F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w:t>
            </w:r>
          </w:p>
        </w:tc>
        <w:tc>
          <w:tcPr>
            <w:tcW w:w="286" w:type="dxa"/>
            <w:shd w:val="clear" w:color="auto" w:fill="FFFFFF"/>
            <w:tcMar>
              <w:top w:w="15" w:type="dxa"/>
              <w:left w:w="0" w:type="dxa"/>
              <w:bottom w:w="0" w:type="dxa"/>
              <w:right w:w="15" w:type="dxa"/>
            </w:tcMar>
            <w:vAlign w:val="bottom"/>
            <w:hideMark/>
          </w:tcPr>
          <w:p w14:paraId="7456EA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4569364B"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40AC711E" w14:textId="77777777" w:rsidTr="00AC4931">
        <w:tc>
          <w:tcPr>
            <w:tcW w:w="9349" w:type="dxa"/>
            <w:shd w:val="clear" w:color="auto" w:fill="FFFFFF"/>
            <w:tcMar>
              <w:top w:w="15" w:type="dxa"/>
              <w:left w:w="0" w:type="dxa"/>
              <w:bottom w:w="0" w:type="dxa"/>
              <w:right w:w="15" w:type="dxa"/>
            </w:tcMar>
            <w:hideMark/>
          </w:tcPr>
          <w:p w14:paraId="7B71ED25"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5CA3A58B"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0D129E24"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1E4979FC"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03D9872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4B228509"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06568802"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7247D66F" w14:textId="77777777" w:rsidTr="00AC4931">
        <w:tc>
          <w:tcPr>
            <w:tcW w:w="9349" w:type="dxa"/>
            <w:shd w:val="clear" w:color="auto" w:fill="CCECFF"/>
            <w:tcMar>
              <w:top w:w="15" w:type="dxa"/>
              <w:left w:w="0" w:type="dxa"/>
              <w:bottom w:w="0" w:type="dxa"/>
              <w:right w:w="15" w:type="dxa"/>
            </w:tcMar>
            <w:hideMark/>
          </w:tcPr>
          <w:p w14:paraId="327C752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Spain</w:t>
            </w:r>
          </w:p>
        </w:tc>
        <w:tc>
          <w:tcPr>
            <w:tcW w:w="286" w:type="dxa"/>
            <w:shd w:val="clear" w:color="auto" w:fill="CCECFF"/>
            <w:tcMar>
              <w:top w:w="15" w:type="dxa"/>
              <w:left w:w="0" w:type="dxa"/>
              <w:bottom w:w="0" w:type="dxa"/>
              <w:right w:w="15" w:type="dxa"/>
            </w:tcMar>
            <w:vAlign w:val="bottom"/>
            <w:hideMark/>
          </w:tcPr>
          <w:p w14:paraId="6BA7FAB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26492CBF"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60466A22"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CCECFF"/>
            <w:tcMar>
              <w:top w:w="15" w:type="dxa"/>
              <w:left w:w="0" w:type="dxa"/>
              <w:bottom w:w="0" w:type="dxa"/>
              <w:right w:w="15" w:type="dxa"/>
            </w:tcMar>
            <w:hideMark/>
          </w:tcPr>
          <w:p w14:paraId="086296E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49433198"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CCECFF"/>
            <w:tcMar>
              <w:top w:w="15" w:type="dxa"/>
              <w:left w:w="0" w:type="dxa"/>
              <w:bottom w:w="0" w:type="dxa"/>
              <w:right w:w="15" w:type="dxa"/>
            </w:tcMar>
            <w:hideMark/>
          </w:tcPr>
          <w:p w14:paraId="31D277BA"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099A3DBC" w14:textId="77777777" w:rsidTr="00AC4931">
        <w:tc>
          <w:tcPr>
            <w:tcW w:w="9349" w:type="dxa"/>
            <w:shd w:val="clear" w:color="auto" w:fill="FFFFFF"/>
            <w:tcMar>
              <w:top w:w="15" w:type="dxa"/>
              <w:left w:w="0" w:type="dxa"/>
              <w:bottom w:w="0" w:type="dxa"/>
              <w:right w:w="15" w:type="dxa"/>
            </w:tcMar>
            <w:hideMark/>
          </w:tcPr>
          <w:p w14:paraId="48FA65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BKI S.A.U.</w:t>
            </w:r>
          </w:p>
        </w:tc>
        <w:tc>
          <w:tcPr>
            <w:tcW w:w="286" w:type="dxa"/>
            <w:shd w:val="clear" w:color="auto" w:fill="FFFFFF"/>
            <w:tcMar>
              <w:top w:w="15" w:type="dxa"/>
              <w:left w:w="0" w:type="dxa"/>
              <w:bottom w:w="0" w:type="dxa"/>
              <w:right w:w="15" w:type="dxa"/>
            </w:tcMar>
            <w:vAlign w:val="bottom"/>
            <w:hideMark/>
          </w:tcPr>
          <w:p w14:paraId="491684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7FDA78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Valencia</w:t>
            </w:r>
          </w:p>
        </w:tc>
        <w:tc>
          <w:tcPr>
            <w:tcW w:w="286" w:type="dxa"/>
            <w:shd w:val="clear" w:color="auto" w:fill="FFFFFF"/>
            <w:tcMar>
              <w:top w:w="15" w:type="dxa"/>
              <w:left w:w="0" w:type="dxa"/>
              <w:bottom w:w="0" w:type="dxa"/>
              <w:right w:w="15" w:type="dxa"/>
            </w:tcMar>
            <w:vAlign w:val="bottom"/>
            <w:hideMark/>
          </w:tcPr>
          <w:p w14:paraId="7B4567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30A46C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w:t>
            </w:r>
          </w:p>
        </w:tc>
        <w:tc>
          <w:tcPr>
            <w:tcW w:w="286" w:type="dxa"/>
            <w:shd w:val="clear" w:color="auto" w:fill="FFFFFF"/>
            <w:tcMar>
              <w:top w:w="15" w:type="dxa"/>
              <w:left w:w="0" w:type="dxa"/>
              <w:bottom w:w="0" w:type="dxa"/>
              <w:right w:w="15" w:type="dxa"/>
            </w:tcMar>
            <w:vAlign w:val="bottom"/>
            <w:hideMark/>
          </w:tcPr>
          <w:p w14:paraId="2ED487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2A5B3F5B"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538EEA8A" w14:textId="77777777" w:rsidTr="00AC4931">
        <w:tc>
          <w:tcPr>
            <w:tcW w:w="9349" w:type="dxa"/>
            <w:shd w:val="clear" w:color="auto" w:fill="FFFFFF"/>
            <w:tcMar>
              <w:top w:w="15" w:type="dxa"/>
              <w:left w:w="0" w:type="dxa"/>
              <w:bottom w:w="0" w:type="dxa"/>
              <w:right w:w="15" w:type="dxa"/>
            </w:tcMar>
            <w:hideMark/>
          </w:tcPr>
          <w:p w14:paraId="7D3F0732"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76040850"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13BFEEB5"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45356328"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vAlign w:val="bottom"/>
            <w:hideMark/>
          </w:tcPr>
          <w:p w14:paraId="2C29C15C"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58EBB95E"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663327E8"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04BB7CD9" w14:textId="77777777" w:rsidTr="00AC4931">
        <w:tc>
          <w:tcPr>
            <w:tcW w:w="9349" w:type="dxa"/>
            <w:shd w:val="clear" w:color="auto" w:fill="CCECFF"/>
            <w:tcMar>
              <w:top w:w="15" w:type="dxa"/>
              <w:left w:w="0" w:type="dxa"/>
              <w:bottom w:w="0" w:type="dxa"/>
              <w:right w:w="15" w:type="dxa"/>
            </w:tcMar>
            <w:hideMark/>
          </w:tcPr>
          <w:p w14:paraId="2CC8824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Sweden</w:t>
            </w:r>
          </w:p>
        </w:tc>
        <w:tc>
          <w:tcPr>
            <w:tcW w:w="286" w:type="dxa"/>
            <w:shd w:val="clear" w:color="auto" w:fill="CCECFF"/>
            <w:tcMar>
              <w:top w:w="15" w:type="dxa"/>
              <w:left w:w="0" w:type="dxa"/>
              <w:bottom w:w="0" w:type="dxa"/>
              <w:right w:w="15" w:type="dxa"/>
            </w:tcMar>
            <w:vAlign w:val="bottom"/>
            <w:hideMark/>
          </w:tcPr>
          <w:p w14:paraId="2339D47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7C981BA3"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86" w:type="dxa"/>
            <w:shd w:val="clear" w:color="auto" w:fill="CCECFF"/>
            <w:tcMar>
              <w:top w:w="15" w:type="dxa"/>
              <w:left w:w="0" w:type="dxa"/>
              <w:bottom w:w="0" w:type="dxa"/>
              <w:right w:w="15" w:type="dxa"/>
            </w:tcMar>
            <w:vAlign w:val="bottom"/>
            <w:hideMark/>
          </w:tcPr>
          <w:p w14:paraId="72693093"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4805" w:type="dxa"/>
            <w:shd w:val="clear" w:color="auto" w:fill="CCECFF"/>
            <w:tcMar>
              <w:top w:w="15" w:type="dxa"/>
              <w:left w:w="0" w:type="dxa"/>
              <w:bottom w:w="0" w:type="dxa"/>
              <w:right w:w="15" w:type="dxa"/>
            </w:tcMar>
            <w:vAlign w:val="bottom"/>
            <w:hideMark/>
          </w:tcPr>
          <w:p w14:paraId="48797B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777281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CCECFF"/>
            <w:tcMar>
              <w:top w:w="15" w:type="dxa"/>
              <w:left w:w="0" w:type="dxa"/>
              <w:bottom w:w="0" w:type="dxa"/>
              <w:right w:w="15" w:type="dxa"/>
            </w:tcMar>
            <w:hideMark/>
          </w:tcPr>
          <w:p w14:paraId="7ECFCB69" w14:textId="77777777" w:rsidR="00AC4931" w:rsidRPr="00AC4931" w:rsidRDefault="00AC4931" w:rsidP="00AC4931">
            <w:pPr>
              <w:widowControl/>
              <w:jc w:val="center"/>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73491046" w14:textId="77777777" w:rsidTr="00AC4931">
        <w:tc>
          <w:tcPr>
            <w:tcW w:w="9349" w:type="dxa"/>
            <w:shd w:val="clear" w:color="auto" w:fill="FFFFFF"/>
            <w:tcMar>
              <w:top w:w="15" w:type="dxa"/>
              <w:left w:w="0" w:type="dxa"/>
              <w:bottom w:w="0" w:type="dxa"/>
              <w:right w:w="15" w:type="dxa"/>
            </w:tcMar>
            <w:hideMark/>
          </w:tcPr>
          <w:p w14:paraId="27B154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Sverige AB</w:t>
            </w:r>
          </w:p>
        </w:tc>
        <w:tc>
          <w:tcPr>
            <w:tcW w:w="286" w:type="dxa"/>
            <w:shd w:val="clear" w:color="auto" w:fill="FFFFFF"/>
            <w:tcMar>
              <w:top w:w="15" w:type="dxa"/>
              <w:left w:w="0" w:type="dxa"/>
              <w:bottom w:w="0" w:type="dxa"/>
              <w:right w:w="15" w:type="dxa"/>
            </w:tcMar>
            <w:vAlign w:val="bottom"/>
            <w:hideMark/>
          </w:tcPr>
          <w:p w14:paraId="590340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6CCBDA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Vårgårda</w:t>
            </w:r>
          </w:p>
        </w:tc>
        <w:tc>
          <w:tcPr>
            <w:tcW w:w="286" w:type="dxa"/>
            <w:shd w:val="clear" w:color="auto" w:fill="FFFFFF"/>
            <w:tcMar>
              <w:top w:w="15" w:type="dxa"/>
              <w:left w:w="0" w:type="dxa"/>
              <w:bottom w:w="0" w:type="dxa"/>
              <w:right w:w="15" w:type="dxa"/>
            </w:tcMar>
            <w:vAlign w:val="bottom"/>
            <w:hideMark/>
          </w:tcPr>
          <w:p w14:paraId="6381F4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0B9E93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inflators</w:t>
            </w:r>
          </w:p>
        </w:tc>
        <w:tc>
          <w:tcPr>
            <w:tcW w:w="286" w:type="dxa"/>
            <w:shd w:val="clear" w:color="auto" w:fill="FFFFFF"/>
            <w:tcMar>
              <w:top w:w="15" w:type="dxa"/>
              <w:left w:w="0" w:type="dxa"/>
              <w:bottom w:w="0" w:type="dxa"/>
              <w:right w:w="15" w:type="dxa"/>
            </w:tcMar>
            <w:vAlign w:val="bottom"/>
            <w:hideMark/>
          </w:tcPr>
          <w:p w14:paraId="5D9CA9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5E30055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2149713C" w14:textId="77777777" w:rsidTr="00AC4931">
        <w:tc>
          <w:tcPr>
            <w:tcW w:w="9349" w:type="dxa"/>
            <w:shd w:val="clear" w:color="auto" w:fill="FFFFFF"/>
            <w:tcMar>
              <w:top w:w="15" w:type="dxa"/>
              <w:left w:w="0" w:type="dxa"/>
              <w:bottom w:w="0" w:type="dxa"/>
              <w:right w:w="15" w:type="dxa"/>
            </w:tcMar>
            <w:hideMark/>
          </w:tcPr>
          <w:p w14:paraId="55024670"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lastRenderedPageBreak/>
              <w:t> </w:t>
            </w:r>
          </w:p>
        </w:tc>
        <w:tc>
          <w:tcPr>
            <w:tcW w:w="286" w:type="dxa"/>
            <w:shd w:val="clear" w:color="auto" w:fill="FFFFFF"/>
            <w:tcMar>
              <w:top w:w="15" w:type="dxa"/>
              <w:left w:w="0" w:type="dxa"/>
              <w:bottom w:w="0" w:type="dxa"/>
              <w:right w:w="15" w:type="dxa"/>
            </w:tcMar>
            <w:vAlign w:val="bottom"/>
            <w:hideMark/>
          </w:tcPr>
          <w:p w14:paraId="53551E03"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vAlign w:val="bottom"/>
            <w:hideMark/>
          </w:tcPr>
          <w:p w14:paraId="036D4571"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120DA631"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30AD6ABC"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07E48C5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vAlign w:val="bottom"/>
            <w:hideMark/>
          </w:tcPr>
          <w:p w14:paraId="65E87124"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739BD288" w14:textId="77777777" w:rsidTr="00AC4931">
        <w:tc>
          <w:tcPr>
            <w:tcW w:w="9349" w:type="dxa"/>
            <w:shd w:val="clear" w:color="auto" w:fill="CCECFF"/>
            <w:tcMar>
              <w:top w:w="15" w:type="dxa"/>
              <w:left w:w="0" w:type="dxa"/>
              <w:bottom w:w="0" w:type="dxa"/>
              <w:right w:w="15" w:type="dxa"/>
            </w:tcMar>
            <w:hideMark/>
          </w:tcPr>
          <w:p w14:paraId="1989C7A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Thailand</w:t>
            </w:r>
          </w:p>
        </w:tc>
        <w:tc>
          <w:tcPr>
            <w:tcW w:w="286" w:type="dxa"/>
            <w:shd w:val="clear" w:color="auto" w:fill="CCECFF"/>
            <w:tcMar>
              <w:top w:w="15" w:type="dxa"/>
              <w:left w:w="0" w:type="dxa"/>
              <w:bottom w:w="0" w:type="dxa"/>
              <w:right w:w="15" w:type="dxa"/>
            </w:tcMar>
            <w:vAlign w:val="bottom"/>
            <w:hideMark/>
          </w:tcPr>
          <w:p w14:paraId="55BCA4E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4110542B"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2A79CC51"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CCECFF"/>
            <w:tcMar>
              <w:top w:w="15" w:type="dxa"/>
              <w:left w:w="0" w:type="dxa"/>
              <w:bottom w:w="0" w:type="dxa"/>
              <w:right w:w="15" w:type="dxa"/>
            </w:tcMar>
            <w:vAlign w:val="bottom"/>
            <w:hideMark/>
          </w:tcPr>
          <w:p w14:paraId="1D9FF8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1D1F2F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CCECFF"/>
            <w:tcMar>
              <w:top w:w="15" w:type="dxa"/>
              <w:left w:w="0" w:type="dxa"/>
              <w:bottom w:w="0" w:type="dxa"/>
              <w:right w:w="15" w:type="dxa"/>
            </w:tcMar>
            <w:hideMark/>
          </w:tcPr>
          <w:p w14:paraId="505F5063"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782A9E6F" w14:textId="77777777" w:rsidTr="00AC4931">
        <w:tc>
          <w:tcPr>
            <w:tcW w:w="9349" w:type="dxa"/>
            <w:shd w:val="clear" w:color="auto" w:fill="FFFFFF"/>
            <w:tcMar>
              <w:top w:w="15" w:type="dxa"/>
              <w:left w:w="0" w:type="dxa"/>
              <w:bottom w:w="0" w:type="dxa"/>
              <w:right w:w="15" w:type="dxa"/>
            </w:tcMar>
            <w:hideMark/>
          </w:tcPr>
          <w:p w14:paraId="3BE8B3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Thailand Ltd.</w:t>
            </w:r>
          </w:p>
        </w:tc>
        <w:tc>
          <w:tcPr>
            <w:tcW w:w="286" w:type="dxa"/>
            <w:shd w:val="clear" w:color="auto" w:fill="FFFFFF"/>
            <w:tcMar>
              <w:top w:w="15" w:type="dxa"/>
              <w:left w:w="0" w:type="dxa"/>
              <w:bottom w:w="0" w:type="dxa"/>
              <w:right w:w="15" w:type="dxa"/>
            </w:tcMar>
            <w:vAlign w:val="bottom"/>
            <w:hideMark/>
          </w:tcPr>
          <w:p w14:paraId="692EA4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3D613D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Chonburi</w:t>
            </w:r>
          </w:p>
        </w:tc>
        <w:tc>
          <w:tcPr>
            <w:tcW w:w="286" w:type="dxa"/>
            <w:shd w:val="clear" w:color="auto" w:fill="FFFFFF"/>
            <w:tcMar>
              <w:top w:w="15" w:type="dxa"/>
              <w:left w:w="0" w:type="dxa"/>
              <w:bottom w:w="0" w:type="dxa"/>
              <w:right w:w="15" w:type="dxa"/>
            </w:tcMar>
            <w:vAlign w:val="bottom"/>
            <w:hideMark/>
          </w:tcPr>
          <w:p w14:paraId="567A1A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54925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w:t>
            </w:r>
          </w:p>
        </w:tc>
        <w:tc>
          <w:tcPr>
            <w:tcW w:w="286" w:type="dxa"/>
            <w:shd w:val="clear" w:color="auto" w:fill="FFFFFF"/>
            <w:tcMar>
              <w:top w:w="15" w:type="dxa"/>
              <w:left w:w="0" w:type="dxa"/>
              <w:bottom w:w="0" w:type="dxa"/>
              <w:right w:w="15" w:type="dxa"/>
            </w:tcMar>
            <w:vAlign w:val="bottom"/>
            <w:hideMark/>
          </w:tcPr>
          <w:p w14:paraId="0229C9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18365A15"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140EBFCB" w14:textId="77777777" w:rsidTr="00AC4931">
        <w:tc>
          <w:tcPr>
            <w:tcW w:w="9349" w:type="dxa"/>
            <w:shd w:val="clear" w:color="auto" w:fill="FFFFFF"/>
            <w:tcMar>
              <w:top w:w="15" w:type="dxa"/>
              <w:left w:w="0" w:type="dxa"/>
              <w:bottom w:w="0" w:type="dxa"/>
              <w:right w:w="15" w:type="dxa"/>
            </w:tcMar>
            <w:hideMark/>
          </w:tcPr>
          <w:p w14:paraId="160D121F"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0E7CE43D"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684CBB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Chonburi</w:t>
            </w:r>
          </w:p>
        </w:tc>
        <w:tc>
          <w:tcPr>
            <w:tcW w:w="286" w:type="dxa"/>
            <w:shd w:val="clear" w:color="auto" w:fill="FFFFFF"/>
            <w:tcMar>
              <w:top w:w="15" w:type="dxa"/>
              <w:left w:w="0" w:type="dxa"/>
              <w:bottom w:w="0" w:type="dxa"/>
              <w:right w:w="15" w:type="dxa"/>
            </w:tcMar>
            <w:vAlign w:val="bottom"/>
            <w:hideMark/>
          </w:tcPr>
          <w:p w14:paraId="62CB62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F7E95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airbag cushions, steering wheels</w:t>
            </w:r>
          </w:p>
        </w:tc>
        <w:tc>
          <w:tcPr>
            <w:tcW w:w="286" w:type="dxa"/>
            <w:shd w:val="clear" w:color="auto" w:fill="FFFFFF"/>
            <w:tcMar>
              <w:top w:w="15" w:type="dxa"/>
              <w:left w:w="0" w:type="dxa"/>
              <w:bottom w:w="0" w:type="dxa"/>
              <w:right w:w="15" w:type="dxa"/>
            </w:tcMar>
            <w:vAlign w:val="bottom"/>
            <w:hideMark/>
          </w:tcPr>
          <w:p w14:paraId="263449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3EEFE41B"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6A69313E" w14:textId="77777777" w:rsidTr="00AC4931">
        <w:tc>
          <w:tcPr>
            <w:tcW w:w="9349" w:type="dxa"/>
            <w:shd w:val="clear" w:color="auto" w:fill="FFFFFF"/>
            <w:tcMar>
              <w:top w:w="15" w:type="dxa"/>
              <w:left w:w="0" w:type="dxa"/>
              <w:bottom w:w="0" w:type="dxa"/>
              <w:right w:w="15" w:type="dxa"/>
            </w:tcMar>
            <w:hideMark/>
          </w:tcPr>
          <w:p w14:paraId="14E09C60"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07DBC93F"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15C43C79"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2450A57B"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44E92A0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3FFD961F"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7E7505B7"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4E88825F" w14:textId="77777777" w:rsidTr="00AC4931">
        <w:tc>
          <w:tcPr>
            <w:tcW w:w="9349" w:type="dxa"/>
            <w:shd w:val="clear" w:color="auto" w:fill="CCECFF"/>
            <w:tcMar>
              <w:top w:w="15" w:type="dxa"/>
              <w:left w:w="0" w:type="dxa"/>
              <w:bottom w:w="0" w:type="dxa"/>
              <w:right w:w="15" w:type="dxa"/>
            </w:tcMar>
            <w:hideMark/>
          </w:tcPr>
          <w:p w14:paraId="609309C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Tunisia</w:t>
            </w:r>
          </w:p>
        </w:tc>
        <w:tc>
          <w:tcPr>
            <w:tcW w:w="286" w:type="dxa"/>
            <w:shd w:val="clear" w:color="auto" w:fill="CCECFF"/>
            <w:tcMar>
              <w:top w:w="15" w:type="dxa"/>
              <w:left w:w="0" w:type="dxa"/>
              <w:bottom w:w="0" w:type="dxa"/>
              <w:right w:w="15" w:type="dxa"/>
            </w:tcMar>
            <w:vAlign w:val="bottom"/>
            <w:hideMark/>
          </w:tcPr>
          <w:p w14:paraId="03EB644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7873903F"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0471BC8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CCECFF"/>
            <w:tcMar>
              <w:top w:w="15" w:type="dxa"/>
              <w:left w:w="0" w:type="dxa"/>
              <w:bottom w:w="0" w:type="dxa"/>
              <w:right w:w="15" w:type="dxa"/>
            </w:tcMar>
            <w:vAlign w:val="bottom"/>
            <w:hideMark/>
          </w:tcPr>
          <w:p w14:paraId="1A5A09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0B1AA7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CCECFF"/>
            <w:tcMar>
              <w:top w:w="15" w:type="dxa"/>
              <w:left w:w="0" w:type="dxa"/>
              <w:bottom w:w="0" w:type="dxa"/>
              <w:right w:w="15" w:type="dxa"/>
            </w:tcMar>
            <w:hideMark/>
          </w:tcPr>
          <w:p w14:paraId="1892B077"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2074322E" w14:textId="77777777" w:rsidTr="00AC4931">
        <w:tc>
          <w:tcPr>
            <w:tcW w:w="9349" w:type="dxa"/>
            <w:shd w:val="clear" w:color="auto" w:fill="FFFFFF"/>
            <w:tcMar>
              <w:top w:w="15" w:type="dxa"/>
              <w:left w:w="0" w:type="dxa"/>
              <w:bottom w:w="0" w:type="dxa"/>
              <w:right w:w="15" w:type="dxa"/>
            </w:tcMar>
            <w:hideMark/>
          </w:tcPr>
          <w:p w14:paraId="65FE58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SWT1 SARL</w:t>
            </w:r>
          </w:p>
        </w:tc>
        <w:tc>
          <w:tcPr>
            <w:tcW w:w="286" w:type="dxa"/>
            <w:shd w:val="clear" w:color="auto" w:fill="FFFFFF"/>
            <w:tcMar>
              <w:top w:w="15" w:type="dxa"/>
              <w:left w:w="0" w:type="dxa"/>
              <w:bottom w:w="0" w:type="dxa"/>
              <w:right w:w="15" w:type="dxa"/>
            </w:tcMar>
            <w:vAlign w:val="bottom"/>
            <w:hideMark/>
          </w:tcPr>
          <w:p w14:paraId="699F4F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1FC869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El Fahs</w:t>
            </w:r>
          </w:p>
        </w:tc>
        <w:tc>
          <w:tcPr>
            <w:tcW w:w="286" w:type="dxa"/>
            <w:shd w:val="clear" w:color="auto" w:fill="FFFFFF"/>
            <w:tcMar>
              <w:top w:w="15" w:type="dxa"/>
              <w:left w:w="0" w:type="dxa"/>
              <w:bottom w:w="0" w:type="dxa"/>
              <w:right w:w="15" w:type="dxa"/>
            </w:tcMar>
            <w:vAlign w:val="bottom"/>
            <w:hideMark/>
          </w:tcPr>
          <w:p w14:paraId="667C34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45E657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Leather wrapping of steering wheels</w:t>
            </w:r>
          </w:p>
        </w:tc>
        <w:tc>
          <w:tcPr>
            <w:tcW w:w="286" w:type="dxa"/>
            <w:shd w:val="clear" w:color="auto" w:fill="FFFFFF"/>
            <w:tcMar>
              <w:top w:w="15" w:type="dxa"/>
              <w:left w:w="0" w:type="dxa"/>
              <w:bottom w:w="0" w:type="dxa"/>
              <w:right w:w="15" w:type="dxa"/>
            </w:tcMar>
            <w:vAlign w:val="bottom"/>
            <w:hideMark/>
          </w:tcPr>
          <w:p w14:paraId="30B7B5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12C81256"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 &amp; Leased</w:t>
            </w:r>
          </w:p>
        </w:tc>
      </w:tr>
      <w:tr w:rsidR="00AC4931" w:rsidRPr="00AC4931" w14:paraId="2DD49668" w14:textId="77777777" w:rsidTr="00AC4931">
        <w:tc>
          <w:tcPr>
            <w:tcW w:w="9349" w:type="dxa"/>
            <w:shd w:val="clear" w:color="auto" w:fill="FFFFFF"/>
            <w:tcMar>
              <w:top w:w="15" w:type="dxa"/>
              <w:left w:w="0" w:type="dxa"/>
              <w:bottom w:w="0" w:type="dxa"/>
              <w:right w:w="15" w:type="dxa"/>
            </w:tcMar>
            <w:hideMark/>
          </w:tcPr>
          <w:p w14:paraId="24B5C6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ASW3 SARL</w:t>
            </w:r>
          </w:p>
        </w:tc>
        <w:tc>
          <w:tcPr>
            <w:tcW w:w="286" w:type="dxa"/>
            <w:shd w:val="clear" w:color="auto" w:fill="FFFFFF"/>
            <w:tcMar>
              <w:top w:w="15" w:type="dxa"/>
              <w:left w:w="0" w:type="dxa"/>
              <w:bottom w:w="0" w:type="dxa"/>
              <w:right w:w="15" w:type="dxa"/>
            </w:tcMar>
            <w:vAlign w:val="bottom"/>
            <w:hideMark/>
          </w:tcPr>
          <w:p w14:paraId="6C8875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4A1E9E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Nadhour</w:t>
            </w:r>
          </w:p>
        </w:tc>
        <w:tc>
          <w:tcPr>
            <w:tcW w:w="286" w:type="dxa"/>
            <w:shd w:val="clear" w:color="auto" w:fill="FFFFFF"/>
            <w:tcMar>
              <w:top w:w="15" w:type="dxa"/>
              <w:left w:w="0" w:type="dxa"/>
              <w:bottom w:w="0" w:type="dxa"/>
              <w:right w:w="15" w:type="dxa"/>
            </w:tcMar>
            <w:vAlign w:val="bottom"/>
            <w:hideMark/>
          </w:tcPr>
          <w:p w14:paraId="13B111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0B0B24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PU Molding and Leather wrapping of steering wheels</w:t>
            </w:r>
          </w:p>
        </w:tc>
        <w:tc>
          <w:tcPr>
            <w:tcW w:w="286" w:type="dxa"/>
            <w:shd w:val="clear" w:color="auto" w:fill="FFFFFF"/>
            <w:tcMar>
              <w:top w:w="15" w:type="dxa"/>
              <w:left w:w="0" w:type="dxa"/>
              <w:bottom w:w="0" w:type="dxa"/>
              <w:right w:w="15" w:type="dxa"/>
            </w:tcMar>
            <w:vAlign w:val="bottom"/>
            <w:hideMark/>
          </w:tcPr>
          <w:p w14:paraId="458108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022057CA"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7F325653" w14:textId="77777777" w:rsidTr="00AC4931">
        <w:tc>
          <w:tcPr>
            <w:tcW w:w="9349" w:type="dxa"/>
            <w:shd w:val="clear" w:color="auto" w:fill="FFFFFF"/>
            <w:tcMar>
              <w:top w:w="15" w:type="dxa"/>
              <w:left w:w="0" w:type="dxa"/>
              <w:bottom w:w="0" w:type="dxa"/>
              <w:right w:w="15" w:type="dxa"/>
            </w:tcMar>
            <w:hideMark/>
          </w:tcPr>
          <w:p w14:paraId="4F9AEC33"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056437E6"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70C11E16"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3BAC204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555F78BE"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4AA8044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2AB8661E"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1B8C863D" w14:textId="77777777" w:rsidTr="00AC4931">
        <w:tc>
          <w:tcPr>
            <w:tcW w:w="9349" w:type="dxa"/>
            <w:shd w:val="clear" w:color="auto" w:fill="CCECFF"/>
            <w:tcMar>
              <w:top w:w="15" w:type="dxa"/>
              <w:left w:w="0" w:type="dxa"/>
              <w:bottom w:w="0" w:type="dxa"/>
              <w:right w:w="15" w:type="dxa"/>
            </w:tcMar>
            <w:hideMark/>
          </w:tcPr>
          <w:p w14:paraId="4926AEA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Turkey</w:t>
            </w:r>
          </w:p>
        </w:tc>
        <w:tc>
          <w:tcPr>
            <w:tcW w:w="286" w:type="dxa"/>
            <w:shd w:val="clear" w:color="auto" w:fill="CCECFF"/>
            <w:tcMar>
              <w:top w:w="15" w:type="dxa"/>
              <w:left w:w="0" w:type="dxa"/>
              <w:bottom w:w="0" w:type="dxa"/>
              <w:right w:w="15" w:type="dxa"/>
            </w:tcMar>
            <w:vAlign w:val="bottom"/>
            <w:hideMark/>
          </w:tcPr>
          <w:p w14:paraId="6C072A4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vAlign w:val="bottom"/>
            <w:hideMark/>
          </w:tcPr>
          <w:p w14:paraId="69EE28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709E66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CCECFF"/>
            <w:tcMar>
              <w:top w:w="15" w:type="dxa"/>
              <w:left w:w="0" w:type="dxa"/>
              <w:bottom w:w="0" w:type="dxa"/>
              <w:right w:w="15" w:type="dxa"/>
            </w:tcMar>
            <w:hideMark/>
          </w:tcPr>
          <w:p w14:paraId="07C4B16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1FD6EA2E"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CCECFF"/>
            <w:tcMar>
              <w:top w:w="15" w:type="dxa"/>
              <w:left w:w="0" w:type="dxa"/>
              <w:bottom w:w="0" w:type="dxa"/>
              <w:right w:w="15" w:type="dxa"/>
            </w:tcMar>
            <w:vAlign w:val="bottom"/>
            <w:hideMark/>
          </w:tcPr>
          <w:p w14:paraId="12E2A2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A833BB1" w14:textId="77777777" w:rsidTr="00AC4931">
        <w:tc>
          <w:tcPr>
            <w:tcW w:w="9349" w:type="dxa"/>
            <w:shd w:val="clear" w:color="auto" w:fill="FFFFFF"/>
            <w:tcMar>
              <w:top w:w="15" w:type="dxa"/>
              <w:left w:w="0" w:type="dxa"/>
              <w:bottom w:w="0" w:type="dxa"/>
              <w:right w:w="15" w:type="dxa"/>
            </w:tcMar>
            <w:hideMark/>
          </w:tcPr>
          <w:p w14:paraId="79069D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Cankor Otomotiv Emniyet Sistemleri Sanayi Ve Ticaret A.S.</w:t>
            </w:r>
          </w:p>
        </w:tc>
        <w:tc>
          <w:tcPr>
            <w:tcW w:w="286" w:type="dxa"/>
            <w:shd w:val="clear" w:color="auto" w:fill="FFFFFF"/>
            <w:tcMar>
              <w:top w:w="15" w:type="dxa"/>
              <w:left w:w="0" w:type="dxa"/>
              <w:bottom w:w="0" w:type="dxa"/>
              <w:right w:w="15" w:type="dxa"/>
            </w:tcMar>
            <w:vAlign w:val="bottom"/>
            <w:hideMark/>
          </w:tcPr>
          <w:p w14:paraId="0DE7C5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0F9E3F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Gebze-Kocaeli</w:t>
            </w:r>
          </w:p>
        </w:tc>
        <w:tc>
          <w:tcPr>
            <w:tcW w:w="286" w:type="dxa"/>
            <w:shd w:val="clear" w:color="auto" w:fill="FFFFFF"/>
            <w:tcMar>
              <w:top w:w="15" w:type="dxa"/>
              <w:left w:w="0" w:type="dxa"/>
              <w:bottom w:w="0" w:type="dxa"/>
              <w:right w:w="15" w:type="dxa"/>
            </w:tcMar>
            <w:vAlign w:val="bottom"/>
            <w:hideMark/>
          </w:tcPr>
          <w:p w14:paraId="44F2E1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34C3D2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w:t>
            </w:r>
          </w:p>
        </w:tc>
        <w:tc>
          <w:tcPr>
            <w:tcW w:w="286" w:type="dxa"/>
            <w:shd w:val="clear" w:color="auto" w:fill="FFFFFF"/>
            <w:tcMar>
              <w:top w:w="15" w:type="dxa"/>
              <w:left w:w="0" w:type="dxa"/>
              <w:bottom w:w="0" w:type="dxa"/>
              <w:right w:w="15" w:type="dxa"/>
            </w:tcMar>
            <w:vAlign w:val="bottom"/>
            <w:hideMark/>
          </w:tcPr>
          <w:p w14:paraId="5772A1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63B24EBB"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254E9A46" w14:textId="77777777" w:rsidTr="00AC4931">
        <w:tc>
          <w:tcPr>
            <w:tcW w:w="9349" w:type="dxa"/>
            <w:shd w:val="clear" w:color="auto" w:fill="FFFFFF"/>
            <w:tcMar>
              <w:top w:w="15" w:type="dxa"/>
              <w:left w:w="0" w:type="dxa"/>
              <w:bottom w:w="0" w:type="dxa"/>
              <w:right w:w="15" w:type="dxa"/>
            </w:tcMar>
            <w:hideMark/>
          </w:tcPr>
          <w:p w14:paraId="2795D4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Cankor Otomotiv Emniyet Sistemleri Sanayi Ve Ticaret A.S. Gebze-Subesi</w:t>
            </w:r>
          </w:p>
        </w:tc>
        <w:tc>
          <w:tcPr>
            <w:tcW w:w="286" w:type="dxa"/>
            <w:shd w:val="clear" w:color="auto" w:fill="FFFFFF"/>
            <w:tcMar>
              <w:top w:w="15" w:type="dxa"/>
              <w:left w:w="0" w:type="dxa"/>
              <w:bottom w:w="0" w:type="dxa"/>
              <w:right w:w="15" w:type="dxa"/>
            </w:tcMar>
            <w:vAlign w:val="bottom"/>
            <w:hideMark/>
          </w:tcPr>
          <w:p w14:paraId="3A01A0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6B7EB8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Gebze-Kocaeli</w:t>
            </w:r>
          </w:p>
        </w:tc>
        <w:tc>
          <w:tcPr>
            <w:tcW w:w="286" w:type="dxa"/>
            <w:shd w:val="clear" w:color="auto" w:fill="FFFFFF"/>
            <w:tcMar>
              <w:top w:w="15" w:type="dxa"/>
              <w:left w:w="0" w:type="dxa"/>
              <w:bottom w:w="0" w:type="dxa"/>
              <w:right w:w="15" w:type="dxa"/>
            </w:tcMar>
            <w:vAlign w:val="bottom"/>
            <w:hideMark/>
          </w:tcPr>
          <w:p w14:paraId="777855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5E74CB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Steering wheels and Seatbelt components</w:t>
            </w:r>
          </w:p>
        </w:tc>
        <w:tc>
          <w:tcPr>
            <w:tcW w:w="286" w:type="dxa"/>
            <w:shd w:val="clear" w:color="auto" w:fill="FFFFFF"/>
            <w:tcMar>
              <w:top w:w="15" w:type="dxa"/>
              <w:left w:w="0" w:type="dxa"/>
              <w:bottom w:w="0" w:type="dxa"/>
              <w:right w:w="15" w:type="dxa"/>
            </w:tcMar>
            <w:vAlign w:val="bottom"/>
            <w:hideMark/>
          </w:tcPr>
          <w:p w14:paraId="419F34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13B1C13A"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0A70E6F6" w14:textId="77777777" w:rsidTr="00AC4931">
        <w:tc>
          <w:tcPr>
            <w:tcW w:w="9349" w:type="dxa"/>
            <w:shd w:val="clear" w:color="auto" w:fill="FFFFFF"/>
            <w:tcMar>
              <w:top w:w="15" w:type="dxa"/>
              <w:left w:w="0" w:type="dxa"/>
              <w:bottom w:w="0" w:type="dxa"/>
              <w:right w:w="15" w:type="dxa"/>
            </w:tcMar>
            <w:hideMark/>
          </w:tcPr>
          <w:p w14:paraId="53813EDA"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20551FB8"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7CAE863E"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4E6105C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7B26F2D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203E01C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05D65469"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313646F5" w14:textId="77777777" w:rsidTr="00AC4931">
        <w:tc>
          <w:tcPr>
            <w:tcW w:w="9349" w:type="dxa"/>
            <w:shd w:val="clear" w:color="auto" w:fill="CCECFF"/>
            <w:tcMar>
              <w:top w:w="15" w:type="dxa"/>
              <w:left w:w="0" w:type="dxa"/>
              <w:bottom w:w="0" w:type="dxa"/>
              <w:right w:w="15" w:type="dxa"/>
            </w:tcMar>
            <w:hideMark/>
          </w:tcPr>
          <w:p w14:paraId="2859224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United Kingdom</w:t>
            </w:r>
          </w:p>
        </w:tc>
        <w:tc>
          <w:tcPr>
            <w:tcW w:w="286" w:type="dxa"/>
            <w:shd w:val="clear" w:color="auto" w:fill="CCECFF"/>
            <w:tcMar>
              <w:top w:w="15" w:type="dxa"/>
              <w:left w:w="0" w:type="dxa"/>
              <w:bottom w:w="0" w:type="dxa"/>
              <w:right w:w="15" w:type="dxa"/>
            </w:tcMar>
            <w:vAlign w:val="bottom"/>
            <w:hideMark/>
          </w:tcPr>
          <w:p w14:paraId="7E85503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5B6243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CCECFF"/>
            <w:tcMar>
              <w:top w:w="15" w:type="dxa"/>
              <w:left w:w="0" w:type="dxa"/>
              <w:bottom w:w="0" w:type="dxa"/>
              <w:right w:w="15" w:type="dxa"/>
            </w:tcMar>
            <w:vAlign w:val="bottom"/>
            <w:hideMark/>
          </w:tcPr>
          <w:p w14:paraId="63C1FF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CCECFF"/>
            <w:tcMar>
              <w:top w:w="15" w:type="dxa"/>
              <w:left w:w="0" w:type="dxa"/>
              <w:bottom w:w="0" w:type="dxa"/>
              <w:right w:w="15" w:type="dxa"/>
            </w:tcMar>
            <w:hideMark/>
          </w:tcPr>
          <w:p w14:paraId="2468F7E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69FA928F"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CCECFF"/>
            <w:tcMar>
              <w:top w:w="15" w:type="dxa"/>
              <w:left w:w="0" w:type="dxa"/>
              <w:bottom w:w="0" w:type="dxa"/>
              <w:right w:w="15" w:type="dxa"/>
            </w:tcMar>
            <w:hideMark/>
          </w:tcPr>
          <w:p w14:paraId="4CD562A6" w14:textId="77777777" w:rsidR="00AC4931" w:rsidRPr="00AC4931" w:rsidRDefault="00AC4931" w:rsidP="00AC4931">
            <w:pPr>
              <w:widowControl/>
              <w:jc w:val="center"/>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3433EB47" w14:textId="77777777" w:rsidTr="00AC4931">
        <w:tc>
          <w:tcPr>
            <w:tcW w:w="9349" w:type="dxa"/>
            <w:shd w:val="clear" w:color="auto" w:fill="FFFFFF"/>
            <w:tcMar>
              <w:top w:w="15" w:type="dxa"/>
              <w:left w:w="0" w:type="dxa"/>
              <w:bottom w:w="0" w:type="dxa"/>
              <w:right w:w="15" w:type="dxa"/>
            </w:tcMar>
            <w:hideMark/>
          </w:tcPr>
          <w:p w14:paraId="0A4CF7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International Ltd</w:t>
            </w:r>
          </w:p>
        </w:tc>
        <w:tc>
          <w:tcPr>
            <w:tcW w:w="286" w:type="dxa"/>
            <w:shd w:val="clear" w:color="auto" w:fill="FFFFFF"/>
            <w:tcMar>
              <w:top w:w="15" w:type="dxa"/>
              <w:left w:w="0" w:type="dxa"/>
              <w:bottom w:w="0" w:type="dxa"/>
              <w:right w:w="15" w:type="dxa"/>
            </w:tcMar>
            <w:vAlign w:val="bottom"/>
            <w:hideMark/>
          </w:tcPr>
          <w:p w14:paraId="45CE22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1001A4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Congleton</w:t>
            </w:r>
          </w:p>
        </w:tc>
        <w:tc>
          <w:tcPr>
            <w:tcW w:w="286" w:type="dxa"/>
            <w:shd w:val="clear" w:color="auto" w:fill="FFFFFF"/>
            <w:tcMar>
              <w:top w:w="15" w:type="dxa"/>
              <w:left w:w="0" w:type="dxa"/>
              <w:bottom w:w="0" w:type="dxa"/>
              <w:right w:w="15" w:type="dxa"/>
            </w:tcMar>
            <w:vAlign w:val="bottom"/>
            <w:hideMark/>
          </w:tcPr>
          <w:p w14:paraId="2A15D2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224B07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cushions</w:t>
            </w:r>
          </w:p>
        </w:tc>
        <w:tc>
          <w:tcPr>
            <w:tcW w:w="286" w:type="dxa"/>
            <w:shd w:val="clear" w:color="auto" w:fill="FFFFFF"/>
            <w:tcMar>
              <w:top w:w="15" w:type="dxa"/>
              <w:left w:w="0" w:type="dxa"/>
              <w:bottom w:w="0" w:type="dxa"/>
              <w:right w:w="15" w:type="dxa"/>
            </w:tcMar>
            <w:vAlign w:val="bottom"/>
            <w:hideMark/>
          </w:tcPr>
          <w:p w14:paraId="337434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0C159CFA"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597C019D" w14:textId="77777777" w:rsidTr="00AC4931">
        <w:tc>
          <w:tcPr>
            <w:tcW w:w="9349" w:type="dxa"/>
            <w:shd w:val="clear" w:color="auto" w:fill="FFFFFF"/>
            <w:tcMar>
              <w:top w:w="15" w:type="dxa"/>
              <w:left w:w="0" w:type="dxa"/>
              <w:bottom w:w="0" w:type="dxa"/>
              <w:right w:w="15" w:type="dxa"/>
            </w:tcMar>
            <w:hideMark/>
          </w:tcPr>
          <w:p w14:paraId="46D5CF12"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1375BBEF"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155" w:type="dxa"/>
            <w:shd w:val="clear" w:color="auto" w:fill="FFFFFF"/>
            <w:tcMar>
              <w:top w:w="15" w:type="dxa"/>
              <w:left w:w="0" w:type="dxa"/>
              <w:bottom w:w="0" w:type="dxa"/>
              <w:right w:w="15" w:type="dxa"/>
            </w:tcMar>
            <w:hideMark/>
          </w:tcPr>
          <w:p w14:paraId="26B783DC"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694A661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FFFFFF"/>
            <w:tcMar>
              <w:top w:w="15" w:type="dxa"/>
              <w:left w:w="0" w:type="dxa"/>
              <w:bottom w:w="0" w:type="dxa"/>
              <w:right w:w="15" w:type="dxa"/>
            </w:tcMar>
            <w:hideMark/>
          </w:tcPr>
          <w:p w14:paraId="663A572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FFFFFF"/>
            <w:tcMar>
              <w:top w:w="15" w:type="dxa"/>
              <w:left w:w="0" w:type="dxa"/>
              <w:bottom w:w="0" w:type="dxa"/>
              <w:right w:w="15" w:type="dxa"/>
            </w:tcMar>
            <w:vAlign w:val="bottom"/>
            <w:hideMark/>
          </w:tcPr>
          <w:p w14:paraId="672EE0E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FFFFFF"/>
            <w:tcMar>
              <w:top w:w="15" w:type="dxa"/>
              <w:left w:w="0" w:type="dxa"/>
              <w:bottom w:w="0" w:type="dxa"/>
              <w:right w:w="15" w:type="dxa"/>
            </w:tcMar>
            <w:hideMark/>
          </w:tcPr>
          <w:p w14:paraId="0C77581D"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3F813407" w14:textId="77777777" w:rsidTr="00AC4931">
        <w:tc>
          <w:tcPr>
            <w:tcW w:w="9349" w:type="dxa"/>
            <w:shd w:val="clear" w:color="auto" w:fill="CCECFF"/>
            <w:tcMar>
              <w:top w:w="15" w:type="dxa"/>
              <w:left w:w="0" w:type="dxa"/>
              <w:bottom w:w="0" w:type="dxa"/>
              <w:right w:w="15" w:type="dxa"/>
            </w:tcMar>
            <w:hideMark/>
          </w:tcPr>
          <w:p w14:paraId="0556BCE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USA</w:t>
            </w:r>
          </w:p>
        </w:tc>
        <w:tc>
          <w:tcPr>
            <w:tcW w:w="286" w:type="dxa"/>
            <w:shd w:val="clear" w:color="auto" w:fill="CCECFF"/>
            <w:tcMar>
              <w:top w:w="15" w:type="dxa"/>
              <w:left w:w="0" w:type="dxa"/>
              <w:bottom w:w="0" w:type="dxa"/>
              <w:right w:w="15" w:type="dxa"/>
            </w:tcMar>
            <w:vAlign w:val="bottom"/>
            <w:hideMark/>
          </w:tcPr>
          <w:p w14:paraId="6B99ADB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55" w:type="dxa"/>
            <w:shd w:val="clear" w:color="auto" w:fill="CCECFF"/>
            <w:tcMar>
              <w:top w:w="15" w:type="dxa"/>
              <w:left w:w="0" w:type="dxa"/>
              <w:bottom w:w="0" w:type="dxa"/>
              <w:right w:w="15" w:type="dxa"/>
            </w:tcMar>
            <w:hideMark/>
          </w:tcPr>
          <w:p w14:paraId="01AAA12D"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09F5DE58"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4805" w:type="dxa"/>
            <w:shd w:val="clear" w:color="auto" w:fill="CCECFF"/>
            <w:tcMar>
              <w:top w:w="15" w:type="dxa"/>
              <w:left w:w="0" w:type="dxa"/>
              <w:bottom w:w="0" w:type="dxa"/>
              <w:right w:w="15" w:type="dxa"/>
            </w:tcMar>
            <w:hideMark/>
          </w:tcPr>
          <w:p w14:paraId="385F82C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86" w:type="dxa"/>
            <w:shd w:val="clear" w:color="auto" w:fill="CCECFF"/>
            <w:tcMar>
              <w:top w:w="15" w:type="dxa"/>
              <w:left w:w="0" w:type="dxa"/>
              <w:bottom w:w="0" w:type="dxa"/>
              <w:right w:w="15" w:type="dxa"/>
            </w:tcMar>
            <w:vAlign w:val="bottom"/>
            <w:hideMark/>
          </w:tcPr>
          <w:p w14:paraId="4328EE9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342" w:type="dxa"/>
            <w:shd w:val="clear" w:color="auto" w:fill="CCECFF"/>
            <w:tcMar>
              <w:top w:w="15" w:type="dxa"/>
              <w:left w:w="0" w:type="dxa"/>
              <w:bottom w:w="0" w:type="dxa"/>
              <w:right w:w="15" w:type="dxa"/>
            </w:tcMar>
            <w:hideMark/>
          </w:tcPr>
          <w:p w14:paraId="1455ED6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785D66BE" w14:textId="77777777" w:rsidTr="00AC4931">
        <w:tc>
          <w:tcPr>
            <w:tcW w:w="9349" w:type="dxa"/>
            <w:shd w:val="clear" w:color="auto" w:fill="FFFFFF"/>
            <w:tcMar>
              <w:top w:w="15" w:type="dxa"/>
              <w:left w:w="0" w:type="dxa"/>
              <w:bottom w:w="0" w:type="dxa"/>
              <w:right w:w="15" w:type="dxa"/>
            </w:tcMar>
            <w:hideMark/>
          </w:tcPr>
          <w:p w14:paraId="5AB5BF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ASP, Inc.</w:t>
            </w:r>
          </w:p>
        </w:tc>
        <w:tc>
          <w:tcPr>
            <w:tcW w:w="286" w:type="dxa"/>
            <w:shd w:val="clear" w:color="auto" w:fill="FFFFFF"/>
            <w:tcMar>
              <w:top w:w="15" w:type="dxa"/>
              <w:left w:w="0" w:type="dxa"/>
              <w:bottom w:w="0" w:type="dxa"/>
              <w:right w:w="15" w:type="dxa"/>
            </w:tcMar>
            <w:vAlign w:val="bottom"/>
            <w:hideMark/>
          </w:tcPr>
          <w:p w14:paraId="097E36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49F069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Brigham City</w:t>
            </w:r>
          </w:p>
        </w:tc>
        <w:tc>
          <w:tcPr>
            <w:tcW w:w="286" w:type="dxa"/>
            <w:shd w:val="clear" w:color="auto" w:fill="FFFFFF"/>
            <w:tcMar>
              <w:top w:w="15" w:type="dxa"/>
              <w:left w:w="0" w:type="dxa"/>
              <w:bottom w:w="0" w:type="dxa"/>
              <w:right w:w="15" w:type="dxa"/>
            </w:tcMar>
            <w:vAlign w:val="bottom"/>
            <w:hideMark/>
          </w:tcPr>
          <w:p w14:paraId="271701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38B122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inflators</w:t>
            </w:r>
          </w:p>
        </w:tc>
        <w:tc>
          <w:tcPr>
            <w:tcW w:w="286" w:type="dxa"/>
            <w:shd w:val="clear" w:color="auto" w:fill="FFFFFF"/>
            <w:tcMar>
              <w:top w:w="15" w:type="dxa"/>
              <w:left w:w="0" w:type="dxa"/>
              <w:bottom w:w="0" w:type="dxa"/>
              <w:right w:w="15" w:type="dxa"/>
            </w:tcMar>
            <w:vAlign w:val="bottom"/>
            <w:hideMark/>
          </w:tcPr>
          <w:p w14:paraId="7E9221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4717D544"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bl>
    <w:p w14:paraId="323B8D72"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p w14:paraId="31AE2329"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087A01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E15045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7547F15"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0C10C8C">
          <v:rect id="_x0000_i1048" style="width:0;height:1.5pt" o:hralign="center" o:hrstd="t" o:hrnoshade="t" o:hr="t" fillcolor="black" stroked="f"/>
        </w:pict>
      </w:r>
    </w:p>
    <w:p w14:paraId="3F9C2936"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4E5DBA0"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1276F4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tbl>
      <w:tblPr>
        <w:tblW w:w="20614" w:type="dxa"/>
        <w:tblCellMar>
          <w:left w:w="0" w:type="dxa"/>
          <w:right w:w="0" w:type="dxa"/>
        </w:tblCellMar>
        <w:tblLook w:val="04A0" w:firstRow="1" w:lastRow="0" w:firstColumn="1" w:lastColumn="0" w:noHBand="0" w:noVBand="1"/>
      </w:tblPr>
      <w:tblGrid>
        <w:gridCol w:w="9398"/>
        <w:gridCol w:w="287"/>
        <w:gridCol w:w="3171"/>
        <w:gridCol w:w="287"/>
        <w:gridCol w:w="4830"/>
        <w:gridCol w:w="287"/>
        <w:gridCol w:w="2354"/>
      </w:tblGrid>
      <w:tr w:rsidR="00AC4931" w:rsidRPr="00AC4931" w14:paraId="28EEC78A" w14:textId="77777777" w:rsidTr="00AC4931">
        <w:tc>
          <w:tcPr>
            <w:tcW w:w="9349" w:type="dxa"/>
            <w:shd w:val="clear" w:color="auto" w:fill="FFFFFF"/>
            <w:tcMar>
              <w:top w:w="15" w:type="dxa"/>
              <w:left w:w="0" w:type="dxa"/>
              <w:bottom w:w="0" w:type="dxa"/>
              <w:right w:w="15" w:type="dxa"/>
            </w:tcMar>
            <w:hideMark/>
          </w:tcPr>
          <w:p w14:paraId="40E3DA31" w14:textId="77777777" w:rsidR="00AC4931" w:rsidRPr="00AC4931" w:rsidRDefault="00AC4931" w:rsidP="00AC4931">
            <w:pPr>
              <w:widowControl/>
              <w:jc w:val="left"/>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003671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43BB83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Ogden</w:t>
            </w:r>
          </w:p>
        </w:tc>
        <w:tc>
          <w:tcPr>
            <w:tcW w:w="286" w:type="dxa"/>
            <w:shd w:val="clear" w:color="auto" w:fill="FFFFFF"/>
            <w:tcMar>
              <w:top w:w="15" w:type="dxa"/>
              <w:left w:w="0" w:type="dxa"/>
              <w:bottom w:w="0" w:type="dxa"/>
              <w:right w:w="15" w:type="dxa"/>
            </w:tcMar>
            <w:vAlign w:val="bottom"/>
            <w:hideMark/>
          </w:tcPr>
          <w:p w14:paraId="0BB773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17E4E2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w:t>
            </w:r>
          </w:p>
        </w:tc>
        <w:tc>
          <w:tcPr>
            <w:tcW w:w="286" w:type="dxa"/>
            <w:shd w:val="clear" w:color="auto" w:fill="FFFFFF"/>
            <w:tcMar>
              <w:top w:w="15" w:type="dxa"/>
              <w:left w:w="0" w:type="dxa"/>
              <w:bottom w:w="0" w:type="dxa"/>
              <w:right w:w="15" w:type="dxa"/>
            </w:tcMar>
            <w:vAlign w:val="bottom"/>
            <w:hideMark/>
          </w:tcPr>
          <w:p w14:paraId="42DA62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4F0FB710"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5D907753" w14:textId="77777777" w:rsidTr="00AC4931">
        <w:tc>
          <w:tcPr>
            <w:tcW w:w="9349" w:type="dxa"/>
            <w:shd w:val="clear" w:color="auto" w:fill="FFFFFF"/>
            <w:tcMar>
              <w:top w:w="15" w:type="dxa"/>
              <w:left w:w="0" w:type="dxa"/>
              <w:bottom w:w="0" w:type="dxa"/>
              <w:right w:w="15" w:type="dxa"/>
            </w:tcMar>
            <w:hideMark/>
          </w:tcPr>
          <w:p w14:paraId="6B69D4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55FA8A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07943B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Ogden</w:t>
            </w:r>
          </w:p>
        </w:tc>
        <w:tc>
          <w:tcPr>
            <w:tcW w:w="286" w:type="dxa"/>
            <w:shd w:val="clear" w:color="auto" w:fill="FFFFFF"/>
            <w:tcMar>
              <w:top w:w="15" w:type="dxa"/>
              <w:left w:w="0" w:type="dxa"/>
              <w:bottom w:w="0" w:type="dxa"/>
              <w:right w:w="15" w:type="dxa"/>
            </w:tcMar>
            <w:vAlign w:val="bottom"/>
            <w:hideMark/>
          </w:tcPr>
          <w:p w14:paraId="5CC775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6AEEC3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and service parts</w:t>
            </w:r>
          </w:p>
        </w:tc>
        <w:tc>
          <w:tcPr>
            <w:tcW w:w="286" w:type="dxa"/>
            <w:shd w:val="clear" w:color="auto" w:fill="FFFFFF"/>
            <w:tcMar>
              <w:top w:w="15" w:type="dxa"/>
              <w:left w:w="0" w:type="dxa"/>
              <w:bottom w:w="0" w:type="dxa"/>
              <w:right w:w="15" w:type="dxa"/>
            </w:tcMar>
            <w:vAlign w:val="bottom"/>
            <w:hideMark/>
          </w:tcPr>
          <w:p w14:paraId="64CB5D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68C80C65"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Leased</w:t>
            </w:r>
          </w:p>
        </w:tc>
      </w:tr>
      <w:tr w:rsidR="00AC4931" w:rsidRPr="00AC4931" w14:paraId="6CF220DC" w14:textId="77777777" w:rsidTr="00AC4931">
        <w:tc>
          <w:tcPr>
            <w:tcW w:w="9349" w:type="dxa"/>
            <w:shd w:val="clear" w:color="auto" w:fill="FFFFFF"/>
            <w:tcMar>
              <w:top w:w="15" w:type="dxa"/>
              <w:left w:w="0" w:type="dxa"/>
              <w:bottom w:w="0" w:type="dxa"/>
              <w:right w:w="15" w:type="dxa"/>
            </w:tcMar>
            <w:hideMark/>
          </w:tcPr>
          <w:p w14:paraId="0A3E95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1E0A78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12C5F9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Promontory</w:t>
            </w:r>
          </w:p>
        </w:tc>
        <w:tc>
          <w:tcPr>
            <w:tcW w:w="286" w:type="dxa"/>
            <w:shd w:val="clear" w:color="auto" w:fill="FFFFFF"/>
            <w:tcMar>
              <w:top w:w="15" w:type="dxa"/>
              <w:left w:w="0" w:type="dxa"/>
              <w:bottom w:w="0" w:type="dxa"/>
              <w:right w:w="15" w:type="dxa"/>
            </w:tcMar>
            <w:vAlign w:val="bottom"/>
            <w:hideMark/>
          </w:tcPr>
          <w:p w14:paraId="500512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6D9F35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Propellant</w:t>
            </w:r>
          </w:p>
        </w:tc>
        <w:tc>
          <w:tcPr>
            <w:tcW w:w="286" w:type="dxa"/>
            <w:shd w:val="clear" w:color="auto" w:fill="FFFFFF"/>
            <w:tcMar>
              <w:top w:w="15" w:type="dxa"/>
              <w:left w:w="0" w:type="dxa"/>
              <w:bottom w:w="0" w:type="dxa"/>
              <w:right w:w="15" w:type="dxa"/>
            </w:tcMar>
            <w:vAlign w:val="bottom"/>
            <w:hideMark/>
          </w:tcPr>
          <w:p w14:paraId="0FD2AD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204407F6"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r w:rsidR="00AC4931" w:rsidRPr="00AC4931" w14:paraId="6B496BE0" w14:textId="77777777" w:rsidTr="00AC4931">
        <w:tc>
          <w:tcPr>
            <w:tcW w:w="9349" w:type="dxa"/>
            <w:shd w:val="clear" w:color="auto" w:fill="FFFFFF"/>
            <w:tcMar>
              <w:top w:w="15" w:type="dxa"/>
              <w:left w:w="0" w:type="dxa"/>
              <w:bottom w:w="0" w:type="dxa"/>
              <w:right w:w="15" w:type="dxa"/>
            </w:tcMar>
            <w:hideMark/>
          </w:tcPr>
          <w:p w14:paraId="1FE396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86" w:type="dxa"/>
            <w:shd w:val="clear" w:color="auto" w:fill="FFFFFF"/>
            <w:tcMar>
              <w:top w:w="15" w:type="dxa"/>
              <w:left w:w="0" w:type="dxa"/>
              <w:bottom w:w="0" w:type="dxa"/>
              <w:right w:w="15" w:type="dxa"/>
            </w:tcMar>
            <w:vAlign w:val="bottom"/>
            <w:hideMark/>
          </w:tcPr>
          <w:p w14:paraId="791098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hideMark/>
          </w:tcPr>
          <w:p w14:paraId="0CAC64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Tremonton</w:t>
            </w:r>
          </w:p>
        </w:tc>
        <w:tc>
          <w:tcPr>
            <w:tcW w:w="286" w:type="dxa"/>
            <w:shd w:val="clear" w:color="auto" w:fill="FFFFFF"/>
            <w:tcMar>
              <w:top w:w="15" w:type="dxa"/>
              <w:left w:w="0" w:type="dxa"/>
              <w:bottom w:w="0" w:type="dxa"/>
              <w:right w:w="15" w:type="dxa"/>
            </w:tcMar>
            <w:vAlign w:val="bottom"/>
            <w:hideMark/>
          </w:tcPr>
          <w:p w14:paraId="4C8FB9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805" w:type="dxa"/>
            <w:shd w:val="clear" w:color="auto" w:fill="FFFFFF"/>
            <w:tcMar>
              <w:top w:w="15" w:type="dxa"/>
              <w:left w:w="0" w:type="dxa"/>
              <w:bottom w:w="0" w:type="dxa"/>
              <w:right w:w="15" w:type="dxa"/>
            </w:tcMar>
            <w:hideMark/>
          </w:tcPr>
          <w:p w14:paraId="40D22E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initiators and seatbelt micro gas generators</w:t>
            </w:r>
          </w:p>
        </w:tc>
        <w:tc>
          <w:tcPr>
            <w:tcW w:w="286" w:type="dxa"/>
            <w:shd w:val="clear" w:color="auto" w:fill="FFFFFF"/>
            <w:tcMar>
              <w:top w:w="15" w:type="dxa"/>
              <w:left w:w="0" w:type="dxa"/>
              <w:bottom w:w="0" w:type="dxa"/>
              <w:right w:w="15" w:type="dxa"/>
            </w:tcMar>
            <w:vAlign w:val="bottom"/>
            <w:hideMark/>
          </w:tcPr>
          <w:p w14:paraId="5A5E62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42" w:type="dxa"/>
            <w:shd w:val="clear" w:color="auto" w:fill="FFFFFF"/>
            <w:tcMar>
              <w:top w:w="15" w:type="dxa"/>
              <w:left w:w="0" w:type="dxa"/>
              <w:bottom w:w="0" w:type="dxa"/>
              <w:right w:w="15" w:type="dxa"/>
            </w:tcMar>
            <w:hideMark/>
          </w:tcPr>
          <w:p w14:paraId="71E4A2E0"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Owned</w:t>
            </w:r>
          </w:p>
        </w:tc>
      </w:tr>
    </w:tbl>
    <w:p w14:paraId="7ABC5DFE" w14:textId="77777777" w:rsidR="00AC4931" w:rsidRPr="00AC4931" w:rsidRDefault="00AC4931" w:rsidP="00AC4931">
      <w:pPr>
        <w:widowControl/>
        <w:jc w:val="left"/>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8713"/>
        <w:gridCol w:w="356"/>
        <w:gridCol w:w="3882"/>
        <w:gridCol w:w="356"/>
        <w:gridCol w:w="7307"/>
      </w:tblGrid>
      <w:tr w:rsidR="00AC4931" w:rsidRPr="00AC4931" w14:paraId="611E8023" w14:textId="77777777" w:rsidTr="00AC4931">
        <w:tc>
          <w:tcPr>
            <w:tcW w:w="20599" w:type="dxa"/>
            <w:gridSpan w:val="5"/>
            <w:shd w:val="clear" w:color="auto" w:fill="FFFFFF"/>
            <w:tcMar>
              <w:top w:w="15" w:type="dxa"/>
              <w:left w:w="0" w:type="dxa"/>
              <w:bottom w:w="0" w:type="dxa"/>
              <w:right w:w="15" w:type="dxa"/>
            </w:tcMar>
            <w:vAlign w:val="bottom"/>
            <w:hideMark/>
          </w:tcPr>
          <w:p w14:paraId="276ECF96" w14:textId="77777777" w:rsidR="00AC4931" w:rsidRPr="00AC4931" w:rsidRDefault="00AC4931" w:rsidP="00AC4931">
            <w:pPr>
              <w:widowControl/>
              <w:jc w:val="center"/>
              <w:rPr>
                <w:rFonts w:ascii="Arial" w:eastAsia="宋体" w:hAnsi="Arial" w:cs="Arial" w:hint="eastAsia"/>
                <w:b/>
                <w:bCs/>
                <w:i/>
                <w:iCs/>
                <w:color w:val="000000"/>
                <w:kern w:val="0"/>
                <w:sz w:val="18"/>
                <w:szCs w:val="18"/>
              </w:rPr>
            </w:pPr>
            <w:r w:rsidRPr="00AC4931">
              <w:rPr>
                <w:rFonts w:ascii="Arial" w:eastAsia="宋体" w:hAnsi="Arial" w:cs="Arial"/>
                <w:b/>
                <w:bCs/>
                <w:i/>
                <w:iCs/>
                <w:color w:val="000000"/>
                <w:kern w:val="0"/>
                <w:sz w:val="18"/>
                <w:szCs w:val="18"/>
              </w:rPr>
              <w:t>AUTOLIV TECHNICAL CENTERS AND CRASH TEST TRACKS</w:t>
            </w:r>
          </w:p>
        </w:tc>
      </w:tr>
      <w:tr w:rsidR="00AC4931" w:rsidRPr="00AC4931" w14:paraId="592440B8" w14:textId="77777777" w:rsidTr="00AC4931">
        <w:tc>
          <w:tcPr>
            <w:tcW w:w="8706" w:type="dxa"/>
            <w:shd w:val="clear" w:color="auto" w:fill="FFFFFF"/>
            <w:tcMar>
              <w:top w:w="15" w:type="dxa"/>
              <w:left w:w="0" w:type="dxa"/>
              <w:bottom w:w="0" w:type="dxa"/>
              <w:right w:w="15" w:type="dxa"/>
            </w:tcMar>
            <w:vAlign w:val="bottom"/>
            <w:hideMark/>
          </w:tcPr>
          <w:p w14:paraId="6A26A5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67B9DA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vAlign w:val="bottom"/>
            <w:hideMark/>
          </w:tcPr>
          <w:p w14:paraId="5FF134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43833A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vAlign w:val="bottom"/>
            <w:hideMark/>
          </w:tcPr>
          <w:p w14:paraId="1C6E93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D0DF972" w14:textId="77777777" w:rsidTr="00AC4931">
        <w:tc>
          <w:tcPr>
            <w:tcW w:w="8706" w:type="dxa"/>
            <w:tcBorders>
              <w:bottom w:val="single" w:sz="6" w:space="0" w:color="000000"/>
            </w:tcBorders>
            <w:shd w:val="clear" w:color="auto" w:fill="FFFFFF"/>
            <w:tcMar>
              <w:top w:w="15" w:type="dxa"/>
              <w:left w:w="0" w:type="dxa"/>
              <w:bottom w:w="0" w:type="dxa"/>
              <w:right w:w="15" w:type="dxa"/>
            </w:tcMar>
            <w:vAlign w:val="bottom"/>
            <w:hideMark/>
          </w:tcPr>
          <w:p w14:paraId="5ED3A9C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Country/Company</w:t>
            </w:r>
          </w:p>
        </w:tc>
        <w:tc>
          <w:tcPr>
            <w:tcW w:w="356" w:type="dxa"/>
            <w:shd w:val="clear" w:color="auto" w:fill="FFFFFF"/>
            <w:tcMar>
              <w:top w:w="15" w:type="dxa"/>
              <w:left w:w="0" w:type="dxa"/>
              <w:bottom w:w="0" w:type="dxa"/>
              <w:right w:w="15" w:type="dxa"/>
            </w:tcMar>
            <w:vAlign w:val="bottom"/>
            <w:hideMark/>
          </w:tcPr>
          <w:p w14:paraId="79246C4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879" w:type="dxa"/>
            <w:tcBorders>
              <w:bottom w:val="single" w:sz="6" w:space="0" w:color="000000"/>
            </w:tcBorders>
            <w:shd w:val="clear" w:color="auto" w:fill="FFFFFF"/>
            <w:tcMar>
              <w:top w:w="15" w:type="dxa"/>
              <w:left w:w="0" w:type="dxa"/>
              <w:bottom w:w="0" w:type="dxa"/>
              <w:right w:w="15" w:type="dxa"/>
            </w:tcMar>
            <w:vAlign w:val="bottom"/>
            <w:hideMark/>
          </w:tcPr>
          <w:p w14:paraId="055B338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Location</w:t>
            </w:r>
          </w:p>
        </w:tc>
        <w:tc>
          <w:tcPr>
            <w:tcW w:w="356" w:type="dxa"/>
            <w:shd w:val="clear" w:color="auto" w:fill="FFFFFF"/>
            <w:tcMar>
              <w:top w:w="15" w:type="dxa"/>
              <w:left w:w="0" w:type="dxa"/>
              <w:bottom w:w="0" w:type="dxa"/>
              <w:right w:w="15" w:type="dxa"/>
            </w:tcMar>
            <w:vAlign w:val="bottom"/>
            <w:hideMark/>
          </w:tcPr>
          <w:p w14:paraId="16D51B4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7242" w:type="dxa"/>
            <w:tcBorders>
              <w:bottom w:val="single" w:sz="6" w:space="0" w:color="000000"/>
            </w:tcBorders>
            <w:shd w:val="clear" w:color="auto" w:fill="FFFFFF"/>
            <w:tcMar>
              <w:top w:w="15" w:type="dxa"/>
              <w:left w:w="0" w:type="dxa"/>
              <w:bottom w:w="0" w:type="dxa"/>
              <w:right w:w="15" w:type="dxa"/>
            </w:tcMar>
            <w:vAlign w:val="bottom"/>
            <w:hideMark/>
          </w:tcPr>
          <w:p w14:paraId="0883A2E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Product(s) supported</w:t>
            </w:r>
          </w:p>
        </w:tc>
      </w:tr>
      <w:tr w:rsidR="00AC4931" w:rsidRPr="00AC4931" w14:paraId="624C51A5" w14:textId="77777777" w:rsidTr="00AC4931">
        <w:tc>
          <w:tcPr>
            <w:tcW w:w="8706" w:type="dxa"/>
            <w:tcBorders>
              <w:top w:val="single" w:sz="6" w:space="0" w:color="000000"/>
            </w:tcBorders>
            <w:shd w:val="clear" w:color="auto" w:fill="CCECFF"/>
            <w:tcMar>
              <w:top w:w="15" w:type="dxa"/>
              <w:left w:w="0" w:type="dxa"/>
              <w:bottom w:w="0" w:type="dxa"/>
              <w:right w:w="15" w:type="dxa"/>
            </w:tcMar>
            <w:hideMark/>
          </w:tcPr>
          <w:p w14:paraId="5C276FB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China</w:t>
            </w:r>
          </w:p>
        </w:tc>
        <w:tc>
          <w:tcPr>
            <w:tcW w:w="356" w:type="dxa"/>
            <w:shd w:val="clear" w:color="auto" w:fill="CCECFF"/>
            <w:tcMar>
              <w:top w:w="15" w:type="dxa"/>
              <w:left w:w="0" w:type="dxa"/>
              <w:bottom w:w="0" w:type="dxa"/>
              <w:right w:w="15" w:type="dxa"/>
            </w:tcMar>
            <w:vAlign w:val="bottom"/>
            <w:hideMark/>
          </w:tcPr>
          <w:p w14:paraId="6FF5AF7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79" w:type="dxa"/>
            <w:tcBorders>
              <w:top w:val="single" w:sz="6" w:space="0" w:color="000000"/>
            </w:tcBorders>
            <w:shd w:val="clear" w:color="auto" w:fill="CCECFF"/>
            <w:tcMar>
              <w:top w:w="15" w:type="dxa"/>
              <w:left w:w="0" w:type="dxa"/>
              <w:bottom w:w="0" w:type="dxa"/>
              <w:right w:w="15" w:type="dxa"/>
            </w:tcMar>
            <w:hideMark/>
          </w:tcPr>
          <w:p w14:paraId="3F5A8A2E"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56" w:type="dxa"/>
            <w:shd w:val="clear" w:color="auto" w:fill="CCECFF"/>
            <w:tcMar>
              <w:top w:w="15" w:type="dxa"/>
              <w:left w:w="0" w:type="dxa"/>
              <w:bottom w:w="0" w:type="dxa"/>
              <w:right w:w="15" w:type="dxa"/>
            </w:tcMar>
            <w:vAlign w:val="bottom"/>
            <w:hideMark/>
          </w:tcPr>
          <w:p w14:paraId="0F73E80C"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7242" w:type="dxa"/>
            <w:tcBorders>
              <w:top w:val="single" w:sz="6" w:space="0" w:color="000000"/>
            </w:tcBorders>
            <w:shd w:val="clear" w:color="auto" w:fill="CCECFF"/>
            <w:tcMar>
              <w:top w:w="15" w:type="dxa"/>
              <w:left w:w="0" w:type="dxa"/>
              <w:bottom w:w="0" w:type="dxa"/>
              <w:right w:w="15" w:type="dxa"/>
            </w:tcMar>
            <w:hideMark/>
          </w:tcPr>
          <w:p w14:paraId="6C99C5F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5C16FBDD" w14:textId="77777777" w:rsidTr="00AC4931">
        <w:tc>
          <w:tcPr>
            <w:tcW w:w="8706" w:type="dxa"/>
            <w:shd w:val="clear" w:color="auto" w:fill="FFFFFF"/>
            <w:tcMar>
              <w:top w:w="15" w:type="dxa"/>
              <w:left w:w="0" w:type="dxa"/>
              <w:bottom w:w="0" w:type="dxa"/>
              <w:right w:w="15" w:type="dxa"/>
            </w:tcMar>
            <w:hideMark/>
          </w:tcPr>
          <w:p w14:paraId="24E51A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(Shanghai) Vehicle Safety System Technical Center Co., Ltd.</w:t>
            </w:r>
          </w:p>
        </w:tc>
        <w:tc>
          <w:tcPr>
            <w:tcW w:w="356" w:type="dxa"/>
            <w:shd w:val="clear" w:color="auto" w:fill="FFFFFF"/>
            <w:tcMar>
              <w:top w:w="15" w:type="dxa"/>
              <w:left w:w="0" w:type="dxa"/>
              <w:bottom w:w="0" w:type="dxa"/>
              <w:right w:w="15" w:type="dxa"/>
            </w:tcMar>
            <w:vAlign w:val="bottom"/>
            <w:hideMark/>
          </w:tcPr>
          <w:p w14:paraId="043E5D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6798F0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Shanghai</w:t>
            </w:r>
          </w:p>
        </w:tc>
        <w:tc>
          <w:tcPr>
            <w:tcW w:w="356" w:type="dxa"/>
            <w:shd w:val="clear" w:color="auto" w:fill="FFFFFF"/>
            <w:tcMar>
              <w:top w:w="15" w:type="dxa"/>
              <w:left w:w="0" w:type="dxa"/>
              <w:bottom w:w="0" w:type="dxa"/>
              <w:right w:w="15" w:type="dxa"/>
            </w:tcMar>
            <w:vAlign w:val="bottom"/>
            <w:hideMark/>
          </w:tcPr>
          <w:p w14:paraId="713EE5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14FD7F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and seatbelts customer applications and platform development with full-scale test laboratory</w:t>
            </w:r>
          </w:p>
        </w:tc>
      </w:tr>
      <w:tr w:rsidR="00AC4931" w:rsidRPr="00AC4931" w14:paraId="407DC064" w14:textId="77777777" w:rsidTr="00AC4931">
        <w:tc>
          <w:tcPr>
            <w:tcW w:w="8706" w:type="dxa"/>
            <w:shd w:val="clear" w:color="auto" w:fill="FFFFFF"/>
            <w:tcMar>
              <w:top w:w="15" w:type="dxa"/>
              <w:left w:w="0" w:type="dxa"/>
              <w:bottom w:w="0" w:type="dxa"/>
              <w:right w:w="15" w:type="dxa"/>
            </w:tcMar>
            <w:hideMark/>
          </w:tcPr>
          <w:p w14:paraId="78C931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596D17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491BE8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4EB48A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7F216D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73B26A6" w14:textId="77777777" w:rsidTr="00AC4931">
        <w:tc>
          <w:tcPr>
            <w:tcW w:w="8706" w:type="dxa"/>
            <w:shd w:val="clear" w:color="auto" w:fill="CCECFF"/>
            <w:tcMar>
              <w:top w:w="15" w:type="dxa"/>
              <w:left w:w="0" w:type="dxa"/>
              <w:bottom w:w="0" w:type="dxa"/>
              <w:right w:w="15" w:type="dxa"/>
            </w:tcMar>
            <w:hideMark/>
          </w:tcPr>
          <w:p w14:paraId="334A864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France</w:t>
            </w:r>
          </w:p>
        </w:tc>
        <w:tc>
          <w:tcPr>
            <w:tcW w:w="356" w:type="dxa"/>
            <w:shd w:val="clear" w:color="auto" w:fill="CCECFF"/>
            <w:tcMar>
              <w:top w:w="15" w:type="dxa"/>
              <w:left w:w="0" w:type="dxa"/>
              <w:bottom w:w="0" w:type="dxa"/>
              <w:right w:w="15" w:type="dxa"/>
            </w:tcMar>
            <w:vAlign w:val="bottom"/>
            <w:hideMark/>
          </w:tcPr>
          <w:p w14:paraId="4D0E5CB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79" w:type="dxa"/>
            <w:shd w:val="clear" w:color="auto" w:fill="CCECFF"/>
            <w:tcMar>
              <w:top w:w="15" w:type="dxa"/>
              <w:left w:w="0" w:type="dxa"/>
              <w:bottom w:w="0" w:type="dxa"/>
              <w:right w:w="15" w:type="dxa"/>
            </w:tcMar>
            <w:hideMark/>
          </w:tcPr>
          <w:p w14:paraId="3B0782D1"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56" w:type="dxa"/>
            <w:shd w:val="clear" w:color="auto" w:fill="CCECFF"/>
            <w:tcMar>
              <w:top w:w="15" w:type="dxa"/>
              <w:left w:w="0" w:type="dxa"/>
              <w:bottom w:w="0" w:type="dxa"/>
              <w:right w:w="15" w:type="dxa"/>
            </w:tcMar>
            <w:vAlign w:val="bottom"/>
            <w:hideMark/>
          </w:tcPr>
          <w:p w14:paraId="2A32577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7242" w:type="dxa"/>
            <w:shd w:val="clear" w:color="auto" w:fill="CCECFF"/>
            <w:tcMar>
              <w:top w:w="15" w:type="dxa"/>
              <w:left w:w="0" w:type="dxa"/>
              <w:bottom w:w="0" w:type="dxa"/>
              <w:right w:w="15" w:type="dxa"/>
            </w:tcMar>
            <w:hideMark/>
          </w:tcPr>
          <w:p w14:paraId="6851DA93"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6D6EB161" w14:textId="77777777" w:rsidTr="00AC4931">
        <w:tc>
          <w:tcPr>
            <w:tcW w:w="8706" w:type="dxa"/>
            <w:shd w:val="clear" w:color="auto" w:fill="FFFFFF"/>
            <w:tcMar>
              <w:top w:w="15" w:type="dxa"/>
              <w:left w:w="0" w:type="dxa"/>
              <w:bottom w:w="0" w:type="dxa"/>
              <w:right w:w="15" w:type="dxa"/>
            </w:tcMar>
            <w:hideMark/>
          </w:tcPr>
          <w:p w14:paraId="234681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France SNC</w:t>
            </w:r>
          </w:p>
        </w:tc>
        <w:tc>
          <w:tcPr>
            <w:tcW w:w="356" w:type="dxa"/>
            <w:shd w:val="clear" w:color="auto" w:fill="FFFFFF"/>
            <w:tcMar>
              <w:top w:w="15" w:type="dxa"/>
              <w:left w:w="0" w:type="dxa"/>
              <w:bottom w:w="0" w:type="dxa"/>
              <w:right w:w="15" w:type="dxa"/>
            </w:tcMar>
            <w:vAlign w:val="bottom"/>
            <w:hideMark/>
          </w:tcPr>
          <w:p w14:paraId="62EA90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5BAC30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Gournay-en-Bray</w:t>
            </w:r>
          </w:p>
        </w:tc>
        <w:tc>
          <w:tcPr>
            <w:tcW w:w="356" w:type="dxa"/>
            <w:shd w:val="clear" w:color="auto" w:fill="FFFFFF"/>
            <w:tcMar>
              <w:top w:w="15" w:type="dxa"/>
              <w:left w:w="0" w:type="dxa"/>
              <w:bottom w:w="0" w:type="dxa"/>
              <w:right w:w="15" w:type="dxa"/>
            </w:tcMar>
            <w:vAlign w:val="bottom"/>
            <w:hideMark/>
          </w:tcPr>
          <w:p w14:paraId="77C6DA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22C7FE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and seatbelts customer applications and platform development with full-scale test laboratory</w:t>
            </w:r>
          </w:p>
        </w:tc>
      </w:tr>
      <w:tr w:rsidR="00AC4931" w:rsidRPr="00AC4931" w14:paraId="1CA4DE92" w14:textId="77777777" w:rsidTr="00AC4931">
        <w:tc>
          <w:tcPr>
            <w:tcW w:w="8706" w:type="dxa"/>
            <w:shd w:val="clear" w:color="auto" w:fill="FFFFFF"/>
            <w:tcMar>
              <w:top w:w="15" w:type="dxa"/>
              <w:left w:w="0" w:type="dxa"/>
              <w:bottom w:w="0" w:type="dxa"/>
              <w:right w:w="15" w:type="dxa"/>
            </w:tcMar>
            <w:hideMark/>
          </w:tcPr>
          <w:p w14:paraId="4A97B6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Livbag SAS</w:t>
            </w:r>
          </w:p>
        </w:tc>
        <w:tc>
          <w:tcPr>
            <w:tcW w:w="356" w:type="dxa"/>
            <w:shd w:val="clear" w:color="auto" w:fill="FFFFFF"/>
            <w:tcMar>
              <w:top w:w="15" w:type="dxa"/>
              <w:left w:w="0" w:type="dxa"/>
              <w:bottom w:w="0" w:type="dxa"/>
              <w:right w:w="15" w:type="dxa"/>
            </w:tcMar>
            <w:vAlign w:val="bottom"/>
            <w:hideMark/>
          </w:tcPr>
          <w:p w14:paraId="393F15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4439B9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Pont-de-Buis</w:t>
            </w:r>
          </w:p>
        </w:tc>
        <w:tc>
          <w:tcPr>
            <w:tcW w:w="356" w:type="dxa"/>
            <w:shd w:val="clear" w:color="auto" w:fill="FFFFFF"/>
            <w:tcMar>
              <w:top w:w="15" w:type="dxa"/>
              <w:left w:w="0" w:type="dxa"/>
              <w:bottom w:w="0" w:type="dxa"/>
              <w:right w:w="15" w:type="dxa"/>
            </w:tcMar>
            <w:vAlign w:val="bottom"/>
            <w:hideMark/>
          </w:tcPr>
          <w:p w14:paraId="7585ED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2DEA9D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Inflator and pyrotechnic development</w:t>
            </w:r>
          </w:p>
        </w:tc>
      </w:tr>
      <w:tr w:rsidR="00AC4931" w:rsidRPr="00AC4931" w14:paraId="3B837C4E" w14:textId="77777777" w:rsidTr="00AC4931">
        <w:tc>
          <w:tcPr>
            <w:tcW w:w="8706" w:type="dxa"/>
            <w:shd w:val="clear" w:color="auto" w:fill="FFFFFF"/>
            <w:tcMar>
              <w:top w:w="15" w:type="dxa"/>
              <w:left w:w="0" w:type="dxa"/>
              <w:bottom w:w="0" w:type="dxa"/>
              <w:right w:w="15" w:type="dxa"/>
            </w:tcMar>
            <w:hideMark/>
          </w:tcPr>
          <w:p w14:paraId="7BFB47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 </w:t>
            </w:r>
          </w:p>
        </w:tc>
        <w:tc>
          <w:tcPr>
            <w:tcW w:w="356" w:type="dxa"/>
            <w:shd w:val="clear" w:color="auto" w:fill="FFFFFF"/>
            <w:tcMar>
              <w:top w:w="15" w:type="dxa"/>
              <w:left w:w="0" w:type="dxa"/>
              <w:bottom w:w="0" w:type="dxa"/>
              <w:right w:w="15" w:type="dxa"/>
            </w:tcMar>
            <w:vAlign w:val="bottom"/>
            <w:hideMark/>
          </w:tcPr>
          <w:p w14:paraId="71EC35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0DCDAD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2694F2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3B3356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87A97F4" w14:textId="77777777" w:rsidTr="00AC4931">
        <w:tc>
          <w:tcPr>
            <w:tcW w:w="8706" w:type="dxa"/>
            <w:shd w:val="clear" w:color="auto" w:fill="CCECFF"/>
            <w:tcMar>
              <w:top w:w="15" w:type="dxa"/>
              <w:left w:w="0" w:type="dxa"/>
              <w:bottom w:w="0" w:type="dxa"/>
              <w:right w:w="15" w:type="dxa"/>
            </w:tcMar>
            <w:hideMark/>
          </w:tcPr>
          <w:p w14:paraId="3E44811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Germany</w:t>
            </w:r>
          </w:p>
        </w:tc>
        <w:tc>
          <w:tcPr>
            <w:tcW w:w="356" w:type="dxa"/>
            <w:shd w:val="clear" w:color="auto" w:fill="CCECFF"/>
            <w:tcMar>
              <w:top w:w="15" w:type="dxa"/>
              <w:left w:w="0" w:type="dxa"/>
              <w:bottom w:w="0" w:type="dxa"/>
              <w:right w:w="15" w:type="dxa"/>
            </w:tcMar>
            <w:vAlign w:val="bottom"/>
            <w:hideMark/>
          </w:tcPr>
          <w:p w14:paraId="651A525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79" w:type="dxa"/>
            <w:shd w:val="clear" w:color="auto" w:fill="CCECFF"/>
            <w:tcMar>
              <w:top w:w="15" w:type="dxa"/>
              <w:left w:w="0" w:type="dxa"/>
              <w:bottom w:w="0" w:type="dxa"/>
              <w:right w:w="15" w:type="dxa"/>
            </w:tcMar>
            <w:hideMark/>
          </w:tcPr>
          <w:p w14:paraId="3DD673EE"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56" w:type="dxa"/>
            <w:shd w:val="clear" w:color="auto" w:fill="CCECFF"/>
            <w:tcMar>
              <w:top w:w="15" w:type="dxa"/>
              <w:left w:w="0" w:type="dxa"/>
              <w:bottom w:w="0" w:type="dxa"/>
              <w:right w:w="15" w:type="dxa"/>
            </w:tcMar>
            <w:vAlign w:val="bottom"/>
            <w:hideMark/>
          </w:tcPr>
          <w:p w14:paraId="672A4980"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7242" w:type="dxa"/>
            <w:shd w:val="clear" w:color="auto" w:fill="CCECFF"/>
            <w:tcMar>
              <w:top w:w="15" w:type="dxa"/>
              <w:left w:w="0" w:type="dxa"/>
              <w:bottom w:w="0" w:type="dxa"/>
              <w:right w:w="15" w:type="dxa"/>
            </w:tcMar>
            <w:hideMark/>
          </w:tcPr>
          <w:p w14:paraId="5C529DBF"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373C8CB4" w14:textId="77777777" w:rsidTr="00AC4931">
        <w:tc>
          <w:tcPr>
            <w:tcW w:w="8706" w:type="dxa"/>
            <w:shd w:val="clear" w:color="auto" w:fill="FFFFFF"/>
            <w:tcMar>
              <w:top w:w="15" w:type="dxa"/>
              <w:left w:w="0" w:type="dxa"/>
              <w:bottom w:w="0" w:type="dxa"/>
              <w:right w:w="15" w:type="dxa"/>
            </w:tcMar>
            <w:hideMark/>
          </w:tcPr>
          <w:p w14:paraId="422457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B.V. &amp; Co. KG</w:t>
            </w:r>
          </w:p>
        </w:tc>
        <w:tc>
          <w:tcPr>
            <w:tcW w:w="356" w:type="dxa"/>
            <w:shd w:val="clear" w:color="auto" w:fill="FFFFFF"/>
            <w:tcMar>
              <w:top w:w="15" w:type="dxa"/>
              <w:left w:w="0" w:type="dxa"/>
              <w:bottom w:w="0" w:type="dxa"/>
              <w:right w:w="15" w:type="dxa"/>
            </w:tcMar>
            <w:vAlign w:val="bottom"/>
            <w:hideMark/>
          </w:tcPr>
          <w:p w14:paraId="073392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608FF1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Dachau</w:t>
            </w:r>
          </w:p>
        </w:tc>
        <w:tc>
          <w:tcPr>
            <w:tcW w:w="356" w:type="dxa"/>
            <w:shd w:val="clear" w:color="auto" w:fill="FFFFFF"/>
            <w:tcMar>
              <w:top w:w="15" w:type="dxa"/>
              <w:left w:w="0" w:type="dxa"/>
              <w:bottom w:w="0" w:type="dxa"/>
              <w:right w:w="15" w:type="dxa"/>
            </w:tcMar>
            <w:vAlign w:val="bottom"/>
            <w:hideMark/>
          </w:tcPr>
          <w:p w14:paraId="0D31EF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4FACE7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Customer applications and platform development, airbags with full-scale test laboratory</w:t>
            </w:r>
          </w:p>
        </w:tc>
      </w:tr>
      <w:tr w:rsidR="00AC4931" w:rsidRPr="00AC4931" w14:paraId="462ED752" w14:textId="77777777" w:rsidTr="00AC4931">
        <w:tc>
          <w:tcPr>
            <w:tcW w:w="8706" w:type="dxa"/>
            <w:shd w:val="clear" w:color="auto" w:fill="FFFFFF"/>
            <w:tcMar>
              <w:top w:w="15" w:type="dxa"/>
              <w:left w:w="0" w:type="dxa"/>
              <w:bottom w:w="0" w:type="dxa"/>
              <w:right w:w="15" w:type="dxa"/>
            </w:tcMar>
            <w:hideMark/>
          </w:tcPr>
          <w:p w14:paraId="28EEA5DE"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56" w:type="dxa"/>
            <w:shd w:val="clear" w:color="auto" w:fill="FFFFFF"/>
            <w:tcMar>
              <w:top w:w="15" w:type="dxa"/>
              <w:left w:w="0" w:type="dxa"/>
              <w:bottom w:w="0" w:type="dxa"/>
              <w:right w:w="15" w:type="dxa"/>
            </w:tcMar>
            <w:vAlign w:val="bottom"/>
            <w:hideMark/>
          </w:tcPr>
          <w:p w14:paraId="665DEC45"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879" w:type="dxa"/>
            <w:shd w:val="clear" w:color="auto" w:fill="FFFFFF"/>
            <w:tcMar>
              <w:top w:w="15" w:type="dxa"/>
              <w:left w:w="0" w:type="dxa"/>
              <w:bottom w:w="0" w:type="dxa"/>
              <w:right w:w="15" w:type="dxa"/>
            </w:tcMar>
            <w:hideMark/>
          </w:tcPr>
          <w:p w14:paraId="3C3DFC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Elmshorn</w:t>
            </w:r>
          </w:p>
        </w:tc>
        <w:tc>
          <w:tcPr>
            <w:tcW w:w="356" w:type="dxa"/>
            <w:shd w:val="clear" w:color="auto" w:fill="FFFFFF"/>
            <w:tcMar>
              <w:top w:w="15" w:type="dxa"/>
              <w:left w:w="0" w:type="dxa"/>
              <w:bottom w:w="0" w:type="dxa"/>
              <w:right w:w="15" w:type="dxa"/>
            </w:tcMar>
            <w:vAlign w:val="bottom"/>
            <w:hideMark/>
          </w:tcPr>
          <w:p w14:paraId="311A96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6408F1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with full-scale test laboratory</w:t>
            </w:r>
          </w:p>
        </w:tc>
      </w:tr>
      <w:tr w:rsidR="00AC4931" w:rsidRPr="00AC4931" w14:paraId="36DDE338" w14:textId="77777777" w:rsidTr="00AC4931">
        <w:tc>
          <w:tcPr>
            <w:tcW w:w="8706" w:type="dxa"/>
            <w:shd w:val="clear" w:color="auto" w:fill="FFFFFF"/>
            <w:tcMar>
              <w:top w:w="15" w:type="dxa"/>
              <w:left w:w="0" w:type="dxa"/>
              <w:bottom w:w="0" w:type="dxa"/>
              <w:right w:w="15" w:type="dxa"/>
            </w:tcMar>
            <w:hideMark/>
          </w:tcPr>
          <w:p w14:paraId="0E0741B4"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56" w:type="dxa"/>
            <w:shd w:val="clear" w:color="auto" w:fill="FFFFFF"/>
            <w:tcMar>
              <w:top w:w="15" w:type="dxa"/>
              <w:left w:w="0" w:type="dxa"/>
              <w:bottom w:w="0" w:type="dxa"/>
              <w:right w:w="15" w:type="dxa"/>
            </w:tcMar>
            <w:vAlign w:val="bottom"/>
            <w:hideMark/>
          </w:tcPr>
          <w:p w14:paraId="477052DC"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879" w:type="dxa"/>
            <w:shd w:val="clear" w:color="auto" w:fill="FFFFFF"/>
            <w:tcMar>
              <w:top w:w="15" w:type="dxa"/>
              <w:left w:w="0" w:type="dxa"/>
              <w:bottom w:w="0" w:type="dxa"/>
              <w:right w:w="15" w:type="dxa"/>
            </w:tcMar>
            <w:hideMark/>
          </w:tcPr>
          <w:p w14:paraId="3B278B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772B15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4AD3B5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0FD59D5" w14:textId="77777777" w:rsidTr="00AC4931">
        <w:tc>
          <w:tcPr>
            <w:tcW w:w="8706" w:type="dxa"/>
            <w:shd w:val="clear" w:color="auto" w:fill="CCECFF"/>
            <w:tcMar>
              <w:top w:w="15" w:type="dxa"/>
              <w:left w:w="0" w:type="dxa"/>
              <w:bottom w:w="0" w:type="dxa"/>
              <w:right w:w="15" w:type="dxa"/>
            </w:tcMar>
            <w:hideMark/>
          </w:tcPr>
          <w:p w14:paraId="7962BC4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India</w:t>
            </w:r>
          </w:p>
        </w:tc>
        <w:tc>
          <w:tcPr>
            <w:tcW w:w="356" w:type="dxa"/>
            <w:shd w:val="clear" w:color="auto" w:fill="CCECFF"/>
            <w:tcMar>
              <w:top w:w="15" w:type="dxa"/>
              <w:left w:w="0" w:type="dxa"/>
              <w:bottom w:w="0" w:type="dxa"/>
              <w:right w:w="15" w:type="dxa"/>
            </w:tcMar>
            <w:vAlign w:val="bottom"/>
            <w:hideMark/>
          </w:tcPr>
          <w:p w14:paraId="5BDEB17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79" w:type="dxa"/>
            <w:shd w:val="clear" w:color="auto" w:fill="CCECFF"/>
            <w:tcMar>
              <w:top w:w="15" w:type="dxa"/>
              <w:left w:w="0" w:type="dxa"/>
              <w:bottom w:w="0" w:type="dxa"/>
              <w:right w:w="15" w:type="dxa"/>
            </w:tcMar>
            <w:hideMark/>
          </w:tcPr>
          <w:p w14:paraId="094ACD78"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356" w:type="dxa"/>
            <w:shd w:val="clear" w:color="auto" w:fill="CCECFF"/>
            <w:tcMar>
              <w:top w:w="15" w:type="dxa"/>
              <w:left w:w="0" w:type="dxa"/>
              <w:bottom w:w="0" w:type="dxa"/>
              <w:right w:w="15" w:type="dxa"/>
            </w:tcMar>
            <w:vAlign w:val="bottom"/>
            <w:hideMark/>
          </w:tcPr>
          <w:p w14:paraId="15B920A8"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7242" w:type="dxa"/>
            <w:shd w:val="clear" w:color="auto" w:fill="CCECFF"/>
            <w:tcMar>
              <w:top w:w="15" w:type="dxa"/>
              <w:left w:w="0" w:type="dxa"/>
              <w:bottom w:w="0" w:type="dxa"/>
              <w:right w:w="15" w:type="dxa"/>
            </w:tcMar>
            <w:hideMark/>
          </w:tcPr>
          <w:p w14:paraId="7A26790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43165ACB" w14:textId="77777777" w:rsidTr="00AC4931">
        <w:tc>
          <w:tcPr>
            <w:tcW w:w="8706" w:type="dxa"/>
            <w:shd w:val="clear" w:color="auto" w:fill="FFFFFF"/>
            <w:tcMar>
              <w:top w:w="15" w:type="dxa"/>
              <w:left w:w="0" w:type="dxa"/>
              <w:bottom w:w="0" w:type="dxa"/>
              <w:right w:w="15" w:type="dxa"/>
            </w:tcMar>
            <w:hideMark/>
          </w:tcPr>
          <w:p w14:paraId="026C10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India Private Ltd.</w:t>
            </w:r>
          </w:p>
        </w:tc>
        <w:tc>
          <w:tcPr>
            <w:tcW w:w="356" w:type="dxa"/>
            <w:shd w:val="clear" w:color="auto" w:fill="FFFFFF"/>
            <w:tcMar>
              <w:top w:w="15" w:type="dxa"/>
              <w:left w:w="0" w:type="dxa"/>
              <w:bottom w:w="0" w:type="dxa"/>
              <w:right w:w="15" w:type="dxa"/>
            </w:tcMar>
            <w:vAlign w:val="bottom"/>
            <w:hideMark/>
          </w:tcPr>
          <w:p w14:paraId="06AFB9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1E7039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Bangalore</w:t>
            </w:r>
          </w:p>
        </w:tc>
        <w:tc>
          <w:tcPr>
            <w:tcW w:w="356" w:type="dxa"/>
            <w:shd w:val="clear" w:color="auto" w:fill="FFFFFF"/>
            <w:tcMar>
              <w:top w:w="15" w:type="dxa"/>
              <w:left w:w="0" w:type="dxa"/>
              <w:bottom w:w="0" w:type="dxa"/>
              <w:right w:w="15" w:type="dxa"/>
            </w:tcMar>
            <w:vAlign w:val="bottom"/>
            <w:hideMark/>
          </w:tcPr>
          <w:p w14:paraId="5262FA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3A21F0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and seatbelts with sled testing</w:t>
            </w:r>
          </w:p>
        </w:tc>
      </w:tr>
      <w:tr w:rsidR="00AC4931" w:rsidRPr="00AC4931" w14:paraId="1DEC5F33" w14:textId="77777777" w:rsidTr="00AC4931">
        <w:tc>
          <w:tcPr>
            <w:tcW w:w="8706" w:type="dxa"/>
            <w:shd w:val="clear" w:color="auto" w:fill="FFFFFF"/>
            <w:tcMar>
              <w:top w:w="15" w:type="dxa"/>
              <w:left w:w="0" w:type="dxa"/>
              <w:bottom w:w="0" w:type="dxa"/>
              <w:right w:w="15" w:type="dxa"/>
            </w:tcMar>
            <w:hideMark/>
          </w:tcPr>
          <w:p w14:paraId="4BA5E41A"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56" w:type="dxa"/>
            <w:shd w:val="clear" w:color="auto" w:fill="FFFFFF"/>
            <w:tcMar>
              <w:top w:w="15" w:type="dxa"/>
              <w:left w:w="0" w:type="dxa"/>
              <w:bottom w:w="0" w:type="dxa"/>
              <w:right w:w="15" w:type="dxa"/>
            </w:tcMar>
            <w:vAlign w:val="bottom"/>
            <w:hideMark/>
          </w:tcPr>
          <w:p w14:paraId="362CA8CA"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879" w:type="dxa"/>
            <w:shd w:val="clear" w:color="auto" w:fill="FFFFFF"/>
            <w:tcMar>
              <w:top w:w="15" w:type="dxa"/>
              <w:left w:w="0" w:type="dxa"/>
              <w:bottom w:w="0" w:type="dxa"/>
              <w:right w:w="15" w:type="dxa"/>
            </w:tcMar>
            <w:vAlign w:val="bottom"/>
            <w:hideMark/>
          </w:tcPr>
          <w:p w14:paraId="6A5424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38F8CC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vAlign w:val="bottom"/>
            <w:hideMark/>
          </w:tcPr>
          <w:p w14:paraId="3BD60E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9A2C79D" w14:textId="77777777" w:rsidTr="00AC4931">
        <w:tc>
          <w:tcPr>
            <w:tcW w:w="8706" w:type="dxa"/>
            <w:shd w:val="clear" w:color="auto" w:fill="CCECFF"/>
            <w:tcMar>
              <w:top w:w="15" w:type="dxa"/>
              <w:left w:w="0" w:type="dxa"/>
              <w:bottom w:w="0" w:type="dxa"/>
              <w:right w:w="15" w:type="dxa"/>
            </w:tcMar>
            <w:hideMark/>
          </w:tcPr>
          <w:p w14:paraId="100CEDB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Japan</w:t>
            </w:r>
          </w:p>
        </w:tc>
        <w:tc>
          <w:tcPr>
            <w:tcW w:w="356" w:type="dxa"/>
            <w:shd w:val="clear" w:color="auto" w:fill="CCECFF"/>
            <w:tcMar>
              <w:top w:w="15" w:type="dxa"/>
              <w:left w:w="0" w:type="dxa"/>
              <w:bottom w:w="0" w:type="dxa"/>
              <w:right w:w="15" w:type="dxa"/>
            </w:tcMar>
            <w:vAlign w:val="bottom"/>
            <w:hideMark/>
          </w:tcPr>
          <w:p w14:paraId="5B0926B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79" w:type="dxa"/>
            <w:shd w:val="clear" w:color="auto" w:fill="CCECFF"/>
            <w:tcMar>
              <w:top w:w="15" w:type="dxa"/>
              <w:left w:w="0" w:type="dxa"/>
              <w:bottom w:w="0" w:type="dxa"/>
              <w:right w:w="15" w:type="dxa"/>
            </w:tcMar>
            <w:hideMark/>
          </w:tcPr>
          <w:p w14:paraId="091EA654"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356" w:type="dxa"/>
            <w:shd w:val="clear" w:color="auto" w:fill="CCECFF"/>
            <w:tcMar>
              <w:top w:w="15" w:type="dxa"/>
              <w:left w:w="0" w:type="dxa"/>
              <w:bottom w:w="0" w:type="dxa"/>
              <w:right w:w="15" w:type="dxa"/>
            </w:tcMar>
            <w:vAlign w:val="bottom"/>
            <w:hideMark/>
          </w:tcPr>
          <w:p w14:paraId="77DF9D4F"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7242" w:type="dxa"/>
            <w:shd w:val="clear" w:color="auto" w:fill="CCECFF"/>
            <w:tcMar>
              <w:top w:w="15" w:type="dxa"/>
              <w:left w:w="0" w:type="dxa"/>
              <w:bottom w:w="0" w:type="dxa"/>
              <w:right w:w="15" w:type="dxa"/>
            </w:tcMar>
            <w:hideMark/>
          </w:tcPr>
          <w:p w14:paraId="58A2D3C3"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536036E9" w14:textId="77777777" w:rsidTr="00AC4931">
        <w:tc>
          <w:tcPr>
            <w:tcW w:w="8706" w:type="dxa"/>
            <w:shd w:val="clear" w:color="auto" w:fill="FFFFFF"/>
            <w:tcMar>
              <w:top w:w="15" w:type="dxa"/>
              <w:left w:w="0" w:type="dxa"/>
              <w:bottom w:w="0" w:type="dxa"/>
              <w:right w:w="15" w:type="dxa"/>
            </w:tcMar>
            <w:hideMark/>
          </w:tcPr>
          <w:p w14:paraId="74D0C1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Japan Ltd.</w:t>
            </w:r>
          </w:p>
        </w:tc>
        <w:tc>
          <w:tcPr>
            <w:tcW w:w="356" w:type="dxa"/>
            <w:shd w:val="clear" w:color="auto" w:fill="FFFFFF"/>
            <w:tcMar>
              <w:top w:w="15" w:type="dxa"/>
              <w:left w:w="0" w:type="dxa"/>
              <w:bottom w:w="0" w:type="dxa"/>
              <w:right w:w="15" w:type="dxa"/>
            </w:tcMar>
            <w:vAlign w:val="bottom"/>
            <w:hideMark/>
          </w:tcPr>
          <w:p w14:paraId="07A8BC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6F4711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Tsukuba</w:t>
            </w:r>
          </w:p>
        </w:tc>
        <w:tc>
          <w:tcPr>
            <w:tcW w:w="356" w:type="dxa"/>
            <w:shd w:val="clear" w:color="auto" w:fill="FFFFFF"/>
            <w:tcMar>
              <w:top w:w="15" w:type="dxa"/>
              <w:left w:w="0" w:type="dxa"/>
              <w:bottom w:w="0" w:type="dxa"/>
              <w:right w:w="15" w:type="dxa"/>
            </w:tcMar>
            <w:vAlign w:val="bottom"/>
            <w:hideMark/>
          </w:tcPr>
          <w:p w14:paraId="148242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6434A9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and seatbelts customer applications and platform development with sled test laboratory</w:t>
            </w:r>
          </w:p>
        </w:tc>
      </w:tr>
      <w:tr w:rsidR="00AC4931" w:rsidRPr="00AC4931" w14:paraId="18F9C302" w14:textId="77777777" w:rsidTr="00AC4931">
        <w:tc>
          <w:tcPr>
            <w:tcW w:w="8706" w:type="dxa"/>
            <w:shd w:val="clear" w:color="auto" w:fill="FFFFFF"/>
            <w:tcMar>
              <w:top w:w="15" w:type="dxa"/>
              <w:left w:w="0" w:type="dxa"/>
              <w:bottom w:w="0" w:type="dxa"/>
              <w:right w:w="15" w:type="dxa"/>
            </w:tcMar>
            <w:hideMark/>
          </w:tcPr>
          <w:p w14:paraId="2D276987"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56" w:type="dxa"/>
            <w:shd w:val="clear" w:color="auto" w:fill="FFFFFF"/>
            <w:tcMar>
              <w:top w:w="15" w:type="dxa"/>
              <w:left w:w="0" w:type="dxa"/>
              <w:bottom w:w="0" w:type="dxa"/>
              <w:right w:w="15" w:type="dxa"/>
            </w:tcMar>
            <w:vAlign w:val="bottom"/>
            <w:hideMark/>
          </w:tcPr>
          <w:p w14:paraId="5C083490"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879" w:type="dxa"/>
            <w:shd w:val="clear" w:color="auto" w:fill="FFFFFF"/>
            <w:tcMar>
              <w:top w:w="15" w:type="dxa"/>
              <w:left w:w="0" w:type="dxa"/>
              <w:bottom w:w="0" w:type="dxa"/>
              <w:right w:w="15" w:type="dxa"/>
            </w:tcMar>
            <w:hideMark/>
          </w:tcPr>
          <w:p w14:paraId="41D54D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2F1C7B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72AAAE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7E6DF2B" w14:textId="77777777" w:rsidTr="00AC4931">
        <w:tc>
          <w:tcPr>
            <w:tcW w:w="8706" w:type="dxa"/>
            <w:shd w:val="clear" w:color="auto" w:fill="CCECFF"/>
            <w:tcMar>
              <w:top w:w="15" w:type="dxa"/>
              <w:left w:w="0" w:type="dxa"/>
              <w:bottom w:w="0" w:type="dxa"/>
              <w:right w:w="15" w:type="dxa"/>
            </w:tcMar>
            <w:hideMark/>
          </w:tcPr>
          <w:p w14:paraId="40BAF4E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Poland</w:t>
            </w:r>
          </w:p>
        </w:tc>
        <w:tc>
          <w:tcPr>
            <w:tcW w:w="356" w:type="dxa"/>
            <w:shd w:val="clear" w:color="auto" w:fill="CCECFF"/>
            <w:tcMar>
              <w:top w:w="15" w:type="dxa"/>
              <w:left w:w="0" w:type="dxa"/>
              <w:bottom w:w="0" w:type="dxa"/>
              <w:right w:w="15" w:type="dxa"/>
            </w:tcMar>
            <w:vAlign w:val="bottom"/>
            <w:hideMark/>
          </w:tcPr>
          <w:p w14:paraId="5F51045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79" w:type="dxa"/>
            <w:shd w:val="clear" w:color="auto" w:fill="CCECFF"/>
            <w:tcMar>
              <w:top w:w="15" w:type="dxa"/>
              <w:left w:w="0" w:type="dxa"/>
              <w:bottom w:w="0" w:type="dxa"/>
              <w:right w:w="15" w:type="dxa"/>
            </w:tcMar>
            <w:hideMark/>
          </w:tcPr>
          <w:p w14:paraId="4220B568"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56" w:type="dxa"/>
            <w:shd w:val="clear" w:color="auto" w:fill="CCECFF"/>
            <w:tcMar>
              <w:top w:w="15" w:type="dxa"/>
              <w:left w:w="0" w:type="dxa"/>
              <w:bottom w:w="0" w:type="dxa"/>
              <w:right w:w="15" w:type="dxa"/>
            </w:tcMar>
            <w:vAlign w:val="bottom"/>
            <w:hideMark/>
          </w:tcPr>
          <w:p w14:paraId="7BDC1FE8"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7242" w:type="dxa"/>
            <w:shd w:val="clear" w:color="auto" w:fill="CCECFF"/>
            <w:tcMar>
              <w:top w:w="15" w:type="dxa"/>
              <w:left w:w="0" w:type="dxa"/>
              <w:bottom w:w="0" w:type="dxa"/>
              <w:right w:w="15" w:type="dxa"/>
            </w:tcMar>
            <w:hideMark/>
          </w:tcPr>
          <w:p w14:paraId="46C1124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1789129A" w14:textId="77777777" w:rsidTr="00AC4931">
        <w:tc>
          <w:tcPr>
            <w:tcW w:w="8706" w:type="dxa"/>
            <w:shd w:val="clear" w:color="auto" w:fill="FFFFFF"/>
            <w:tcMar>
              <w:top w:w="15" w:type="dxa"/>
              <w:left w:w="0" w:type="dxa"/>
              <w:bottom w:w="0" w:type="dxa"/>
              <w:right w:w="15" w:type="dxa"/>
            </w:tcMar>
            <w:hideMark/>
          </w:tcPr>
          <w:p w14:paraId="6F0C69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Poland Sp. zo.o.</w:t>
            </w:r>
          </w:p>
        </w:tc>
        <w:tc>
          <w:tcPr>
            <w:tcW w:w="356" w:type="dxa"/>
            <w:shd w:val="clear" w:color="auto" w:fill="FFFFFF"/>
            <w:tcMar>
              <w:top w:w="15" w:type="dxa"/>
              <w:left w:w="0" w:type="dxa"/>
              <w:bottom w:w="0" w:type="dxa"/>
              <w:right w:w="15" w:type="dxa"/>
            </w:tcMar>
            <w:vAlign w:val="bottom"/>
            <w:hideMark/>
          </w:tcPr>
          <w:p w14:paraId="4A32C8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193984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Olawa</w:t>
            </w:r>
          </w:p>
        </w:tc>
        <w:tc>
          <w:tcPr>
            <w:tcW w:w="356" w:type="dxa"/>
            <w:shd w:val="clear" w:color="auto" w:fill="FFFFFF"/>
            <w:tcMar>
              <w:top w:w="15" w:type="dxa"/>
              <w:left w:w="0" w:type="dxa"/>
              <w:bottom w:w="0" w:type="dxa"/>
              <w:right w:w="15" w:type="dxa"/>
            </w:tcMar>
            <w:vAlign w:val="bottom"/>
            <w:hideMark/>
          </w:tcPr>
          <w:p w14:paraId="4E8D20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171EE6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applications and platform development</w:t>
            </w:r>
          </w:p>
        </w:tc>
      </w:tr>
      <w:tr w:rsidR="00AC4931" w:rsidRPr="00AC4931" w14:paraId="584AFD02" w14:textId="77777777" w:rsidTr="00AC4931">
        <w:tc>
          <w:tcPr>
            <w:tcW w:w="8706" w:type="dxa"/>
            <w:shd w:val="clear" w:color="auto" w:fill="FFFFFF"/>
            <w:tcMar>
              <w:top w:w="15" w:type="dxa"/>
              <w:left w:w="0" w:type="dxa"/>
              <w:bottom w:w="0" w:type="dxa"/>
              <w:right w:w="15" w:type="dxa"/>
            </w:tcMar>
            <w:hideMark/>
          </w:tcPr>
          <w:p w14:paraId="009B6668"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56" w:type="dxa"/>
            <w:shd w:val="clear" w:color="auto" w:fill="FFFFFF"/>
            <w:tcMar>
              <w:top w:w="15" w:type="dxa"/>
              <w:left w:w="0" w:type="dxa"/>
              <w:bottom w:w="0" w:type="dxa"/>
              <w:right w:w="15" w:type="dxa"/>
            </w:tcMar>
            <w:vAlign w:val="bottom"/>
            <w:hideMark/>
          </w:tcPr>
          <w:p w14:paraId="64B449B1"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879" w:type="dxa"/>
            <w:shd w:val="clear" w:color="auto" w:fill="FFFFFF"/>
            <w:tcMar>
              <w:top w:w="15" w:type="dxa"/>
              <w:left w:w="0" w:type="dxa"/>
              <w:bottom w:w="0" w:type="dxa"/>
              <w:right w:w="15" w:type="dxa"/>
            </w:tcMar>
            <w:hideMark/>
          </w:tcPr>
          <w:p w14:paraId="737C080E"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56" w:type="dxa"/>
            <w:shd w:val="clear" w:color="auto" w:fill="FFFFFF"/>
            <w:tcMar>
              <w:top w:w="15" w:type="dxa"/>
              <w:left w:w="0" w:type="dxa"/>
              <w:bottom w:w="0" w:type="dxa"/>
              <w:right w:w="15" w:type="dxa"/>
            </w:tcMar>
            <w:vAlign w:val="bottom"/>
            <w:hideMark/>
          </w:tcPr>
          <w:p w14:paraId="784DF6F2"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7242" w:type="dxa"/>
            <w:shd w:val="clear" w:color="auto" w:fill="FFFFFF"/>
            <w:tcMar>
              <w:top w:w="15" w:type="dxa"/>
              <w:left w:w="0" w:type="dxa"/>
              <w:bottom w:w="0" w:type="dxa"/>
              <w:right w:w="15" w:type="dxa"/>
            </w:tcMar>
            <w:hideMark/>
          </w:tcPr>
          <w:p w14:paraId="6207977A"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74FA90F0" w14:textId="77777777" w:rsidTr="00AC4931">
        <w:tc>
          <w:tcPr>
            <w:tcW w:w="8706" w:type="dxa"/>
            <w:shd w:val="clear" w:color="auto" w:fill="CCECFF"/>
            <w:tcMar>
              <w:top w:w="15" w:type="dxa"/>
              <w:left w:w="0" w:type="dxa"/>
              <w:bottom w:w="0" w:type="dxa"/>
              <w:right w:w="15" w:type="dxa"/>
            </w:tcMar>
            <w:hideMark/>
          </w:tcPr>
          <w:p w14:paraId="4FD91FD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Romania</w:t>
            </w:r>
          </w:p>
        </w:tc>
        <w:tc>
          <w:tcPr>
            <w:tcW w:w="356" w:type="dxa"/>
            <w:shd w:val="clear" w:color="auto" w:fill="CCECFF"/>
            <w:tcMar>
              <w:top w:w="15" w:type="dxa"/>
              <w:left w:w="0" w:type="dxa"/>
              <w:bottom w:w="0" w:type="dxa"/>
              <w:right w:w="15" w:type="dxa"/>
            </w:tcMar>
            <w:vAlign w:val="bottom"/>
            <w:hideMark/>
          </w:tcPr>
          <w:p w14:paraId="57A6C34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79" w:type="dxa"/>
            <w:shd w:val="clear" w:color="auto" w:fill="CCECFF"/>
            <w:tcMar>
              <w:top w:w="15" w:type="dxa"/>
              <w:left w:w="0" w:type="dxa"/>
              <w:bottom w:w="0" w:type="dxa"/>
              <w:right w:w="15" w:type="dxa"/>
            </w:tcMar>
            <w:vAlign w:val="bottom"/>
            <w:hideMark/>
          </w:tcPr>
          <w:p w14:paraId="339E94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CCECFF"/>
            <w:tcMar>
              <w:top w:w="15" w:type="dxa"/>
              <w:left w:w="0" w:type="dxa"/>
              <w:bottom w:w="0" w:type="dxa"/>
              <w:right w:w="15" w:type="dxa"/>
            </w:tcMar>
            <w:vAlign w:val="bottom"/>
            <w:hideMark/>
          </w:tcPr>
          <w:p w14:paraId="65C6CD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CCECFF"/>
            <w:tcMar>
              <w:top w:w="15" w:type="dxa"/>
              <w:left w:w="0" w:type="dxa"/>
              <w:bottom w:w="0" w:type="dxa"/>
              <w:right w:w="15" w:type="dxa"/>
            </w:tcMar>
            <w:vAlign w:val="bottom"/>
            <w:hideMark/>
          </w:tcPr>
          <w:p w14:paraId="16C3EA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2ECA2E4" w14:textId="77777777" w:rsidTr="00AC4931">
        <w:tc>
          <w:tcPr>
            <w:tcW w:w="8706" w:type="dxa"/>
            <w:shd w:val="clear" w:color="auto" w:fill="FFFFFF"/>
            <w:tcMar>
              <w:top w:w="15" w:type="dxa"/>
              <w:left w:w="0" w:type="dxa"/>
              <w:bottom w:w="0" w:type="dxa"/>
              <w:right w:w="15" w:type="dxa"/>
            </w:tcMar>
            <w:hideMark/>
          </w:tcPr>
          <w:p w14:paraId="4B973E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Romania S.R.L.</w:t>
            </w:r>
          </w:p>
        </w:tc>
        <w:tc>
          <w:tcPr>
            <w:tcW w:w="356" w:type="dxa"/>
            <w:shd w:val="clear" w:color="auto" w:fill="FFFFFF"/>
            <w:tcMar>
              <w:top w:w="15" w:type="dxa"/>
              <w:left w:w="0" w:type="dxa"/>
              <w:bottom w:w="0" w:type="dxa"/>
              <w:right w:w="15" w:type="dxa"/>
            </w:tcMar>
            <w:vAlign w:val="bottom"/>
            <w:hideMark/>
          </w:tcPr>
          <w:p w14:paraId="0455C7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69DD70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Brasov</w:t>
            </w:r>
          </w:p>
        </w:tc>
        <w:tc>
          <w:tcPr>
            <w:tcW w:w="356" w:type="dxa"/>
            <w:shd w:val="clear" w:color="auto" w:fill="FFFFFF"/>
            <w:tcMar>
              <w:top w:w="15" w:type="dxa"/>
              <w:left w:w="0" w:type="dxa"/>
              <w:bottom w:w="0" w:type="dxa"/>
              <w:right w:w="15" w:type="dxa"/>
            </w:tcMar>
            <w:vAlign w:val="bottom"/>
            <w:hideMark/>
          </w:tcPr>
          <w:p w14:paraId="6F312D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4CA863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Seatbelts with sled test laboratory</w:t>
            </w:r>
          </w:p>
        </w:tc>
      </w:tr>
      <w:tr w:rsidR="00AC4931" w:rsidRPr="00AC4931" w14:paraId="0EDDDCE9" w14:textId="77777777" w:rsidTr="00AC4931">
        <w:tc>
          <w:tcPr>
            <w:tcW w:w="8706" w:type="dxa"/>
            <w:shd w:val="clear" w:color="auto" w:fill="FFFFFF"/>
            <w:tcMar>
              <w:top w:w="15" w:type="dxa"/>
              <w:left w:w="0" w:type="dxa"/>
              <w:bottom w:w="0" w:type="dxa"/>
              <w:right w:w="15" w:type="dxa"/>
            </w:tcMar>
            <w:vAlign w:val="bottom"/>
            <w:hideMark/>
          </w:tcPr>
          <w:p w14:paraId="7B31F5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469F10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vAlign w:val="bottom"/>
            <w:hideMark/>
          </w:tcPr>
          <w:p w14:paraId="5F52B4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02EFCE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vAlign w:val="bottom"/>
            <w:hideMark/>
          </w:tcPr>
          <w:p w14:paraId="44BFD8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AA20D3E" w14:textId="77777777" w:rsidTr="00AC4931">
        <w:tc>
          <w:tcPr>
            <w:tcW w:w="8706" w:type="dxa"/>
            <w:shd w:val="clear" w:color="auto" w:fill="CCECFF"/>
            <w:tcMar>
              <w:top w:w="15" w:type="dxa"/>
              <w:left w:w="0" w:type="dxa"/>
              <w:bottom w:w="0" w:type="dxa"/>
              <w:right w:w="15" w:type="dxa"/>
            </w:tcMar>
            <w:hideMark/>
          </w:tcPr>
          <w:p w14:paraId="707099E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South Korea</w:t>
            </w:r>
          </w:p>
        </w:tc>
        <w:tc>
          <w:tcPr>
            <w:tcW w:w="356" w:type="dxa"/>
            <w:shd w:val="clear" w:color="auto" w:fill="CCECFF"/>
            <w:tcMar>
              <w:top w:w="15" w:type="dxa"/>
              <w:left w:w="0" w:type="dxa"/>
              <w:bottom w:w="0" w:type="dxa"/>
              <w:right w:w="15" w:type="dxa"/>
            </w:tcMar>
            <w:vAlign w:val="bottom"/>
            <w:hideMark/>
          </w:tcPr>
          <w:p w14:paraId="2ACE1DA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79" w:type="dxa"/>
            <w:shd w:val="clear" w:color="auto" w:fill="CCECFF"/>
            <w:tcMar>
              <w:top w:w="15" w:type="dxa"/>
              <w:left w:w="0" w:type="dxa"/>
              <w:bottom w:w="0" w:type="dxa"/>
              <w:right w:w="15" w:type="dxa"/>
            </w:tcMar>
            <w:hideMark/>
          </w:tcPr>
          <w:p w14:paraId="40542938"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56" w:type="dxa"/>
            <w:shd w:val="clear" w:color="auto" w:fill="CCECFF"/>
            <w:tcMar>
              <w:top w:w="15" w:type="dxa"/>
              <w:left w:w="0" w:type="dxa"/>
              <w:bottom w:w="0" w:type="dxa"/>
              <w:right w:w="15" w:type="dxa"/>
            </w:tcMar>
            <w:vAlign w:val="bottom"/>
            <w:hideMark/>
          </w:tcPr>
          <w:p w14:paraId="77BE20DB"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7242" w:type="dxa"/>
            <w:shd w:val="clear" w:color="auto" w:fill="CCECFF"/>
            <w:tcMar>
              <w:top w:w="15" w:type="dxa"/>
              <w:left w:w="0" w:type="dxa"/>
              <w:bottom w:w="0" w:type="dxa"/>
              <w:right w:w="15" w:type="dxa"/>
            </w:tcMar>
            <w:hideMark/>
          </w:tcPr>
          <w:p w14:paraId="53FF77C1"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1E7D5947" w14:textId="77777777" w:rsidTr="00AC4931">
        <w:tc>
          <w:tcPr>
            <w:tcW w:w="8706" w:type="dxa"/>
            <w:shd w:val="clear" w:color="auto" w:fill="FFFFFF"/>
            <w:tcMar>
              <w:top w:w="15" w:type="dxa"/>
              <w:left w:w="0" w:type="dxa"/>
              <w:bottom w:w="0" w:type="dxa"/>
              <w:right w:w="15" w:type="dxa"/>
            </w:tcMar>
            <w:hideMark/>
          </w:tcPr>
          <w:p w14:paraId="05E2CD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Corporation</w:t>
            </w:r>
          </w:p>
        </w:tc>
        <w:tc>
          <w:tcPr>
            <w:tcW w:w="356" w:type="dxa"/>
            <w:shd w:val="clear" w:color="auto" w:fill="FFFFFF"/>
            <w:tcMar>
              <w:top w:w="15" w:type="dxa"/>
              <w:left w:w="0" w:type="dxa"/>
              <w:bottom w:w="0" w:type="dxa"/>
              <w:right w:w="15" w:type="dxa"/>
            </w:tcMar>
            <w:vAlign w:val="bottom"/>
            <w:hideMark/>
          </w:tcPr>
          <w:p w14:paraId="68E346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721541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Seoul</w:t>
            </w:r>
          </w:p>
        </w:tc>
        <w:tc>
          <w:tcPr>
            <w:tcW w:w="356" w:type="dxa"/>
            <w:shd w:val="clear" w:color="auto" w:fill="FFFFFF"/>
            <w:tcMar>
              <w:top w:w="15" w:type="dxa"/>
              <w:left w:w="0" w:type="dxa"/>
              <w:bottom w:w="0" w:type="dxa"/>
              <w:right w:w="15" w:type="dxa"/>
            </w:tcMar>
            <w:vAlign w:val="bottom"/>
            <w:hideMark/>
          </w:tcPr>
          <w:p w14:paraId="34833A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2964E3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and seatbelts customer applications and platform development with sled test laboratory</w:t>
            </w:r>
          </w:p>
        </w:tc>
      </w:tr>
      <w:tr w:rsidR="00AC4931" w:rsidRPr="00AC4931" w14:paraId="0DC667DF" w14:textId="77777777" w:rsidTr="00AC4931">
        <w:tc>
          <w:tcPr>
            <w:tcW w:w="8706" w:type="dxa"/>
            <w:shd w:val="clear" w:color="auto" w:fill="FFFFFF"/>
            <w:tcMar>
              <w:top w:w="15" w:type="dxa"/>
              <w:left w:w="0" w:type="dxa"/>
              <w:bottom w:w="0" w:type="dxa"/>
              <w:right w:w="15" w:type="dxa"/>
            </w:tcMar>
            <w:hideMark/>
          </w:tcPr>
          <w:p w14:paraId="49D6BEB3"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56" w:type="dxa"/>
            <w:shd w:val="clear" w:color="auto" w:fill="FFFFFF"/>
            <w:tcMar>
              <w:top w:w="15" w:type="dxa"/>
              <w:left w:w="0" w:type="dxa"/>
              <w:bottom w:w="0" w:type="dxa"/>
              <w:right w:w="15" w:type="dxa"/>
            </w:tcMar>
            <w:vAlign w:val="bottom"/>
            <w:hideMark/>
          </w:tcPr>
          <w:p w14:paraId="4E5EC4EC"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879" w:type="dxa"/>
            <w:shd w:val="clear" w:color="auto" w:fill="FFFFFF"/>
            <w:tcMar>
              <w:top w:w="15" w:type="dxa"/>
              <w:left w:w="0" w:type="dxa"/>
              <w:bottom w:w="0" w:type="dxa"/>
              <w:right w:w="15" w:type="dxa"/>
            </w:tcMar>
            <w:hideMark/>
          </w:tcPr>
          <w:p w14:paraId="24B581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622892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4995AA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0B09644" w14:textId="77777777" w:rsidTr="00AC4931">
        <w:tc>
          <w:tcPr>
            <w:tcW w:w="8706" w:type="dxa"/>
            <w:shd w:val="clear" w:color="auto" w:fill="CCECFF"/>
            <w:tcMar>
              <w:top w:w="15" w:type="dxa"/>
              <w:left w:w="0" w:type="dxa"/>
              <w:bottom w:w="0" w:type="dxa"/>
              <w:right w:w="15" w:type="dxa"/>
            </w:tcMar>
            <w:hideMark/>
          </w:tcPr>
          <w:p w14:paraId="0F8B90F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Sweden</w:t>
            </w:r>
          </w:p>
        </w:tc>
        <w:tc>
          <w:tcPr>
            <w:tcW w:w="356" w:type="dxa"/>
            <w:shd w:val="clear" w:color="auto" w:fill="CCECFF"/>
            <w:tcMar>
              <w:top w:w="15" w:type="dxa"/>
              <w:left w:w="0" w:type="dxa"/>
              <w:bottom w:w="0" w:type="dxa"/>
              <w:right w:w="15" w:type="dxa"/>
            </w:tcMar>
            <w:vAlign w:val="bottom"/>
            <w:hideMark/>
          </w:tcPr>
          <w:p w14:paraId="7845C52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79" w:type="dxa"/>
            <w:shd w:val="clear" w:color="auto" w:fill="CCECFF"/>
            <w:tcMar>
              <w:top w:w="15" w:type="dxa"/>
              <w:left w:w="0" w:type="dxa"/>
              <w:bottom w:w="0" w:type="dxa"/>
              <w:right w:w="15" w:type="dxa"/>
            </w:tcMar>
            <w:hideMark/>
          </w:tcPr>
          <w:p w14:paraId="27A9261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56" w:type="dxa"/>
            <w:shd w:val="clear" w:color="auto" w:fill="CCECFF"/>
            <w:tcMar>
              <w:top w:w="15" w:type="dxa"/>
              <w:left w:w="0" w:type="dxa"/>
              <w:bottom w:w="0" w:type="dxa"/>
              <w:right w:w="15" w:type="dxa"/>
            </w:tcMar>
            <w:vAlign w:val="bottom"/>
            <w:hideMark/>
          </w:tcPr>
          <w:p w14:paraId="1F26E76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7242" w:type="dxa"/>
            <w:shd w:val="clear" w:color="auto" w:fill="CCECFF"/>
            <w:tcMar>
              <w:top w:w="15" w:type="dxa"/>
              <w:left w:w="0" w:type="dxa"/>
              <w:bottom w:w="0" w:type="dxa"/>
              <w:right w:w="15" w:type="dxa"/>
            </w:tcMar>
            <w:vAlign w:val="bottom"/>
            <w:hideMark/>
          </w:tcPr>
          <w:p w14:paraId="3287D9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715D318" w14:textId="77777777" w:rsidTr="00AC4931">
        <w:tc>
          <w:tcPr>
            <w:tcW w:w="8706" w:type="dxa"/>
            <w:shd w:val="clear" w:color="auto" w:fill="FFFFFF"/>
            <w:tcMar>
              <w:top w:w="15" w:type="dxa"/>
              <w:left w:w="0" w:type="dxa"/>
              <w:bottom w:w="0" w:type="dxa"/>
              <w:right w:w="15" w:type="dxa"/>
            </w:tcMar>
            <w:hideMark/>
          </w:tcPr>
          <w:p w14:paraId="318165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Development AB</w:t>
            </w:r>
          </w:p>
        </w:tc>
        <w:tc>
          <w:tcPr>
            <w:tcW w:w="356" w:type="dxa"/>
            <w:shd w:val="clear" w:color="auto" w:fill="FFFFFF"/>
            <w:tcMar>
              <w:top w:w="15" w:type="dxa"/>
              <w:left w:w="0" w:type="dxa"/>
              <w:bottom w:w="0" w:type="dxa"/>
              <w:right w:w="15" w:type="dxa"/>
            </w:tcMar>
            <w:vAlign w:val="bottom"/>
            <w:hideMark/>
          </w:tcPr>
          <w:p w14:paraId="4C106B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2CF2BA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Vårgårda</w:t>
            </w:r>
          </w:p>
        </w:tc>
        <w:tc>
          <w:tcPr>
            <w:tcW w:w="356" w:type="dxa"/>
            <w:shd w:val="clear" w:color="auto" w:fill="FFFFFF"/>
            <w:tcMar>
              <w:top w:w="15" w:type="dxa"/>
              <w:left w:w="0" w:type="dxa"/>
              <w:bottom w:w="0" w:type="dxa"/>
              <w:right w:w="15" w:type="dxa"/>
            </w:tcMar>
            <w:vAlign w:val="bottom"/>
            <w:hideMark/>
          </w:tcPr>
          <w:p w14:paraId="76F24E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vAlign w:val="bottom"/>
            <w:hideMark/>
          </w:tcPr>
          <w:p w14:paraId="48B6C7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Research center</w:t>
            </w:r>
          </w:p>
        </w:tc>
      </w:tr>
      <w:tr w:rsidR="00AC4931" w:rsidRPr="00AC4931" w14:paraId="5F3B31AE" w14:textId="77777777" w:rsidTr="00AC4931">
        <w:tc>
          <w:tcPr>
            <w:tcW w:w="8706" w:type="dxa"/>
            <w:shd w:val="clear" w:color="auto" w:fill="FFFFFF"/>
            <w:tcMar>
              <w:top w:w="15" w:type="dxa"/>
              <w:left w:w="0" w:type="dxa"/>
              <w:bottom w:w="0" w:type="dxa"/>
              <w:right w:w="15" w:type="dxa"/>
            </w:tcMar>
            <w:hideMark/>
          </w:tcPr>
          <w:p w14:paraId="0B5004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Sverige AB</w:t>
            </w:r>
          </w:p>
        </w:tc>
        <w:tc>
          <w:tcPr>
            <w:tcW w:w="356" w:type="dxa"/>
            <w:shd w:val="clear" w:color="auto" w:fill="FFFFFF"/>
            <w:tcMar>
              <w:top w:w="15" w:type="dxa"/>
              <w:left w:w="0" w:type="dxa"/>
              <w:bottom w:w="0" w:type="dxa"/>
              <w:right w:w="15" w:type="dxa"/>
            </w:tcMar>
            <w:vAlign w:val="bottom"/>
            <w:hideMark/>
          </w:tcPr>
          <w:p w14:paraId="17C998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2BFDF5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Vårgårda</w:t>
            </w:r>
          </w:p>
        </w:tc>
        <w:tc>
          <w:tcPr>
            <w:tcW w:w="356" w:type="dxa"/>
            <w:shd w:val="clear" w:color="auto" w:fill="FFFFFF"/>
            <w:tcMar>
              <w:top w:w="15" w:type="dxa"/>
              <w:left w:w="0" w:type="dxa"/>
              <w:bottom w:w="0" w:type="dxa"/>
              <w:right w:w="15" w:type="dxa"/>
            </w:tcMar>
            <w:vAlign w:val="bottom"/>
            <w:hideMark/>
          </w:tcPr>
          <w:p w14:paraId="48CE6A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31D54E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customer applications and platform development with full-scale test laboratory and Inflator development</w:t>
            </w:r>
          </w:p>
        </w:tc>
      </w:tr>
      <w:tr w:rsidR="00AC4931" w:rsidRPr="00AC4931" w14:paraId="65E10012" w14:textId="77777777" w:rsidTr="00AC4931">
        <w:tc>
          <w:tcPr>
            <w:tcW w:w="8706" w:type="dxa"/>
            <w:shd w:val="clear" w:color="auto" w:fill="FFFFFF"/>
            <w:tcMar>
              <w:top w:w="15" w:type="dxa"/>
              <w:left w:w="0" w:type="dxa"/>
              <w:bottom w:w="0" w:type="dxa"/>
              <w:right w:w="15" w:type="dxa"/>
            </w:tcMar>
            <w:hideMark/>
          </w:tcPr>
          <w:p w14:paraId="7CEDCBCE"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56" w:type="dxa"/>
            <w:shd w:val="clear" w:color="auto" w:fill="FFFFFF"/>
            <w:tcMar>
              <w:top w:w="15" w:type="dxa"/>
              <w:left w:w="0" w:type="dxa"/>
              <w:bottom w:w="0" w:type="dxa"/>
              <w:right w:w="15" w:type="dxa"/>
            </w:tcMar>
            <w:vAlign w:val="bottom"/>
            <w:hideMark/>
          </w:tcPr>
          <w:p w14:paraId="49B097BE" w14:textId="77777777" w:rsidR="00AC4931" w:rsidRPr="00AC4931" w:rsidRDefault="00AC4931" w:rsidP="00AC4931">
            <w:pPr>
              <w:widowControl/>
              <w:jc w:val="left"/>
              <w:rPr>
                <w:rFonts w:ascii="Arial" w:eastAsia="宋体" w:hAnsi="Arial" w:cs="Arial"/>
                <w:b/>
                <w:bCs/>
                <w:color w:val="000000"/>
                <w:kern w:val="0"/>
                <w:sz w:val="12"/>
                <w:szCs w:val="12"/>
              </w:rPr>
            </w:pPr>
            <w:r w:rsidRPr="00AC4931">
              <w:rPr>
                <w:rFonts w:ascii="Arial" w:eastAsia="宋体" w:hAnsi="Arial" w:cs="Arial"/>
                <w:b/>
                <w:bCs/>
                <w:color w:val="000000"/>
                <w:kern w:val="0"/>
                <w:sz w:val="12"/>
                <w:szCs w:val="12"/>
              </w:rPr>
              <w:t> </w:t>
            </w:r>
          </w:p>
        </w:tc>
        <w:tc>
          <w:tcPr>
            <w:tcW w:w="3879" w:type="dxa"/>
            <w:shd w:val="clear" w:color="auto" w:fill="FFFFFF"/>
            <w:tcMar>
              <w:top w:w="15" w:type="dxa"/>
              <w:left w:w="0" w:type="dxa"/>
              <w:bottom w:w="0" w:type="dxa"/>
              <w:right w:w="15" w:type="dxa"/>
            </w:tcMar>
            <w:vAlign w:val="bottom"/>
            <w:hideMark/>
          </w:tcPr>
          <w:p w14:paraId="16BA42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028C25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55923AA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51AC6F2D" w14:textId="77777777" w:rsidTr="00AC4931">
        <w:tc>
          <w:tcPr>
            <w:tcW w:w="8706" w:type="dxa"/>
            <w:shd w:val="clear" w:color="auto" w:fill="CCECFF"/>
            <w:tcMar>
              <w:top w:w="15" w:type="dxa"/>
              <w:left w:w="0" w:type="dxa"/>
              <w:bottom w:w="0" w:type="dxa"/>
              <w:right w:w="15" w:type="dxa"/>
            </w:tcMar>
            <w:hideMark/>
          </w:tcPr>
          <w:p w14:paraId="03CC967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USA</w:t>
            </w:r>
          </w:p>
        </w:tc>
        <w:tc>
          <w:tcPr>
            <w:tcW w:w="356" w:type="dxa"/>
            <w:shd w:val="clear" w:color="auto" w:fill="CCECFF"/>
            <w:tcMar>
              <w:top w:w="15" w:type="dxa"/>
              <w:left w:w="0" w:type="dxa"/>
              <w:bottom w:w="0" w:type="dxa"/>
              <w:right w:w="15" w:type="dxa"/>
            </w:tcMar>
            <w:vAlign w:val="bottom"/>
            <w:hideMark/>
          </w:tcPr>
          <w:p w14:paraId="5AB6457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79" w:type="dxa"/>
            <w:shd w:val="clear" w:color="auto" w:fill="CCECFF"/>
            <w:tcMar>
              <w:top w:w="15" w:type="dxa"/>
              <w:left w:w="0" w:type="dxa"/>
              <w:bottom w:w="0" w:type="dxa"/>
              <w:right w:w="15" w:type="dxa"/>
            </w:tcMar>
            <w:hideMark/>
          </w:tcPr>
          <w:p w14:paraId="1D93394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356" w:type="dxa"/>
            <w:shd w:val="clear" w:color="auto" w:fill="CCECFF"/>
            <w:tcMar>
              <w:top w:w="15" w:type="dxa"/>
              <w:left w:w="0" w:type="dxa"/>
              <w:bottom w:w="0" w:type="dxa"/>
              <w:right w:w="15" w:type="dxa"/>
            </w:tcMar>
            <w:vAlign w:val="bottom"/>
            <w:hideMark/>
          </w:tcPr>
          <w:p w14:paraId="34090CDF"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7242" w:type="dxa"/>
            <w:shd w:val="clear" w:color="auto" w:fill="CCECFF"/>
            <w:tcMar>
              <w:top w:w="15" w:type="dxa"/>
              <w:left w:w="0" w:type="dxa"/>
              <w:bottom w:w="0" w:type="dxa"/>
              <w:right w:w="15" w:type="dxa"/>
            </w:tcMar>
            <w:hideMark/>
          </w:tcPr>
          <w:p w14:paraId="5A3F83B4"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2BF9E234" w14:textId="77777777" w:rsidTr="00AC4931">
        <w:tc>
          <w:tcPr>
            <w:tcW w:w="8706" w:type="dxa"/>
            <w:shd w:val="clear" w:color="auto" w:fill="FFFFFF"/>
            <w:tcMar>
              <w:top w:w="15" w:type="dxa"/>
              <w:left w:w="0" w:type="dxa"/>
              <w:bottom w:w="0" w:type="dxa"/>
              <w:right w:w="15" w:type="dxa"/>
            </w:tcMar>
            <w:hideMark/>
          </w:tcPr>
          <w:p w14:paraId="5F31E2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 ASP, Inc.</w:t>
            </w:r>
          </w:p>
        </w:tc>
        <w:tc>
          <w:tcPr>
            <w:tcW w:w="356" w:type="dxa"/>
            <w:shd w:val="clear" w:color="auto" w:fill="FFFFFF"/>
            <w:tcMar>
              <w:top w:w="15" w:type="dxa"/>
              <w:left w:w="0" w:type="dxa"/>
              <w:bottom w:w="0" w:type="dxa"/>
              <w:right w:w="15" w:type="dxa"/>
            </w:tcMar>
            <w:vAlign w:val="bottom"/>
            <w:hideMark/>
          </w:tcPr>
          <w:p w14:paraId="17CDD0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4DD714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Auburn Hills</w:t>
            </w:r>
          </w:p>
        </w:tc>
        <w:tc>
          <w:tcPr>
            <w:tcW w:w="356" w:type="dxa"/>
            <w:shd w:val="clear" w:color="auto" w:fill="FFFFFF"/>
            <w:tcMar>
              <w:top w:w="15" w:type="dxa"/>
              <w:left w:w="0" w:type="dxa"/>
              <w:bottom w:w="0" w:type="dxa"/>
              <w:right w:w="15" w:type="dxa"/>
            </w:tcMar>
            <w:vAlign w:val="bottom"/>
            <w:hideMark/>
          </w:tcPr>
          <w:p w14:paraId="4F2C4C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7174E1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steering wheels, and seatbelts customer applications and platform development with full-scale test laboratory</w:t>
            </w:r>
          </w:p>
        </w:tc>
      </w:tr>
      <w:tr w:rsidR="00AC4931" w:rsidRPr="00AC4931" w14:paraId="0FB15CB6" w14:textId="77777777" w:rsidTr="00AC4931">
        <w:tc>
          <w:tcPr>
            <w:tcW w:w="8706" w:type="dxa"/>
            <w:shd w:val="clear" w:color="auto" w:fill="FFFFFF"/>
            <w:tcMar>
              <w:top w:w="15" w:type="dxa"/>
              <w:left w:w="0" w:type="dxa"/>
              <w:bottom w:w="0" w:type="dxa"/>
              <w:right w:w="15" w:type="dxa"/>
            </w:tcMar>
            <w:hideMark/>
          </w:tcPr>
          <w:p w14:paraId="2C67AE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20947A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79" w:type="dxa"/>
            <w:shd w:val="clear" w:color="auto" w:fill="FFFFFF"/>
            <w:tcMar>
              <w:top w:w="15" w:type="dxa"/>
              <w:left w:w="0" w:type="dxa"/>
              <w:bottom w:w="0" w:type="dxa"/>
              <w:right w:w="15" w:type="dxa"/>
            </w:tcMar>
            <w:hideMark/>
          </w:tcPr>
          <w:p w14:paraId="7B1B5C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Ogden</w:t>
            </w:r>
          </w:p>
        </w:tc>
        <w:tc>
          <w:tcPr>
            <w:tcW w:w="356" w:type="dxa"/>
            <w:shd w:val="clear" w:color="auto" w:fill="FFFFFF"/>
            <w:tcMar>
              <w:top w:w="15" w:type="dxa"/>
              <w:left w:w="0" w:type="dxa"/>
              <w:bottom w:w="0" w:type="dxa"/>
              <w:right w:w="15" w:type="dxa"/>
            </w:tcMar>
            <w:vAlign w:val="bottom"/>
            <w:hideMark/>
          </w:tcPr>
          <w:p w14:paraId="63C220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242" w:type="dxa"/>
            <w:shd w:val="clear" w:color="auto" w:fill="FFFFFF"/>
            <w:tcMar>
              <w:top w:w="15" w:type="dxa"/>
              <w:left w:w="0" w:type="dxa"/>
              <w:bottom w:w="0" w:type="dxa"/>
              <w:right w:w="15" w:type="dxa"/>
            </w:tcMar>
            <w:hideMark/>
          </w:tcPr>
          <w:p w14:paraId="296B2D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inflators and pyrotechnics customer applications and platform development</w:t>
            </w:r>
          </w:p>
        </w:tc>
      </w:tr>
    </w:tbl>
    <w:p w14:paraId="223E7687" w14:textId="77777777" w:rsidR="00AC4931" w:rsidRPr="00AC4931" w:rsidRDefault="00AC4931" w:rsidP="00AC4931">
      <w:pPr>
        <w:widowControl/>
        <w:jc w:val="left"/>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5155ECAA" w14:textId="77777777" w:rsidR="00AC4931" w:rsidRPr="00AC4931" w:rsidRDefault="00AC4931" w:rsidP="00AC4931">
      <w:pPr>
        <w:widowControl/>
        <w:jc w:val="left"/>
        <w:rPr>
          <w:rFonts w:ascii="微软雅黑" w:eastAsia="微软雅黑" w:hAnsi="微软雅黑" w:cs="宋体" w:hint="eastAsia"/>
          <w:color w:val="000000"/>
          <w:kern w:val="0"/>
          <w:sz w:val="12"/>
          <w:szCs w:val="12"/>
        </w:rPr>
      </w:pPr>
      <w:r w:rsidRPr="00AC4931">
        <w:rPr>
          <w:rFonts w:ascii="微软雅黑" w:eastAsia="微软雅黑" w:hAnsi="微软雅黑" w:cs="宋体" w:hint="eastAsia"/>
          <w:color w:val="000000"/>
          <w:kern w:val="0"/>
          <w:sz w:val="12"/>
          <w:szCs w:val="12"/>
        </w:rPr>
        <w:t> </w:t>
      </w:r>
    </w:p>
    <w:p w14:paraId="68650481"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24</w:t>
      </w:r>
    </w:p>
    <w:p w14:paraId="066AC566"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923892F"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352B39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6C016FF"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90B0A7D">
          <v:rect id="_x0000_i1049" style="width:0;height:1.5pt" o:hralign="center" o:hrstd="t" o:hrnoshade="t" o:hr="t" fillcolor="black" stroked="f"/>
        </w:pict>
      </w:r>
    </w:p>
    <w:p w14:paraId="523F139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8DEA732"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0C11D3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B8B21C6"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639B6B64" w14:textId="77777777" w:rsidR="00AC4931" w:rsidRPr="00AC4931" w:rsidRDefault="00AC4931" w:rsidP="00AC4931">
      <w:pPr>
        <w:widowControl/>
        <w:spacing w:before="100"/>
        <w:rPr>
          <w:rFonts w:ascii="Arial" w:eastAsia="宋体" w:hAnsi="Arial" w:cs="Arial"/>
          <w:b/>
          <w:bCs/>
          <w:color w:val="010202"/>
          <w:kern w:val="0"/>
          <w:sz w:val="22"/>
        </w:rPr>
      </w:pPr>
      <w:r w:rsidRPr="00AC4931">
        <w:rPr>
          <w:rFonts w:ascii="Arial" w:eastAsia="宋体" w:hAnsi="Arial" w:cs="Arial"/>
          <w:b/>
          <w:bCs/>
          <w:color w:val="010202"/>
          <w:kern w:val="0"/>
          <w:sz w:val="22"/>
        </w:rPr>
        <w:lastRenderedPageBreak/>
        <w:t>Item 3. Legal Proceedings</w:t>
      </w:r>
    </w:p>
    <w:p w14:paraId="5C73B996" w14:textId="77777777" w:rsidR="00AC4931" w:rsidRPr="00AC4931" w:rsidRDefault="00AC4931" w:rsidP="00AC4931">
      <w:pPr>
        <w:widowControl/>
        <w:spacing w:before="120"/>
        <w:rPr>
          <w:rFonts w:ascii="Arial" w:eastAsia="宋体" w:hAnsi="Arial" w:cs="Arial"/>
          <w:color w:val="010202"/>
          <w:kern w:val="0"/>
          <w:sz w:val="18"/>
          <w:szCs w:val="18"/>
        </w:rPr>
      </w:pPr>
      <w:r w:rsidRPr="00AC4931">
        <w:rPr>
          <w:rFonts w:ascii="Arial" w:eastAsia="宋体" w:hAnsi="Arial" w:cs="Arial"/>
          <w:color w:val="010202"/>
          <w:kern w:val="0"/>
          <w:sz w:val="18"/>
          <w:szCs w:val="18"/>
        </w:rPr>
        <w:t>In the ordinary course of our business, we are subject to legal proceedings brought by or against us and our subsidiaries.</w:t>
      </w:r>
    </w:p>
    <w:p w14:paraId="5EA39CA9" w14:textId="77777777" w:rsidR="00AC4931" w:rsidRPr="00AC4931" w:rsidRDefault="00AC4931" w:rsidP="00AC4931">
      <w:pPr>
        <w:widowControl/>
        <w:spacing w:before="240"/>
        <w:rPr>
          <w:rFonts w:ascii="Arial" w:eastAsia="宋体" w:hAnsi="Arial" w:cs="Arial"/>
          <w:color w:val="010202"/>
          <w:kern w:val="0"/>
          <w:sz w:val="18"/>
          <w:szCs w:val="18"/>
        </w:rPr>
      </w:pPr>
      <w:r w:rsidRPr="00AC4931">
        <w:rPr>
          <w:rFonts w:ascii="Arial" w:eastAsia="宋体" w:hAnsi="Arial" w:cs="Arial"/>
          <w:color w:val="010202"/>
          <w:kern w:val="0"/>
          <w:sz w:val="18"/>
          <w:szCs w:val="18"/>
        </w:rPr>
        <w:t>See Note 18 to the Consolidated Financial Statements in this Annual Report for a summary of certain ongoing legal proceedings. Such information is incorporated into this Part I, Item 3 – “Legal Proceedings” by reference.</w:t>
      </w:r>
    </w:p>
    <w:p w14:paraId="45BDF22F" w14:textId="77777777" w:rsidR="00AC4931" w:rsidRPr="00AC4931" w:rsidRDefault="00AC4931" w:rsidP="00AC4931">
      <w:pPr>
        <w:widowControl/>
        <w:spacing w:before="340"/>
        <w:rPr>
          <w:rFonts w:ascii="Arial" w:eastAsia="宋体" w:hAnsi="Arial" w:cs="Arial"/>
          <w:b/>
          <w:bCs/>
          <w:color w:val="010202"/>
          <w:kern w:val="0"/>
          <w:sz w:val="22"/>
        </w:rPr>
      </w:pPr>
      <w:r w:rsidRPr="00AC4931">
        <w:rPr>
          <w:rFonts w:ascii="Arial" w:eastAsia="宋体" w:hAnsi="Arial" w:cs="Arial"/>
          <w:b/>
          <w:bCs/>
          <w:color w:val="010202"/>
          <w:kern w:val="0"/>
          <w:sz w:val="22"/>
        </w:rPr>
        <w:t>Item 4. Mine Safety Disclosures</w:t>
      </w:r>
    </w:p>
    <w:p w14:paraId="2300D968" w14:textId="77777777" w:rsidR="00AC4931" w:rsidRPr="00AC4931" w:rsidRDefault="00AC4931" w:rsidP="00AC4931">
      <w:pPr>
        <w:widowControl/>
        <w:spacing w:before="120"/>
        <w:rPr>
          <w:rFonts w:ascii="Arial" w:eastAsia="宋体" w:hAnsi="Arial" w:cs="Arial"/>
          <w:color w:val="010202"/>
          <w:kern w:val="0"/>
          <w:sz w:val="18"/>
          <w:szCs w:val="18"/>
        </w:rPr>
      </w:pPr>
      <w:r w:rsidRPr="00AC4931">
        <w:rPr>
          <w:rFonts w:ascii="Arial" w:eastAsia="宋体" w:hAnsi="Arial" w:cs="Arial"/>
          <w:color w:val="010202"/>
          <w:kern w:val="0"/>
          <w:sz w:val="18"/>
          <w:szCs w:val="18"/>
        </w:rPr>
        <w:t>Not applicable.</w:t>
      </w:r>
    </w:p>
    <w:p w14:paraId="72A12692"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25</w:t>
      </w:r>
    </w:p>
    <w:p w14:paraId="2B51AD4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771F2A1"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976094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04E5C6D"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79E16A8">
          <v:rect id="_x0000_i1050" style="width:0;height:1.5pt" o:hralign="center" o:hrstd="t" o:hrnoshade="t" o:hr="t" fillcolor="black" stroked="f"/>
        </w:pict>
      </w:r>
    </w:p>
    <w:p w14:paraId="093CC2E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B0EC55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0B603F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1C1B393" w14:textId="77777777" w:rsidR="00AC4931" w:rsidRPr="00AC4931" w:rsidRDefault="00AC4931" w:rsidP="00AC4931">
      <w:pPr>
        <w:widowControl/>
        <w:jc w:val="center"/>
        <w:rPr>
          <w:rFonts w:ascii="Arial" w:eastAsia="宋体" w:hAnsi="Arial" w:cs="Arial" w:hint="eastAsia"/>
          <w:b/>
          <w:bCs/>
          <w:color w:val="010202"/>
          <w:kern w:val="0"/>
          <w:sz w:val="18"/>
          <w:szCs w:val="18"/>
        </w:rPr>
      </w:pPr>
      <w:r w:rsidRPr="00AC4931">
        <w:rPr>
          <w:rFonts w:ascii="Arial" w:eastAsia="宋体" w:hAnsi="Arial" w:cs="Arial"/>
          <w:b/>
          <w:bCs/>
          <w:color w:val="010202"/>
          <w:kern w:val="0"/>
          <w:sz w:val="18"/>
          <w:szCs w:val="18"/>
        </w:rPr>
        <w:t>PART</w:t>
      </w:r>
      <w:r w:rsidRPr="00AC4931">
        <w:rPr>
          <w:rFonts w:ascii="Arial" w:eastAsia="宋体" w:hAnsi="Arial" w:cs="Arial"/>
          <w:b/>
          <w:bCs/>
          <w:color w:val="010202"/>
          <w:spacing w:val="7"/>
          <w:kern w:val="0"/>
          <w:sz w:val="18"/>
          <w:szCs w:val="18"/>
        </w:rPr>
        <w:t> </w:t>
      </w:r>
      <w:r w:rsidRPr="00AC4931">
        <w:rPr>
          <w:rFonts w:ascii="Arial" w:eastAsia="宋体" w:hAnsi="Arial" w:cs="Arial"/>
          <w:b/>
          <w:bCs/>
          <w:color w:val="010202"/>
          <w:kern w:val="0"/>
          <w:sz w:val="18"/>
          <w:szCs w:val="18"/>
        </w:rPr>
        <w:t>II</w:t>
      </w:r>
    </w:p>
    <w:p w14:paraId="5F1300BE" w14:textId="77777777" w:rsidR="00AC4931" w:rsidRPr="00AC4931" w:rsidRDefault="00AC4931" w:rsidP="00AC4931">
      <w:pPr>
        <w:widowControl/>
        <w:spacing w:before="240"/>
        <w:rPr>
          <w:rFonts w:ascii="Arial" w:eastAsia="宋体" w:hAnsi="Arial" w:cs="Arial"/>
          <w:b/>
          <w:bCs/>
          <w:color w:val="010202"/>
          <w:kern w:val="0"/>
          <w:sz w:val="22"/>
        </w:rPr>
      </w:pPr>
      <w:r w:rsidRPr="00AC4931">
        <w:rPr>
          <w:rFonts w:ascii="Arial" w:eastAsia="宋体" w:hAnsi="Arial" w:cs="Arial"/>
          <w:b/>
          <w:bCs/>
          <w:color w:val="010202"/>
          <w:kern w:val="0"/>
          <w:sz w:val="22"/>
        </w:rPr>
        <w:t>Item</w:t>
      </w:r>
      <w:r w:rsidRPr="00AC4931">
        <w:rPr>
          <w:rFonts w:ascii="Arial" w:eastAsia="宋体" w:hAnsi="Arial" w:cs="Arial"/>
          <w:b/>
          <w:bCs/>
          <w:color w:val="010202"/>
          <w:spacing w:val="9"/>
          <w:kern w:val="0"/>
          <w:sz w:val="22"/>
        </w:rPr>
        <w:t> </w:t>
      </w:r>
      <w:r w:rsidRPr="00AC4931">
        <w:rPr>
          <w:rFonts w:ascii="Arial" w:eastAsia="宋体" w:hAnsi="Arial" w:cs="Arial"/>
          <w:b/>
          <w:bCs/>
          <w:color w:val="010202"/>
          <w:kern w:val="0"/>
          <w:sz w:val="22"/>
        </w:rPr>
        <w:t>5.</w:t>
      </w:r>
      <w:r w:rsidRPr="00AC4931">
        <w:rPr>
          <w:rFonts w:ascii="Arial" w:eastAsia="宋体" w:hAnsi="Arial" w:cs="Arial"/>
          <w:b/>
          <w:bCs/>
          <w:color w:val="010202"/>
          <w:spacing w:val="3"/>
          <w:kern w:val="0"/>
          <w:sz w:val="22"/>
        </w:rPr>
        <w:t> </w:t>
      </w:r>
      <w:r w:rsidRPr="00AC4931">
        <w:rPr>
          <w:rFonts w:ascii="Arial" w:eastAsia="宋体" w:hAnsi="Arial" w:cs="Arial"/>
          <w:b/>
          <w:bCs/>
          <w:color w:val="010202"/>
          <w:kern w:val="0"/>
          <w:sz w:val="22"/>
        </w:rPr>
        <w:t>Market</w:t>
      </w:r>
      <w:r w:rsidRPr="00AC4931">
        <w:rPr>
          <w:rFonts w:ascii="Arial" w:eastAsia="宋体" w:hAnsi="Arial" w:cs="Arial"/>
          <w:b/>
          <w:bCs/>
          <w:color w:val="010202"/>
          <w:spacing w:val="13"/>
          <w:kern w:val="0"/>
          <w:sz w:val="22"/>
        </w:rPr>
        <w:t> </w:t>
      </w:r>
      <w:r w:rsidRPr="00AC4931">
        <w:rPr>
          <w:rFonts w:ascii="Arial" w:eastAsia="宋体" w:hAnsi="Arial" w:cs="Arial"/>
          <w:b/>
          <w:bCs/>
          <w:color w:val="010202"/>
          <w:kern w:val="0"/>
          <w:sz w:val="22"/>
        </w:rPr>
        <w:t>for</w:t>
      </w:r>
      <w:r w:rsidRPr="00AC4931">
        <w:rPr>
          <w:rFonts w:ascii="Arial" w:eastAsia="宋体" w:hAnsi="Arial" w:cs="Arial"/>
          <w:b/>
          <w:bCs/>
          <w:color w:val="010202"/>
          <w:spacing w:val="5"/>
          <w:kern w:val="0"/>
          <w:sz w:val="22"/>
        </w:rPr>
        <w:t> </w:t>
      </w:r>
      <w:r w:rsidRPr="00AC4931">
        <w:rPr>
          <w:rFonts w:ascii="Arial" w:eastAsia="宋体" w:hAnsi="Arial" w:cs="Arial"/>
          <w:b/>
          <w:bCs/>
          <w:color w:val="010202"/>
          <w:kern w:val="0"/>
          <w:sz w:val="22"/>
        </w:rPr>
        <w:t>Registrant’s</w:t>
      </w:r>
      <w:r w:rsidRPr="00AC4931">
        <w:rPr>
          <w:rFonts w:ascii="Arial" w:eastAsia="宋体" w:hAnsi="Arial" w:cs="Arial"/>
          <w:b/>
          <w:bCs/>
          <w:color w:val="010202"/>
          <w:spacing w:val="20"/>
          <w:kern w:val="0"/>
          <w:sz w:val="22"/>
        </w:rPr>
        <w:t> </w:t>
      </w:r>
      <w:r w:rsidRPr="00AC4931">
        <w:rPr>
          <w:rFonts w:ascii="Arial" w:eastAsia="宋体" w:hAnsi="Arial" w:cs="Arial"/>
          <w:b/>
          <w:bCs/>
          <w:color w:val="010202"/>
          <w:kern w:val="0"/>
          <w:sz w:val="22"/>
        </w:rPr>
        <w:t>Com</w:t>
      </w:r>
      <w:r w:rsidRPr="00AC4931">
        <w:rPr>
          <w:rFonts w:ascii="Arial" w:eastAsia="宋体" w:hAnsi="Arial" w:cs="Arial"/>
          <w:b/>
          <w:bCs/>
          <w:color w:val="010202"/>
          <w:spacing w:val="-2"/>
          <w:kern w:val="0"/>
          <w:sz w:val="22"/>
        </w:rPr>
        <w:t>m</w:t>
      </w:r>
      <w:r w:rsidRPr="00AC4931">
        <w:rPr>
          <w:rFonts w:ascii="Arial" w:eastAsia="宋体" w:hAnsi="Arial" w:cs="Arial"/>
          <w:b/>
          <w:bCs/>
          <w:color w:val="010202"/>
          <w:kern w:val="0"/>
          <w:sz w:val="22"/>
        </w:rPr>
        <w:t>on</w:t>
      </w:r>
      <w:r w:rsidRPr="00AC4931">
        <w:rPr>
          <w:rFonts w:ascii="Arial" w:eastAsia="宋体" w:hAnsi="Arial" w:cs="Arial"/>
          <w:b/>
          <w:bCs/>
          <w:color w:val="010202"/>
          <w:spacing w:val="16"/>
          <w:kern w:val="0"/>
          <w:sz w:val="22"/>
        </w:rPr>
        <w:t> </w:t>
      </w:r>
      <w:r w:rsidRPr="00AC4931">
        <w:rPr>
          <w:rFonts w:ascii="Arial" w:eastAsia="宋体" w:hAnsi="Arial" w:cs="Arial"/>
          <w:b/>
          <w:bCs/>
          <w:color w:val="010202"/>
          <w:kern w:val="0"/>
          <w:sz w:val="22"/>
        </w:rPr>
        <w:t>Equity,</w:t>
      </w:r>
      <w:r w:rsidRPr="00AC4931">
        <w:rPr>
          <w:rFonts w:ascii="Arial" w:eastAsia="宋体" w:hAnsi="Arial" w:cs="Arial"/>
          <w:b/>
          <w:bCs/>
          <w:color w:val="010202"/>
          <w:spacing w:val="13"/>
          <w:kern w:val="0"/>
          <w:sz w:val="22"/>
        </w:rPr>
        <w:t> </w:t>
      </w:r>
      <w:r w:rsidRPr="00AC4931">
        <w:rPr>
          <w:rFonts w:ascii="Arial" w:eastAsia="宋体" w:hAnsi="Arial" w:cs="Arial"/>
          <w:b/>
          <w:bCs/>
          <w:color w:val="010202"/>
          <w:kern w:val="0"/>
          <w:sz w:val="22"/>
        </w:rPr>
        <w:t>Relat</w:t>
      </w:r>
      <w:r w:rsidRPr="00AC4931">
        <w:rPr>
          <w:rFonts w:ascii="Arial" w:eastAsia="宋体" w:hAnsi="Arial" w:cs="Arial"/>
          <w:b/>
          <w:bCs/>
          <w:color w:val="010202"/>
          <w:spacing w:val="-1"/>
          <w:kern w:val="0"/>
          <w:sz w:val="22"/>
        </w:rPr>
        <w:t>e</w:t>
      </w:r>
      <w:r w:rsidRPr="00AC4931">
        <w:rPr>
          <w:rFonts w:ascii="Arial" w:eastAsia="宋体" w:hAnsi="Arial" w:cs="Arial"/>
          <w:b/>
          <w:bCs/>
          <w:color w:val="010202"/>
          <w:kern w:val="0"/>
          <w:sz w:val="22"/>
        </w:rPr>
        <w:t>d</w:t>
      </w:r>
      <w:r w:rsidRPr="00AC4931">
        <w:rPr>
          <w:rFonts w:ascii="Arial" w:eastAsia="宋体" w:hAnsi="Arial" w:cs="Arial"/>
          <w:b/>
          <w:bCs/>
          <w:color w:val="010202"/>
          <w:spacing w:val="13"/>
          <w:kern w:val="0"/>
          <w:sz w:val="22"/>
        </w:rPr>
        <w:t> </w:t>
      </w:r>
      <w:r w:rsidRPr="00AC4931">
        <w:rPr>
          <w:rFonts w:ascii="Arial" w:eastAsia="宋体" w:hAnsi="Arial" w:cs="Arial"/>
          <w:b/>
          <w:bCs/>
          <w:color w:val="010202"/>
          <w:kern w:val="0"/>
          <w:sz w:val="22"/>
        </w:rPr>
        <w:t>Stockholder</w:t>
      </w:r>
      <w:r w:rsidRPr="00AC4931">
        <w:rPr>
          <w:rFonts w:ascii="Arial" w:eastAsia="宋体" w:hAnsi="Arial" w:cs="Arial"/>
          <w:b/>
          <w:bCs/>
          <w:color w:val="010202"/>
          <w:spacing w:val="21"/>
          <w:kern w:val="0"/>
          <w:sz w:val="22"/>
        </w:rPr>
        <w:t> </w:t>
      </w:r>
      <w:r w:rsidRPr="00AC4931">
        <w:rPr>
          <w:rFonts w:ascii="Arial" w:eastAsia="宋体" w:hAnsi="Arial" w:cs="Arial"/>
          <w:b/>
          <w:bCs/>
          <w:color w:val="010202"/>
          <w:kern w:val="0"/>
          <w:sz w:val="22"/>
        </w:rPr>
        <w:t>Matters</w:t>
      </w:r>
      <w:r w:rsidRPr="00AC4931">
        <w:rPr>
          <w:rFonts w:ascii="Arial" w:eastAsia="宋体" w:hAnsi="Arial" w:cs="Arial"/>
          <w:b/>
          <w:bCs/>
          <w:color w:val="010202"/>
          <w:spacing w:val="14"/>
          <w:kern w:val="0"/>
          <w:sz w:val="22"/>
        </w:rPr>
        <w:t> </w:t>
      </w:r>
      <w:r w:rsidRPr="00AC4931">
        <w:rPr>
          <w:rFonts w:ascii="Arial" w:eastAsia="宋体" w:hAnsi="Arial" w:cs="Arial"/>
          <w:b/>
          <w:bCs/>
          <w:color w:val="010202"/>
          <w:kern w:val="0"/>
          <w:sz w:val="22"/>
        </w:rPr>
        <w:t>and</w:t>
      </w:r>
      <w:r w:rsidRPr="00AC4931">
        <w:rPr>
          <w:rFonts w:ascii="Arial" w:eastAsia="宋体" w:hAnsi="Arial" w:cs="Arial"/>
          <w:b/>
          <w:bCs/>
          <w:color w:val="010202"/>
          <w:spacing w:val="6"/>
          <w:kern w:val="0"/>
          <w:sz w:val="22"/>
        </w:rPr>
        <w:t> </w:t>
      </w:r>
      <w:r w:rsidRPr="00AC4931">
        <w:rPr>
          <w:rFonts w:ascii="Arial" w:eastAsia="宋体" w:hAnsi="Arial" w:cs="Arial"/>
          <w:b/>
          <w:bCs/>
          <w:color w:val="010202"/>
          <w:kern w:val="0"/>
          <w:sz w:val="22"/>
        </w:rPr>
        <w:t>Is</w:t>
      </w:r>
      <w:r w:rsidRPr="00AC4931">
        <w:rPr>
          <w:rFonts w:ascii="Arial" w:eastAsia="宋体" w:hAnsi="Arial" w:cs="Arial"/>
          <w:b/>
          <w:bCs/>
          <w:color w:val="010202"/>
          <w:spacing w:val="-1"/>
          <w:kern w:val="0"/>
          <w:sz w:val="22"/>
        </w:rPr>
        <w:t>s</w:t>
      </w:r>
      <w:r w:rsidRPr="00AC4931">
        <w:rPr>
          <w:rFonts w:ascii="Arial" w:eastAsia="宋体" w:hAnsi="Arial" w:cs="Arial"/>
          <w:b/>
          <w:bCs/>
          <w:color w:val="010202"/>
          <w:kern w:val="0"/>
          <w:sz w:val="22"/>
        </w:rPr>
        <w:t>uer</w:t>
      </w:r>
      <w:r w:rsidRPr="00AC4931">
        <w:rPr>
          <w:rFonts w:ascii="Arial" w:eastAsia="宋体" w:hAnsi="Arial" w:cs="Arial"/>
          <w:b/>
          <w:bCs/>
          <w:color w:val="010202"/>
          <w:spacing w:val="11"/>
          <w:kern w:val="0"/>
          <w:sz w:val="22"/>
        </w:rPr>
        <w:t> </w:t>
      </w:r>
      <w:r w:rsidRPr="00AC4931">
        <w:rPr>
          <w:rFonts w:ascii="Arial" w:eastAsia="宋体" w:hAnsi="Arial" w:cs="Arial"/>
          <w:b/>
          <w:bCs/>
          <w:color w:val="010202"/>
          <w:spacing w:val="-1"/>
          <w:kern w:val="0"/>
          <w:sz w:val="22"/>
        </w:rPr>
        <w:t>P</w:t>
      </w:r>
      <w:r w:rsidRPr="00AC4931">
        <w:rPr>
          <w:rFonts w:ascii="Arial" w:eastAsia="宋体" w:hAnsi="Arial" w:cs="Arial"/>
          <w:b/>
          <w:bCs/>
          <w:color w:val="010202"/>
          <w:kern w:val="0"/>
          <w:sz w:val="22"/>
        </w:rPr>
        <w:t>urchases</w:t>
      </w:r>
      <w:r w:rsidRPr="00AC4931">
        <w:rPr>
          <w:rFonts w:ascii="Arial" w:eastAsia="宋体" w:hAnsi="Arial" w:cs="Arial"/>
          <w:b/>
          <w:bCs/>
          <w:color w:val="010202"/>
          <w:spacing w:val="16"/>
          <w:kern w:val="0"/>
          <w:sz w:val="22"/>
        </w:rPr>
        <w:t> </w:t>
      </w:r>
      <w:r w:rsidRPr="00AC4931">
        <w:rPr>
          <w:rFonts w:ascii="Arial" w:eastAsia="宋体" w:hAnsi="Arial" w:cs="Arial"/>
          <w:b/>
          <w:bCs/>
          <w:color w:val="010202"/>
          <w:kern w:val="0"/>
          <w:sz w:val="22"/>
        </w:rPr>
        <w:t>of</w:t>
      </w:r>
      <w:r w:rsidRPr="00AC4931">
        <w:rPr>
          <w:rFonts w:ascii="Arial" w:eastAsia="宋体" w:hAnsi="Arial" w:cs="Arial"/>
          <w:b/>
          <w:bCs/>
          <w:color w:val="010202"/>
          <w:spacing w:val="4"/>
          <w:kern w:val="0"/>
          <w:sz w:val="22"/>
        </w:rPr>
        <w:t> </w:t>
      </w:r>
      <w:r w:rsidRPr="00AC4931">
        <w:rPr>
          <w:rFonts w:ascii="Arial" w:eastAsia="宋体" w:hAnsi="Arial" w:cs="Arial"/>
          <w:b/>
          <w:bCs/>
          <w:color w:val="010202"/>
          <w:kern w:val="0"/>
          <w:sz w:val="22"/>
        </w:rPr>
        <w:t>Equity</w:t>
      </w:r>
      <w:r w:rsidRPr="00AC4931">
        <w:rPr>
          <w:rFonts w:ascii="Arial" w:eastAsia="宋体" w:hAnsi="Arial" w:cs="Arial"/>
          <w:b/>
          <w:bCs/>
          <w:color w:val="010202"/>
          <w:spacing w:val="12"/>
          <w:kern w:val="0"/>
          <w:sz w:val="22"/>
        </w:rPr>
        <w:t> </w:t>
      </w:r>
      <w:r w:rsidRPr="00AC4931">
        <w:rPr>
          <w:rFonts w:ascii="Arial" w:eastAsia="宋体" w:hAnsi="Arial" w:cs="Arial"/>
          <w:b/>
          <w:bCs/>
          <w:color w:val="010202"/>
          <w:kern w:val="0"/>
          <w:sz w:val="22"/>
        </w:rPr>
        <w:t>Securities</w:t>
      </w:r>
    </w:p>
    <w:p w14:paraId="7710655E" w14:textId="77777777" w:rsidR="00AC4931" w:rsidRPr="00AC4931" w:rsidRDefault="00AC4931" w:rsidP="00AC4931">
      <w:pPr>
        <w:widowControl/>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p w14:paraId="4B0DBA03" w14:textId="77777777" w:rsidR="00AC4931" w:rsidRPr="00AC4931" w:rsidRDefault="00AC4931" w:rsidP="00AC4931">
      <w:pPr>
        <w:widowControl/>
        <w:rPr>
          <w:rFonts w:ascii="微软雅黑" w:eastAsia="微软雅黑" w:hAnsi="微软雅黑" w:cs="宋体" w:hint="eastAsia"/>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68A5F076" w14:textId="77777777" w:rsidR="00AC4931" w:rsidRPr="00AC4931" w:rsidRDefault="00AC4931" w:rsidP="00AC4931">
      <w:pPr>
        <w:widowControl/>
        <w:rPr>
          <w:rFonts w:ascii="Arial" w:eastAsia="宋体" w:hAnsi="Arial" w:cs="Arial" w:hint="eastAsia"/>
          <w:b/>
          <w:bCs/>
          <w:color w:val="010202"/>
          <w:kern w:val="0"/>
          <w:sz w:val="18"/>
          <w:szCs w:val="18"/>
        </w:rPr>
      </w:pPr>
      <w:r w:rsidRPr="00AC4931">
        <w:rPr>
          <w:rFonts w:ascii="Arial" w:eastAsia="宋体" w:hAnsi="Arial" w:cs="Arial"/>
          <w:b/>
          <w:bCs/>
          <w:color w:val="010202"/>
          <w:kern w:val="0"/>
          <w:sz w:val="18"/>
          <w:szCs w:val="18"/>
        </w:rPr>
        <w:t>Shareholder information</w:t>
      </w:r>
    </w:p>
    <w:p w14:paraId="4106C3DF"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3B951628"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The primary exchange market for Autoliv’s securities is the New York Stock Exchange (NYSE) where Autoliv’s common stock trades under the symbol “ALV”. Autoliv’s Swedish Depositary Receipts (SDRs) are traded on NASDAQ Stockholm’s list for large market cap companies under the symbol “ALIV SDB”. Options in SDRs trade on Nasdaq Stockholm under the name “Autoliv SDB”.  Options in Autoliv shares are traded on NASDAQ OMX PHLX and on NYSE Amex Options under the symbol “ALV”.</w:t>
      </w:r>
    </w:p>
    <w:p w14:paraId="617FD5B2"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035ED5A" w14:textId="77777777" w:rsidR="00AC4931" w:rsidRPr="00AC4931" w:rsidRDefault="00AC4931" w:rsidP="00AC4931">
      <w:pPr>
        <w:widowControl/>
        <w:rPr>
          <w:rFonts w:ascii="微软雅黑" w:eastAsia="微软雅黑" w:hAnsi="微软雅黑" w:cs="宋体" w:hint="eastAsia"/>
          <w:color w:val="000000"/>
          <w:kern w:val="0"/>
          <w:sz w:val="18"/>
          <w:szCs w:val="18"/>
        </w:rPr>
      </w:pPr>
      <w:r w:rsidRPr="00AC4931">
        <w:rPr>
          <w:rFonts w:ascii="微软雅黑" w:eastAsia="微软雅黑" w:hAnsi="微软雅黑" w:cs="宋体" w:hint="eastAsia"/>
          <w:color w:val="000000"/>
          <w:kern w:val="0"/>
          <w:sz w:val="18"/>
          <w:szCs w:val="18"/>
        </w:rPr>
        <w:t> </w:t>
      </w:r>
    </w:p>
    <w:p w14:paraId="2FDF4773"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u w:val="single"/>
        </w:rPr>
        <w:t>Share price information</w:t>
      </w:r>
      <w:r w:rsidRPr="00AC4931">
        <w:rPr>
          <w:rFonts w:ascii="Arial" w:eastAsia="宋体" w:hAnsi="Arial" w:cs="Arial"/>
          <w:b/>
          <w:bCs/>
          <w:color w:val="000000"/>
          <w:kern w:val="0"/>
          <w:sz w:val="18"/>
          <w:szCs w:val="18"/>
        </w:rPr>
        <w:t>*</w:t>
      </w:r>
    </w:p>
    <w:p w14:paraId="23C4D1A2"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0AB0752" w14:textId="103C61E9" w:rsidR="00AC4931" w:rsidRPr="00AC4931" w:rsidRDefault="00AC4931" w:rsidP="00AC4931">
      <w:pPr>
        <w:widowControl/>
        <w:rPr>
          <w:rFonts w:ascii="Arial" w:eastAsia="宋体" w:hAnsi="Arial" w:cs="Arial" w:hint="eastAsia"/>
          <w:b/>
          <w:bCs/>
          <w:color w:val="FF0000"/>
          <w:kern w:val="0"/>
          <w:sz w:val="18"/>
          <w:szCs w:val="18"/>
        </w:rPr>
      </w:pPr>
      <w:r w:rsidRPr="00AC4931">
        <w:rPr>
          <w:rFonts w:ascii="Arial" w:eastAsia="宋体" w:hAnsi="Arial" w:cs="Arial"/>
          <w:b/>
          <w:bCs/>
          <w:noProof/>
          <w:color w:val="FF0000"/>
          <w:kern w:val="0"/>
          <w:sz w:val="18"/>
          <w:szCs w:val="18"/>
        </w:rPr>
        <mc:AlternateContent>
          <mc:Choice Requires="wps">
            <w:drawing>
              <wp:inline distT="0" distB="0" distL="0" distR="0" wp14:anchorId="76D7FC2D" wp14:editId="0EF2B5FD">
                <wp:extent cx="306705" cy="30670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20E84" id="矩形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479AEAAME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vENOO/QBAADB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4C44BBF7"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03EBD125" w14:textId="1E505EC4" w:rsidR="00AC4931" w:rsidRPr="00AC4931" w:rsidRDefault="00AC4931" w:rsidP="00AC4931">
      <w:pPr>
        <w:widowControl/>
        <w:rPr>
          <w:rFonts w:ascii="Arial" w:eastAsia="宋体" w:hAnsi="Arial" w:cs="Arial" w:hint="eastAsia"/>
          <w:b/>
          <w:bCs/>
          <w:color w:val="FF0000"/>
          <w:kern w:val="0"/>
          <w:sz w:val="18"/>
          <w:szCs w:val="18"/>
        </w:rPr>
      </w:pPr>
      <w:r w:rsidRPr="00AC4931">
        <w:rPr>
          <w:rFonts w:ascii="Arial" w:eastAsia="宋体" w:hAnsi="Arial" w:cs="Arial"/>
          <w:b/>
          <w:bCs/>
          <w:noProof/>
          <w:color w:val="FF0000"/>
          <w:kern w:val="0"/>
          <w:sz w:val="18"/>
          <w:szCs w:val="18"/>
        </w:rPr>
        <mc:AlternateContent>
          <mc:Choice Requires="wps">
            <w:drawing>
              <wp:inline distT="0" distB="0" distL="0" distR="0" wp14:anchorId="56F23FAF" wp14:editId="09D3D2F3">
                <wp:extent cx="306705" cy="30670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4EBA6" id="矩形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G+8gEAAME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Jc7cb7yAQAAwQMAAA4AAAAAAAAAAAAAAAAALgIAAGRycy9lMm9E&#10;b2MueG1sUEsBAi0AFAAGAAgAAAAhACYLKzzaAAAAAwEAAA8AAAAAAAAAAAAAAAAATAQAAGRycy9k&#10;b3ducmV2LnhtbFBLBQYAAAAABAAEAPMAAABTBQAAAAA=&#10;" filled="f" stroked="f">
                <o:lock v:ext="edit" aspectratio="t"/>
                <w10:anchorlock/>
              </v:rect>
            </w:pict>
          </mc:Fallback>
        </mc:AlternateContent>
      </w:r>
    </w:p>
    <w:p w14:paraId="08C326D3"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41B530D6"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26</w:t>
      </w:r>
    </w:p>
    <w:p w14:paraId="5F1F66D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2B86167"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lastRenderedPageBreak/>
        <w:t> </w:t>
      </w:r>
    </w:p>
    <w:p w14:paraId="067D817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7DC6BEE"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68207CC">
          <v:rect id="_x0000_i1053" style="width:0;height:1.5pt" o:hralign="center" o:hrstd="t" o:hrnoshade="t" o:hr="t" fillcolor="black" stroked="f"/>
        </w:pict>
      </w:r>
    </w:p>
    <w:p w14:paraId="7E2537B0"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4D65DE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EDDA0F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774FE2A"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5E479AAD" w14:textId="77777777" w:rsidR="00AC4931" w:rsidRPr="00AC4931" w:rsidRDefault="00AC4931" w:rsidP="00AC4931">
      <w:pPr>
        <w:widowControl/>
        <w:ind w:left="212"/>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For all periods before the distribution date of Veoneer on June 29, 2018, the Autoliv share prices are adjusted by a factor of 72.04%.</w:t>
      </w:r>
    </w:p>
    <w:p w14:paraId="7C05BDC7" w14:textId="77777777" w:rsidR="00AC4931" w:rsidRPr="00AC4931" w:rsidRDefault="00AC4931" w:rsidP="00AC4931">
      <w:pPr>
        <w:widowControl/>
        <w:rPr>
          <w:rFonts w:ascii="Arial" w:eastAsia="宋体" w:hAnsi="Arial" w:cs="Arial"/>
          <w:color w:val="000000"/>
          <w:kern w:val="0"/>
          <w:sz w:val="18"/>
          <w:szCs w:val="18"/>
        </w:rPr>
      </w:pPr>
      <w:r w:rsidRPr="00AC4931">
        <w:rPr>
          <w:rFonts w:ascii="Arial" w:eastAsia="宋体" w:hAnsi="Arial" w:cs="Arial"/>
          <w:color w:val="000000"/>
          <w:kern w:val="0"/>
          <w:sz w:val="18"/>
          <w:szCs w:val="18"/>
          <w:u w:val="single"/>
        </w:rPr>
        <w:t>Number of shares</w:t>
      </w:r>
    </w:p>
    <w:p w14:paraId="034E80D2"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75B09FC6"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During 2020, the weighted average number of shares outstanding (excluding dilution and treasury shares) increased to 87.3 million from 87.2 million in 2019. The weighted average number of shares outstanding for the full year 2020, assuming dilution, increased to 87.5 from 87.4 million in 2019.</w:t>
      </w:r>
    </w:p>
    <w:p w14:paraId="13EE6493"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3B950656"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Stock options (if exercised) and granted Restricted Stock Units (RSUs) and Performance Shares (PSs) could increase the number of shares outstanding by 0.5 million shares in the aggregate. Combined, this would add 0.6% to the number of shares outstanding. On December 31, 2020, 3.0 million shares were available for repurchase pursuant to the stock repurchase program authorized by the Board of Directors in 2014. On December 31, 2020, the Company had 15.4 million treasury shares.</w:t>
      </w:r>
    </w:p>
    <w:p w14:paraId="5F20EE27"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D5D3100" w14:textId="77777777" w:rsidR="00AC4931" w:rsidRPr="00AC4931" w:rsidRDefault="00AC4931" w:rsidP="00AC4931">
      <w:pPr>
        <w:widowControl/>
        <w:spacing w:before="1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u w:val="single"/>
        </w:rPr>
        <w:t>Shareholders</w:t>
      </w:r>
    </w:p>
    <w:p w14:paraId="4B2D96E1"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2F021353"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As of the end of 2020 around 20% of Autoliv’s securities were held by U.S.-based shareholders and close to 57% by Sweden-based shareholders. Most of the remaining Autoliv securities were held in the U.K., Switzerland, Norway, France and Denmark.</w:t>
      </w:r>
    </w:p>
    <w:p w14:paraId="7DAC2BF8"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511FBA9C" w14:textId="77777777" w:rsidR="00AC4931" w:rsidRPr="00AC4931" w:rsidRDefault="00AC4931" w:rsidP="00AC4931">
      <w:pPr>
        <w:widowControl/>
        <w:spacing w:before="160"/>
        <w:rPr>
          <w:rFonts w:ascii="Arial" w:eastAsia="宋体" w:hAnsi="Arial" w:cs="Arial" w:hint="eastAsia"/>
          <w:b/>
          <w:bCs/>
          <w:color w:val="010202"/>
          <w:kern w:val="0"/>
          <w:sz w:val="18"/>
          <w:szCs w:val="18"/>
        </w:rPr>
      </w:pPr>
      <w:r w:rsidRPr="00AC4931">
        <w:rPr>
          <w:rFonts w:ascii="Arial" w:eastAsia="宋体" w:hAnsi="Arial" w:cs="Arial"/>
          <w:b/>
          <w:bCs/>
          <w:color w:val="010202"/>
          <w:kern w:val="0"/>
          <w:sz w:val="18"/>
          <w:szCs w:val="18"/>
        </w:rPr>
        <w:t>Divi</w:t>
      </w:r>
      <w:r w:rsidRPr="00AC4931">
        <w:rPr>
          <w:rFonts w:ascii="Arial" w:eastAsia="宋体" w:hAnsi="Arial" w:cs="Arial"/>
          <w:b/>
          <w:bCs/>
          <w:color w:val="010202"/>
          <w:spacing w:val="-1"/>
          <w:kern w:val="0"/>
          <w:sz w:val="18"/>
          <w:szCs w:val="18"/>
        </w:rPr>
        <w:t>d</w:t>
      </w:r>
      <w:r w:rsidRPr="00AC4931">
        <w:rPr>
          <w:rFonts w:ascii="Arial" w:eastAsia="宋体" w:hAnsi="Arial" w:cs="Arial"/>
          <w:b/>
          <w:bCs/>
          <w:color w:val="010202"/>
          <w:kern w:val="0"/>
          <w:sz w:val="18"/>
          <w:szCs w:val="18"/>
        </w:rPr>
        <w:t>ends</w:t>
      </w:r>
    </w:p>
    <w:p w14:paraId="4946D3B4"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3D3482D9"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If declared by the Board of Directors, quarterly dividends are usually paid on the first Thursday in the last month of each quarter. Declared dividends are announced in press releases and published on Autoliv’s corporate website. Autoliv has a history of paying quarterly cash dividends; however, on April 2, 2020, our Board of Directors suspended our quarterly dividend after determining that a suspension was necessary in light of the evolving global COVID-19 pandemic, decline in global LVP, the uncertainty surrounding the recession at that time and the inherent risk of customer defaults. The Board revisits dividends on a quarterly basis. There can be no assurance that our Board of Directors will declare dividends in the future. See Autoliv’s corporate website for additional details regarding historical dividends.</w:t>
      </w:r>
    </w:p>
    <w:p w14:paraId="228C8C3C" w14:textId="77777777" w:rsidR="00AC4931" w:rsidRPr="00AC4931" w:rsidRDefault="00AC4931" w:rsidP="00AC4931">
      <w:pPr>
        <w:widowControl/>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t> </w:t>
      </w:r>
    </w:p>
    <w:p w14:paraId="04ECA5A1" w14:textId="77777777" w:rsidR="00AC4931" w:rsidRPr="00AC4931" w:rsidRDefault="00AC4931" w:rsidP="00AC4931">
      <w:pPr>
        <w:widowControl/>
        <w:spacing w:before="1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Stock incentive plan</w:t>
      </w:r>
    </w:p>
    <w:p w14:paraId="059ABE1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Autoliv employees participate in the Autoliv, Inc. 1997 Stock Incentive Plan, as amended (the “Stock Incentive Plan”) and receive Autoliv stock-based awards from time to time. In connection with the spin-off, each outstanding Autoliv stock-based award as of June 29, 2018 was converted to stock awards that have underlying shares of both Autoliv and Veoneer common stock (see Note 17 to the Consolidated Financial </w:t>
      </w:r>
      <w:r w:rsidRPr="00AC4931">
        <w:rPr>
          <w:rFonts w:ascii="Arial" w:eastAsia="宋体" w:hAnsi="Arial" w:cs="Arial"/>
          <w:color w:val="000000"/>
          <w:kern w:val="0"/>
          <w:sz w:val="18"/>
          <w:szCs w:val="18"/>
        </w:rPr>
        <w:lastRenderedPageBreak/>
        <w:t>Statements in this Annual Report). Additional information regarding the securities authorized for issuance under the Stock Incentive Plan is included in Item 12 of this Annual Report.</w:t>
      </w:r>
    </w:p>
    <w:p w14:paraId="1C7A954E" w14:textId="77777777" w:rsidR="00AC4931" w:rsidRPr="00AC4931" w:rsidRDefault="00AC4931" w:rsidP="00AC4931">
      <w:pPr>
        <w:widowControl/>
        <w:spacing w:before="240"/>
        <w:rPr>
          <w:rFonts w:ascii="Arial" w:eastAsia="宋体" w:hAnsi="Arial" w:cs="Arial"/>
          <w:color w:val="010202"/>
          <w:kern w:val="0"/>
          <w:sz w:val="18"/>
          <w:szCs w:val="18"/>
        </w:rPr>
      </w:pPr>
      <w:r w:rsidRPr="00AC4931">
        <w:rPr>
          <w:rFonts w:ascii="Arial" w:eastAsia="宋体" w:hAnsi="Arial" w:cs="Arial"/>
          <w:color w:val="010202"/>
          <w:kern w:val="0"/>
          <w:sz w:val="18"/>
          <w:szCs w:val="18"/>
        </w:rPr>
        <w:t>Autoliv has adopted a Stock Ownership Policy for Executives requiring the Company’s Chief Executive Officer (CEO) to accumulate and hold the number of Autoliv shares having a value of twice his annual base salary. For other executives, the minimum requirement is, over time, a holding equal to each executive’s annual base salary.</w:t>
      </w:r>
    </w:p>
    <w:p w14:paraId="25BE7FDE"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183C39C6" w14:textId="77777777" w:rsidR="00AC4931" w:rsidRPr="00AC4931" w:rsidRDefault="00AC4931" w:rsidP="00AC4931">
      <w:pPr>
        <w:widowControl/>
        <w:rPr>
          <w:rFonts w:ascii="微软雅黑" w:eastAsia="微软雅黑" w:hAnsi="微软雅黑" w:cs="宋体" w:hint="eastAsia"/>
          <w:color w:val="000000"/>
          <w:kern w:val="0"/>
          <w:sz w:val="16"/>
          <w:szCs w:val="16"/>
        </w:rPr>
      </w:pPr>
      <w:r w:rsidRPr="00AC4931">
        <w:rPr>
          <w:rFonts w:ascii="微软雅黑" w:eastAsia="微软雅黑" w:hAnsi="微软雅黑" w:cs="宋体" w:hint="eastAsia"/>
          <w:color w:val="000000"/>
          <w:kern w:val="0"/>
          <w:sz w:val="16"/>
          <w:szCs w:val="16"/>
        </w:rPr>
        <w:t> </w:t>
      </w:r>
    </w:p>
    <w:p w14:paraId="59811767" w14:textId="77777777" w:rsidR="00AC4931" w:rsidRPr="00AC4931" w:rsidRDefault="00AC4931" w:rsidP="00AC4931">
      <w:pPr>
        <w:widowControl/>
        <w:rPr>
          <w:rFonts w:ascii="Arial" w:eastAsia="宋体" w:hAnsi="Arial" w:cs="Arial" w:hint="eastAsia"/>
          <w:b/>
          <w:bCs/>
          <w:color w:val="010202"/>
          <w:kern w:val="0"/>
          <w:sz w:val="18"/>
          <w:szCs w:val="18"/>
        </w:rPr>
      </w:pPr>
      <w:r w:rsidRPr="00AC4931">
        <w:rPr>
          <w:rFonts w:ascii="Arial" w:eastAsia="宋体" w:hAnsi="Arial" w:cs="Arial"/>
          <w:b/>
          <w:bCs/>
          <w:color w:val="010202"/>
          <w:kern w:val="0"/>
          <w:sz w:val="18"/>
          <w:szCs w:val="18"/>
        </w:rPr>
        <w:t>Sto</w:t>
      </w:r>
      <w:r w:rsidRPr="00AC4931">
        <w:rPr>
          <w:rFonts w:ascii="Arial" w:eastAsia="宋体" w:hAnsi="Arial" w:cs="Arial"/>
          <w:b/>
          <w:bCs/>
          <w:color w:val="010202"/>
          <w:spacing w:val="-1"/>
          <w:kern w:val="0"/>
          <w:sz w:val="18"/>
          <w:szCs w:val="18"/>
        </w:rPr>
        <w:t>c</w:t>
      </w:r>
      <w:r w:rsidRPr="00AC4931">
        <w:rPr>
          <w:rFonts w:ascii="Arial" w:eastAsia="宋体" w:hAnsi="Arial" w:cs="Arial"/>
          <w:b/>
          <w:bCs/>
          <w:color w:val="010202"/>
          <w:kern w:val="0"/>
          <w:sz w:val="18"/>
          <w:szCs w:val="18"/>
        </w:rPr>
        <w:t>k</w:t>
      </w:r>
      <w:r w:rsidRPr="00AC4931">
        <w:rPr>
          <w:rFonts w:ascii="Arial" w:eastAsia="宋体" w:hAnsi="Arial" w:cs="Arial"/>
          <w:b/>
          <w:bCs/>
          <w:color w:val="010202"/>
          <w:spacing w:val="10"/>
          <w:kern w:val="0"/>
          <w:sz w:val="18"/>
          <w:szCs w:val="18"/>
        </w:rPr>
        <w:t> </w:t>
      </w:r>
      <w:r w:rsidRPr="00AC4931">
        <w:rPr>
          <w:rFonts w:ascii="Arial" w:eastAsia="宋体" w:hAnsi="Arial" w:cs="Arial"/>
          <w:b/>
          <w:bCs/>
          <w:color w:val="010202"/>
          <w:kern w:val="0"/>
          <w:sz w:val="18"/>
          <w:szCs w:val="18"/>
        </w:rPr>
        <w:t>repurchase</w:t>
      </w:r>
      <w:r w:rsidRPr="00AC4931">
        <w:rPr>
          <w:rFonts w:ascii="Arial" w:eastAsia="宋体" w:hAnsi="Arial" w:cs="Arial"/>
          <w:b/>
          <w:bCs/>
          <w:color w:val="010202"/>
          <w:spacing w:val="18"/>
          <w:kern w:val="0"/>
          <w:sz w:val="18"/>
          <w:szCs w:val="18"/>
        </w:rPr>
        <w:t> </w:t>
      </w:r>
      <w:r w:rsidRPr="00AC4931">
        <w:rPr>
          <w:rFonts w:ascii="Arial" w:eastAsia="宋体" w:hAnsi="Arial" w:cs="Arial"/>
          <w:b/>
          <w:bCs/>
          <w:color w:val="010202"/>
          <w:kern w:val="0"/>
          <w:sz w:val="18"/>
          <w:szCs w:val="18"/>
        </w:rPr>
        <w:t>program</w:t>
      </w:r>
    </w:p>
    <w:p w14:paraId="486BA648" w14:textId="77777777" w:rsidR="00AC4931" w:rsidRPr="00AC4931" w:rsidRDefault="00AC4931" w:rsidP="00AC4931">
      <w:pPr>
        <w:widowControl/>
        <w:spacing w:before="240"/>
        <w:rPr>
          <w:rFonts w:ascii="Arial" w:eastAsia="宋体" w:hAnsi="Arial" w:cs="Arial"/>
          <w:color w:val="010202"/>
          <w:kern w:val="0"/>
          <w:sz w:val="18"/>
          <w:szCs w:val="18"/>
        </w:rPr>
      </w:pPr>
      <w:r w:rsidRPr="00AC4931">
        <w:rPr>
          <w:rFonts w:ascii="Arial" w:eastAsia="宋体" w:hAnsi="Arial" w:cs="Arial"/>
          <w:color w:val="010202"/>
          <w:kern w:val="0"/>
          <w:sz w:val="18"/>
          <w:szCs w:val="18"/>
        </w:rPr>
        <w:t>Autoliv initiated its repurchase program in 2000 with 10 million shares and has subsequently increased the total authorization four times between 2000 and 2014 to 47.5 million shares.</w:t>
      </w:r>
      <w:r w:rsidRPr="00AC4931">
        <w:rPr>
          <w:rFonts w:ascii="Arial" w:eastAsia="宋体" w:hAnsi="Arial" w:cs="Arial"/>
          <w:color w:val="000000"/>
          <w:kern w:val="0"/>
          <w:sz w:val="18"/>
          <w:szCs w:val="18"/>
        </w:rPr>
        <w:t> </w:t>
      </w:r>
      <w:r w:rsidRPr="00AC4931">
        <w:rPr>
          <w:rFonts w:ascii="Arial" w:eastAsia="宋体" w:hAnsi="Arial" w:cs="Arial"/>
          <w:color w:val="010202"/>
          <w:kern w:val="0"/>
          <w:sz w:val="18"/>
          <w:szCs w:val="18"/>
        </w:rPr>
        <w:t>Such purchases may be made from time to time on the open market or otherwise at the discretion of management. There is no expiration date for the share repurchase authorization to provide management flexibility in the Company’s repurchases.</w:t>
      </w:r>
    </w:p>
    <w:p w14:paraId="64D6E628" w14:textId="77777777" w:rsidR="00AC4931" w:rsidRPr="00AC4931" w:rsidRDefault="00AC4931" w:rsidP="00AC4931">
      <w:pPr>
        <w:widowControl/>
        <w:spacing w:before="240"/>
        <w:rPr>
          <w:rFonts w:ascii="Arial" w:eastAsia="宋体" w:hAnsi="Arial" w:cs="Arial"/>
          <w:color w:val="010202"/>
          <w:kern w:val="0"/>
          <w:sz w:val="18"/>
          <w:szCs w:val="18"/>
        </w:rPr>
      </w:pPr>
      <w:r w:rsidRPr="00AC4931">
        <w:rPr>
          <w:rFonts w:ascii="Arial" w:eastAsia="宋体" w:hAnsi="Arial" w:cs="Arial"/>
          <w:color w:val="010202"/>
          <w:kern w:val="0"/>
          <w:sz w:val="18"/>
          <w:szCs w:val="18"/>
        </w:rPr>
        <w:t>In total, Autoliv repurchased 44.5 million shares between May 2000 and December 31, 2017 for cash of $2,498 million, including commissions. No repurchases were made during 2019 or 2020. Autoliv has made no share repurchases since June 30, 2017. The maximum number of shares that may still be purchased under the stock repurchase program amounted to 2,986,288 shares at December 31, 2020.</w:t>
      </w:r>
    </w:p>
    <w:p w14:paraId="234869BE" w14:textId="77777777" w:rsidR="00AC4931" w:rsidRPr="00AC4931" w:rsidRDefault="00AC4931" w:rsidP="00AC4931">
      <w:pPr>
        <w:widowControl/>
        <w:spacing w:before="240"/>
        <w:rPr>
          <w:rFonts w:ascii="Arial" w:eastAsia="宋体" w:hAnsi="Arial" w:cs="Arial"/>
          <w:color w:val="010202"/>
          <w:kern w:val="0"/>
          <w:sz w:val="18"/>
          <w:szCs w:val="18"/>
        </w:rPr>
      </w:pPr>
      <w:r w:rsidRPr="00AC4931">
        <w:rPr>
          <w:rFonts w:ascii="Arial" w:eastAsia="宋体" w:hAnsi="Arial" w:cs="Arial"/>
          <w:color w:val="010202"/>
          <w:kern w:val="0"/>
          <w:sz w:val="18"/>
          <w:szCs w:val="18"/>
        </w:rPr>
        <w:t>Of the total number of repurchased shares, 23.6 million shares were utilized for the equity units offering during 2009-2012. In addition, approximately 5.5 million shares have been utilized by the Stock Incentive Plan. </w:t>
      </w:r>
      <w:r w:rsidRPr="00AC4931">
        <w:rPr>
          <w:rFonts w:ascii="Arial" w:eastAsia="宋体" w:hAnsi="Arial" w:cs="Arial"/>
          <w:color w:val="000000"/>
          <w:kern w:val="0"/>
          <w:sz w:val="18"/>
          <w:szCs w:val="18"/>
        </w:rPr>
        <w:t>At December 31, 2020, 15.4 million of the repurchased shares remain in treasury stock.</w:t>
      </w:r>
    </w:p>
    <w:p w14:paraId="2C0D765E"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27</w:t>
      </w:r>
    </w:p>
    <w:p w14:paraId="1B82AD8C"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F488C9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D45F6DD"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01C41BF"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571F42D">
          <v:rect id="_x0000_i1054" style="width:0;height:1.5pt" o:hralign="center" o:hrstd="t" o:hrnoshade="t" o:hr="t" fillcolor="black" stroked="f"/>
        </w:pict>
      </w:r>
    </w:p>
    <w:p w14:paraId="7712FE7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EB949B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54EB32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73B8A55" w14:textId="77777777" w:rsidR="00AC4931" w:rsidRPr="00AC4931" w:rsidRDefault="00AC4931" w:rsidP="00AC4931">
      <w:pPr>
        <w:widowControl/>
        <w:spacing w:before="340"/>
        <w:rPr>
          <w:rFonts w:ascii="Arial" w:eastAsia="宋体" w:hAnsi="Arial" w:cs="Arial" w:hint="eastAsia"/>
          <w:b/>
          <w:bCs/>
          <w:color w:val="010202"/>
          <w:kern w:val="0"/>
          <w:sz w:val="22"/>
        </w:rPr>
      </w:pPr>
      <w:r w:rsidRPr="00AC4931">
        <w:rPr>
          <w:rFonts w:ascii="Arial" w:eastAsia="宋体" w:hAnsi="Arial" w:cs="Arial"/>
          <w:b/>
          <w:bCs/>
          <w:color w:val="010202"/>
          <w:kern w:val="0"/>
          <w:sz w:val="22"/>
        </w:rPr>
        <w:t>Item 6. Selected Financial Data</w:t>
      </w:r>
    </w:p>
    <w:p w14:paraId="123683F9" w14:textId="77777777" w:rsidR="00AC4931" w:rsidRPr="00AC4931" w:rsidRDefault="00AC4931" w:rsidP="00AC4931">
      <w:pPr>
        <w:widowControl/>
        <w:spacing w:before="120"/>
        <w:rPr>
          <w:rFonts w:ascii="Arial" w:eastAsia="宋体" w:hAnsi="Arial" w:cs="Arial"/>
          <w:color w:val="010202"/>
          <w:kern w:val="0"/>
          <w:sz w:val="18"/>
          <w:szCs w:val="18"/>
        </w:rPr>
      </w:pPr>
      <w:r w:rsidRPr="00AC4931">
        <w:rPr>
          <w:rFonts w:ascii="Arial" w:eastAsia="宋体" w:hAnsi="Arial" w:cs="Arial"/>
          <w:color w:val="010202"/>
          <w:kern w:val="0"/>
          <w:sz w:val="18"/>
          <w:szCs w:val="18"/>
        </w:rPr>
        <w:t>Selected financial data for the last five fiscal years ended December 31 for the Continuing Operations, unless noted, is summarized in the table below.</w:t>
      </w:r>
    </w:p>
    <w:p w14:paraId="5071978F"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298"/>
        <w:gridCol w:w="209"/>
        <w:gridCol w:w="200"/>
        <w:gridCol w:w="1651"/>
        <w:gridCol w:w="200"/>
        <w:gridCol w:w="209"/>
        <w:gridCol w:w="201"/>
        <w:gridCol w:w="1652"/>
        <w:gridCol w:w="201"/>
        <w:gridCol w:w="210"/>
        <w:gridCol w:w="201"/>
        <w:gridCol w:w="1652"/>
        <w:gridCol w:w="201"/>
        <w:gridCol w:w="210"/>
        <w:gridCol w:w="201"/>
        <w:gridCol w:w="1652"/>
        <w:gridCol w:w="201"/>
        <w:gridCol w:w="210"/>
        <w:gridCol w:w="201"/>
        <w:gridCol w:w="1652"/>
        <w:gridCol w:w="202"/>
      </w:tblGrid>
      <w:tr w:rsidR="00AC4931" w:rsidRPr="00AC4931" w14:paraId="60C5F8C3" w14:textId="77777777" w:rsidTr="00AC4931">
        <w:tc>
          <w:tcPr>
            <w:tcW w:w="9225" w:type="dxa"/>
            <w:shd w:val="clear" w:color="auto" w:fill="FFFFFF"/>
            <w:tcMar>
              <w:top w:w="15" w:type="dxa"/>
              <w:left w:w="0" w:type="dxa"/>
              <w:bottom w:w="0" w:type="dxa"/>
              <w:right w:w="15" w:type="dxa"/>
            </w:tcMar>
            <w:vAlign w:val="bottom"/>
            <w:hideMark/>
          </w:tcPr>
          <w:p w14:paraId="30D03A51" w14:textId="77777777" w:rsidR="00AC4931" w:rsidRPr="00AC4931" w:rsidRDefault="00AC4931" w:rsidP="00AC4931">
            <w:pPr>
              <w:widowControl/>
              <w:jc w:val="left"/>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u w:val="single"/>
              </w:rPr>
              <w:t>(DOLLARS IN MILLIONS, EXCEPT PER SHARE DATA)</w:t>
            </w:r>
          </w:p>
        </w:tc>
        <w:tc>
          <w:tcPr>
            <w:tcW w:w="208" w:type="dxa"/>
            <w:shd w:val="clear" w:color="auto" w:fill="FFFFFF"/>
            <w:tcMar>
              <w:top w:w="15" w:type="dxa"/>
              <w:left w:w="0" w:type="dxa"/>
              <w:bottom w:w="0" w:type="dxa"/>
              <w:right w:w="15" w:type="dxa"/>
            </w:tcMar>
            <w:vAlign w:val="bottom"/>
            <w:hideMark/>
          </w:tcPr>
          <w:p w14:paraId="3F5A087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30" w:type="dxa"/>
            <w:gridSpan w:val="2"/>
            <w:tcBorders>
              <w:bottom w:val="single" w:sz="6" w:space="0" w:color="000000"/>
            </w:tcBorders>
            <w:shd w:val="clear" w:color="auto" w:fill="FFFFFF"/>
            <w:tcMar>
              <w:top w:w="15" w:type="dxa"/>
              <w:left w:w="0" w:type="dxa"/>
              <w:bottom w:w="0" w:type="dxa"/>
              <w:right w:w="15" w:type="dxa"/>
            </w:tcMar>
            <w:vAlign w:val="bottom"/>
            <w:hideMark/>
          </w:tcPr>
          <w:p w14:paraId="7C02E12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1584193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 w:type="dxa"/>
            <w:shd w:val="clear" w:color="auto" w:fill="FFFFFF"/>
            <w:tcMar>
              <w:top w:w="15" w:type="dxa"/>
              <w:left w:w="0" w:type="dxa"/>
              <w:bottom w:w="0" w:type="dxa"/>
              <w:right w:w="15" w:type="dxa"/>
            </w:tcMar>
            <w:vAlign w:val="bottom"/>
            <w:hideMark/>
          </w:tcPr>
          <w:p w14:paraId="07C825A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30" w:type="dxa"/>
            <w:gridSpan w:val="2"/>
            <w:tcBorders>
              <w:bottom w:val="single" w:sz="6" w:space="0" w:color="000000"/>
            </w:tcBorders>
            <w:shd w:val="clear" w:color="auto" w:fill="FFFFFF"/>
            <w:tcMar>
              <w:top w:w="15" w:type="dxa"/>
              <w:left w:w="0" w:type="dxa"/>
              <w:bottom w:w="0" w:type="dxa"/>
              <w:right w:w="15" w:type="dxa"/>
            </w:tcMar>
            <w:vAlign w:val="bottom"/>
            <w:hideMark/>
          </w:tcPr>
          <w:p w14:paraId="2458526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1" w:type="dxa"/>
            <w:shd w:val="clear" w:color="auto" w:fill="FFFFFF"/>
            <w:noWrap/>
            <w:tcMar>
              <w:top w:w="15" w:type="dxa"/>
              <w:left w:w="0" w:type="dxa"/>
              <w:bottom w:w="0" w:type="dxa"/>
              <w:right w:w="15" w:type="dxa"/>
            </w:tcMar>
            <w:vAlign w:val="bottom"/>
            <w:hideMark/>
          </w:tcPr>
          <w:p w14:paraId="6B5D124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 w:type="dxa"/>
            <w:shd w:val="clear" w:color="auto" w:fill="FFFFFF"/>
            <w:tcMar>
              <w:top w:w="15" w:type="dxa"/>
              <w:left w:w="0" w:type="dxa"/>
              <w:bottom w:w="0" w:type="dxa"/>
              <w:right w:w="15" w:type="dxa"/>
            </w:tcMar>
            <w:vAlign w:val="bottom"/>
            <w:hideMark/>
          </w:tcPr>
          <w:p w14:paraId="6C92183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30" w:type="dxa"/>
            <w:gridSpan w:val="2"/>
            <w:tcBorders>
              <w:bottom w:val="single" w:sz="6" w:space="0" w:color="000000"/>
            </w:tcBorders>
            <w:shd w:val="clear" w:color="auto" w:fill="FFFFFF"/>
            <w:tcMar>
              <w:top w:w="15" w:type="dxa"/>
              <w:left w:w="0" w:type="dxa"/>
              <w:bottom w:w="0" w:type="dxa"/>
              <w:right w:w="15" w:type="dxa"/>
            </w:tcMar>
            <w:vAlign w:val="bottom"/>
            <w:hideMark/>
          </w:tcPr>
          <w:p w14:paraId="3BB8A0B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91" w:type="dxa"/>
            <w:shd w:val="clear" w:color="auto" w:fill="FFFFFF"/>
            <w:noWrap/>
            <w:tcMar>
              <w:top w:w="15" w:type="dxa"/>
              <w:left w:w="0" w:type="dxa"/>
              <w:bottom w:w="0" w:type="dxa"/>
              <w:right w:w="15" w:type="dxa"/>
            </w:tcMar>
            <w:vAlign w:val="bottom"/>
            <w:hideMark/>
          </w:tcPr>
          <w:p w14:paraId="34FA947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 w:type="dxa"/>
            <w:shd w:val="clear" w:color="auto" w:fill="FFFFFF"/>
            <w:tcMar>
              <w:top w:w="15" w:type="dxa"/>
              <w:left w:w="0" w:type="dxa"/>
              <w:bottom w:w="0" w:type="dxa"/>
              <w:right w:w="15" w:type="dxa"/>
            </w:tcMar>
            <w:vAlign w:val="bottom"/>
            <w:hideMark/>
          </w:tcPr>
          <w:p w14:paraId="0C1ED9C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30" w:type="dxa"/>
            <w:gridSpan w:val="2"/>
            <w:tcBorders>
              <w:bottom w:val="single" w:sz="6" w:space="0" w:color="000000"/>
            </w:tcBorders>
            <w:shd w:val="clear" w:color="auto" w:fill="FFFFFF"/>
            <w:tcMar>
              <w:top w:w="15" w:type="dxa"/>
              <w:left w:w="0" w:type="dxa"/>
              <w:bottom w:w="0" w:type="dxa"/>
              <w:right w:w="15" w:type="dxa"/>
            </w:tcMar>
            <w:vAlign w:val="bottom"/>
            <w:hideMark/>
          </w:tcPr>
          <w:p w14:paraId="169639E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2017</w:t>
            </w:r>
          </w:p>
        </w:tc>
        <w:tc>
          <w:tcPr>
            <w:tcW w:w="191" w:type="dxa"/>
            <w:shd w:val="clear" w:color="auto" w:fill="FFFFFF"/>
            <w:noWrap/>
            <w:tcMar>
              <w:top w:w="15" w:type="dxa"/>
              <w:left w:w="0" w:type="dxa"/>
              <w:bottom w:w="0" w:type="dxa"/>
              <w:right w:w="15" w:type="dxa"/>
            </w:tcMar>
            <w:vAlign w:val="bottom"/>
            <w:hideMark/>
          </w:tcPr>
          <w:p w14:paraId="1C38481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 w:type="dxa"/>
            <w:shd w:val="clear" w:color="auto" w:fill="FFFFFF"/>
            <w:tcMar>
              <w:top w:w="15" w:type="dxa"/>
              <w:left w:w="0" w:type="dxa"/>
              <w:bottom w:w="0" w:type="dxa"/>
              <w:right w:w="15" w:type="dxa"/>
            </w:tcMar>
            <w:vAlign w:val="bottom"/>
            <w:hideMark/>
          </w:tcPr>
          <w:p w14:paraId="363310F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30" w:type="dxa"/>
            <w:gridSpan w:val="2"/>
            <w:tcBorders>
              <w:bottom w:val="single" w:sz="6" w:space="0" w:color="000000"/>
            </w:tcBorders>
            <w:shd w:val="clear" w:color="auto" w:fill="FFFFFF"/>
            <w:tcMar>
              <w:top w:w="15" w:type="dxa"/>
              <w:left w:w="0" w:type="dxa"/>
              <w:bottom w:w="0" w:type="dxa"/>
              <w:right w:w="15" w:type="dxa"/>
            </w:tcMar>
            <w:vAlign w:val="bottom"/>
            <w:hideMark/>
          </w:tcPr>
          <w:p w14:paraId="601DE54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2016</w:t>
            </w:r>
          </w:p>
        </w:tc>
        <w:tc>
          <w:tcPr>
            <w:tcW w:w="192" w:type="dxa"/>
            <w:shd w:val="clear" w:color="auto" w:fill="FFFFFF"/>
            <w:noWrap/>
            <w:tcMar>
              <w:top w:w="15" w:type="dxa"/>
              <w:left w:w="0" w:type="dxa"/>
              <w:bottom w:w="0" w:type="dxa"/>
              <w:right w:w="15" w:type="dxa"/>
            </w:tcMar>
            <w:vAlign w:val="bottom"/>
            <w:hideMark/>
          </w:tcPr>
          <w:p w14:paraId="75F2056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6B6B63C" w14:textId="77777777" w:rsidTr="00AC4931">
        <w:tc>
          <w:tcPr>
            <w:tcW w:w="9225" w:type="dxa"/>
            <w:shd w:val="clear" w:color="auto" w:fill="CFF0FC"/>
            <w:tcMar>
              <w:top w:w="15" w:type="dxa"/>
              <w:left w:w="0" w:type="dxa"/>
              <w:bottom w:w="0" w:type="dxa"/>
              <w:right w:w="15" w:type="dxa"/>
            </w:tcMar>
            <w:hideMark/>
          </w:tcPr>
          <w:p w14:paraId="25E5417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Sales and Income</w:t>
            </w:r>
          </w:p>
        </w:tc>
        <w:tc>
          <w:tcPr>
            <w:tcW w:w="208" w:type="dxa"/>
            <w:shd w:val="clear" w:color="auto" w:fill="CFF0FC"/>
            <w:tcMar>
              <w:top w:w="15" w:type="dxa"/>
              <w:left w:w="0" w:type="dxa"/>
              <w:bottom w:w="0" w:type="dxa"/>
              <w:right w:w="15" w:type="dxa"/>
            </w:tcMar>
            <w:vAlign w:val="bottom"/>
            <w:hideMark/>
          </w:tcPr>
          <w:p w14:paraId="670CFF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8B544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top w:val="single" w:sz="6" w:space="0" w:color="000000"/>
            </w:tcBorders>
            <w:shd w:val="clear" w:color="auto" w:fill="CFF0FC"/>
            <w:noWrap/>
            <w:tcMar>
              <w:top w:w="15" w:type="dxa"/>
              <w:left w:w="0" w:type="dxa"/>
              <w:bottom w:w="0" w:type="dxa"/>
              <w:right w:w="15" w:type="dxa"/>
            </w:tcMar>
            <w:vAlign w:val="bottom"/>
            <w:hideMark/>
          </w:tcPr>
          <w:p w14:paraId="5D083EA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057E8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78FB3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EEBC2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top w:val="single" w:sz="6" w:space="0" w:color="000000"/>
            </w:tcBorders>
            <w:shd w:val="clear" w:color="auto" w:fill="CFF0FC"/>
            <w:noWrap/>
            <w:tcMar>
              <w:top w:w="15" w:type="dxa"/>
              <w:left w:w="0" w:type="dxa"/>
              <w:bottom w:w="0" w:type="dxa"/>
              <w:right w:w="15" w:type="dxa"/>
            </w:tcMar>
            <w:vAlign w:val="bottom"/>
            <w:hideMark/>
          </w:tcPr>
          <w:p w14:paraId="0585B84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5FC4E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B584C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56EA8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top w:val="single" w:sz="6" w:space="0" w:color="000000"/>
            </w:tcBorders>
            <w:shd w:val="clear" w:color="auto" w:fill="CFF0FC"/>
            <w:noWrap/>
            <w:tcMar>
              <w:top w:w="15" w:type="dxa"/>
              <w:left w:w="0" w:type="dxa"/>
              <w:bottom w:w="0" w:type="dxa"/>
              <w:right w:w="15" w:type="dxa"/>
            </w:tcMar>
            <w:vAlign w:val="bottom"/>
            <w:hideMark/>
          </w:tcPr>
          <w:p w14:paraId="713858C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9B22A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31BEF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1CBC4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top w:val="single" w:sz="6" w:space="0" w:color="000000"/>
            </w:tcBorders>
            <w:shd w:val="clear" w:color="auto" w:fill="CFF0FC"/>
            <w:noWrap/>
            <w:tcMar>
              <w:top w:w="15" w:type="dxa"/>
              <w:left w:w="0" w:type="dxa"/>
              <w:bottom w:w="0" w:type="dxa"/>
              <w:right w:w="15" w:type="dxa"/>
            </w:tcMar>
            <w:vAlign w:val="bottom"/>
            <w:hideMark/>
          </w:tcPr>
          <w:p w14:paraId="413FFB5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E9AE3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71EE7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7B27B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top w:val="single" w:sz="6" w:space="0" w:color="000000"/>
            </w:tcBorders>
            <w:shd w:val="clear" w:color="auto" w:fill="CFF0FC"/>
            <w:noWrap/>
            <w:tcMar>
              <w:top w:w="15" w:type="dxa"/>
              <w:left w:w="0" w:type="dxa"/>
              <w:bottom w:w="0" w:type="dxa"/>
              <w:right w:w="15" w:type="dxa"/>
            </w:tcMar>
            <w:vAlign w:val="bottom"/>
            <w:hideMark/>
          </w:tcPr>
          <w:p w14:paraId="4525AE2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5196F1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39BB911" w14:textId="77777777" w:rsidTr="00AC4931">
        <w:tc>
          <w:tcPr>
            <w:tcW w:w="9225" w:type="dxa"/>
            <w:shd w:val="clear" w:color="auto" w:fill="FFFFFF"/>
            <w:tcMar>
              <w:top w:w="15" w:type="dxa"/>
              <w:left w:w="0" w:type="dxa"/>
              <w:bottom w:w="0" w:type="dxa"/>
              <w:right w:w="15" w:type="dxa"/>
            </w:tcMar>
            <w:hideMark/>
          </w:tcPr>
          <w:p w14:paraId="4A79E4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sales</w:t>
            </w:r>
          </w:p>
        </w:tc>
        <w:tc>
          <w:tcPr>
            <w:tcW w:w="208" w:type="dxa"/>
            <w:shd w:val="clear" w:color="auto" w:fill="FFFFFF"/>
            <w:tcMar>
              <w:top w:w="15" w:type="dxa"/>
              <w:left w:w="0" w:type="dxa"/>
              <w:bottom w:w="0" w:type="dxa"/>
              <w:right w:w="15" w:type="dxa"/>
            </w:tcMar>
            <w:vAlign w:val="bottom"/>
            <w:hideMark/>
          </w:tcPr>
          <w:p w14:paraId="414A7C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1A9AF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24" w:type="dxa"/>
            <w:shd w:val="clear" w:color="auto" w:fill="FFFFFF"/>
            <w:noWrap/>
            <w:tcMar>
              <w:top w:w="15" w:type="dxa"/>
              <w:left w:w="0" w:type="dxa"/>
              <w:bottom w:w="0" w:type="dxa"/>
              <w:right w:w="15" w:type="dxa"/>
            </w:tcMar>
            <w:vAlign w:val="bottom"/>
            <w:hideMark/>
          </w:tcPr>
          <w:p w14:paraId="45BCE2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7,447</w:t>
            </w:r>
          </w:p>
        </w:tc>
        <w:tc>
          <w:tcPr>
            <w:tcW w:w="191" w:type="dxa"/>
            <w:shd w:val="clear" w:color="auto" w:fill="FFFFFF"/>
            <w:noWrap/>
            <w:tcMar>
              <w:top w:w="15" w:type="dxa"/>
              <w:left w:w="0" w:type="dxa"/>
              <w:bottom w:w="0" w:type="dxa"/>
              <w:right w:w="15" w:type="dxa"/>
            </w:tcMar>
            <w:vAlign w:val="bottom"/>
            <w:hideMark/>
          </w:tcPr>
          <w:p w14:paraId="7A3D23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169142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DC292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24" w:type="dxa"/>
            <w:shd w:val="clear" w:color="auto" w:fill="FFFFFF"/>
            <w:noWrap/>
            <w:tcMar>
              <w:top w:w="15" w:type="dxa"/>
              <w:left w:w="0" w:type="dxa"/>
              <w:bottom w:w="0" w:type="dxa"/>
              <w:right w:w="15" w:type="dxa"/>
            </w:tcMar>
            <w:vAlign w:val="bottom"/>
            <w:hideMark/>
          </w:tcPr>
          <w:p w14:paraId="0C7A84F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8,548</w:t>
            </w:r>
          </w:p>
        </w:tc>
        <w:tc>
          <w:tcPr>
            <w:tcW w:w="191" w:type="dxa"/>
            <w:shd w:val="clear" w:color="auto" w:fill="FFFFFF"/>
            <w:noWrap/>
            <w:tcMar>
              <w:top w:w="15" w:type="dxa"/>
              <w:left w:w="0" w:type="dxa"/>
              <w:bottom w:w="0" w:type="dxa"/>
              <w:right w:w="15" w:type="dxa"/>
            </w:tcMar>
            <w:vAlign w:val="bottom"/>
            <w:hideMark/>
          </w:tcPr>
          <w:p w14:paraId="534B39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7E2A6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D1A60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24" w:type="dxa"/>
            <w:shd w:val="clear" w:color="auto" w:fill="FFFFFF"/>
            <w:noWrap/>
            <w:tcMar>
              <w:top w:w="15" w:type="dxa"/>
              <w:left w:w="0" w:type="dxa"/>
              <w:bottom w:w="0" w:type="dxa"/>
              <w:right w:w="15" w:type="dxa"/>
            </w:tcMar>
            <w:vAlign w:val="bottom"/>
            <w:hideMark/>
          </w:tcPr>
          <w:p w14:paraId="17FBC76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8,678</w:t>
            </w:r>
          </w:p>
        </w:tc>
        <w:tc>
          <w:tcPr>
            <w:tcW w:w="191" w:type="dxa"/>
            <w:shd w:val="clear" w:color="auto" w:fill="FFFFFF"/>
            <w:noWrap/>
            <w:tcMar>
              <w:top w:w="15" w:type="dxa"/>
              <w:left w:w="0" w:type="dxa"/>
              <w:bottom w:w="0" w:type="dxa"/>
              <w:right w:w="15" w:type="dxa"/>
            </w:tcMar>
            <w:vAlign w:val="bottom"/>
            <w:hideMark/>
          </w:tcPr>
          <w:p w14:paraId="311EA7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7FFD1F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CA5E5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24" w:type="dxa"/>
            <w:shd w:val="clear" w:color="auto" w:fill="FFFFFF"/>
            <w:noWrap/>
            <w:tcMar>
              <w:top w:w="15" w:type="dxa"/>
              <w:left w:w="0" w:type="dxa"/>
              <w:bottom w:w="0" w:type="dxa"/>
              <w:right w:w="15" w:type="dxa"/>
            </w:tcMar>
            <w:vAlign w:val="bottom"/>
            <w:hideMark/>
          </w:tcPr>
          <w:p w14:paraId="7367D8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8,137</w:t>
            </w:r>
          </w:p>
        </w:tc>
        <w:tc>
          <w:tcPr>
            <w:tcW w:w="191" w:type="dxa"/>
            <w:shd w:val="clear" w:color="auto" w:fill="FFFFFF"/>
            <w:noWrap/>
            <w:tcMar>
              <w:top w:w="15" w:type="dxa"/>
              <w:left w:w="0" w:type="dxa"/>
              <w:bottom w:w="0" w:type="dxa"/>
              <w:right w:w="15" w:type="dxa"/>
            </w:tcMar>
            <w:vAlign w:val="bottom"/>
            <w:hideMark/>
          </w:tcPr>
          <w:p w14:paraId="71F19B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CF7BC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713A9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24" w:type="dxa"/>
            <w:shd w:val="clear" w:color="auto" w:fill="FFFFFF"/>
            <w:noWrap/>
            <w:tcMar>
              <w:top w:w="15" w:type="dxa"/>
              <w:left w:w="0" w:type="dxa"/>
              <w:bottom w:w="0" w:type="dxa"/>
              <w:right w:w="15" w:type="dxa"/>
            </w:tcMar>
            <w:vAlign w:val="bottom"/>
            <w:hideMark/>
          </w:tcPr>
          <w:p w14:paraId="385B160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7,922</w:t>
            </w:r>
          </w:p>
        </w:tc>
        <w:tc>
          <w:tcPr>
            <w:tcW w:w="192" w:type="dxa"/>
            <w:shd w:val="clear" w:color="auto" w:fill="FFFFFF"/>
            <w:noWrap/>
            <w:tcMar>
              <w:top w:w="15" w:type="dxa"/>
              <w:left w:w="0" w:type="dxa"/>
              <w:bottom w:w="0" w:type="dxa"/>
              <w:right w:w="15" w:type="dxa"/>
            </w:tcMar>
            <w:vAlign w:val="bottom"/>
            <w:hideMark/>
          </w:tcPr>
          <w:p w14:paraId="1967F1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7087CB5" w14:textId="77777777" w:rsidTr="00AC4931">
        <w:tc>
          <w:tcPr>
            <w:tcW w:w="9225" w:type="dxa"/>
            <w:shd w:val="clear" w:color="auto" w:fill="CFF0FC"/>
            <w:tcMar>
              <w:top w:w="15" w:type="dxa"/>
              <w:left w:w="0" w:type="dxa"/>
              <w:bottom w:w="0" w:type="dxa"/>
              <w:right w:w="15" w:type="dxa"/>
            </w:tcMar>
            <w:hideMark/>
          </w:tcPr>
          <w:p w14:paraId="48178E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income</w:t>
            </w:r>
            <w:r w:rsidRPr="00AC4931">
              <w:rPr>
                <w:rFonts w:ascii="Arial" w:eastAsia="宋体" w:hAnsi="Arial" w:cs="Arial"/>
                <w:color w:val="000000"/>
                <w:kern w:val="0"/>
                <w:sz w:val="18"/>
                <w:szCs w:val="18"/>
                <w:vertAlign w:val="superscript"/>
              </w:rPr>
              <w:t>4)</w:t>
            </w:r>
          </w:p>
        </w:tc>
        <w:tc>
          <w:tcPr>
            <w:tcW w:w="208" w:type="dxa"/>
            <w:shd w:val="clear" w:color="auto" w:fill="CFF0FC"/>
            <w:tcMar>
              <w:top w:w="15" w:type="dxa"/>
              <w:left w:w="0" w:type="dxa"/>
              <w:bottom w:w="0" w:type="dxa"/>
              <w:right w:w="15" w:type="dxa"/>
            </w:tcMar>
            <w:vAlign w:val="bottom"/>
            <w:hideMark/>
          </w:tcPr>
          <w:p w14:paraId="4ACB4F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4AF60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0727016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382</w:t>
            </w:r>
          </w:p>
        </w:tc>
        <w:tc>
          <w:tcPr>
            <w:tcW w:w="191" w:type="dxa"/>
            <w:shd w:val="clear" w:color="auto" w:fill="CFF0FC"/>
            <w:noWrap/>
            <w:tcMar>
              <w:top w:w="15" w:type="dxa"/>
              <w:left w:w="0" w:type="dxa"/>
              <w:bottom w:w="0" w:type="dxa"/>
              <w:right w:w="15" w:type="dxa"/>
            </w:tcMar>
            <w:vAlign w:val="bottom"/>
            <w:hideMark/>
          </w:tcPr>
          <w:p w14:paraId="7E6E80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0428B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3DD52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1CB1192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726</w:t>
            </w:r>
          </w:p>
        </w:tc>
        <w:tc>
          <w:tcPr>
            <w:tcW w:w="191" w:type="dxa"/>
            <w:shd w:val="clear" w:color="auto" w:fill="CFF0FC"/>
            <w:noWrap/>
            <w:tcMar>
              <w:top w:w="15" w:type="dxa"/>
              <w:left w:w="0" w:type="dxa"/>
              <w:bottom w:w="0" w:type="dxa"/>
              <w:right w:w="15" w:type="dxa"/>
            </w:tcMar>
            <w:vAlign w:val="bottom"/>
            <w:hideMark/>
          </w:tcPr>
          <w:p w14:paraId="511F1E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31EB71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07FA5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2BF98C1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686</w:t>
            </w:r>
          </w:p>
        </w:tc>
        <w:tc>
          <w:tcPr>
            <w:tcW w:w="191" w:type="dxa"/>
            <w:shd w:val="clear" w:color="auto" w:fill="CFF0FC"/>
            <w:noWrap/>
            <w:tcMar>
              <w:top w:w="15" w:type="dxa"/>
              <w:left w:w="0" w:type="dxa"/>
              <w:bottom w:w="0" w:type="dxa"/>
              <w:right w:w="15" w:type="dxa"/>
            </w:tcMar>
            <w:vAlign w:val="bottom"/>
            <w:hideMark/>
          </w:tcPr>
          <w:p w14:paraId="1F7FBA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021FB5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57B0C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2C941B8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860</w:t>
            </w:r>
          </w:p>
        </w:tc>
        <w:tc>
          <w:tcPr>
            <w:tcW w:w="191" w:type="dxa"/>
            <w:shd w:val="clear" w:color="auto" w:fill="CFF0FC"/>
            <w:noWrap/>
            <w:tcMar>
              <w:top w:w="15" w:type="dxa"/>
              <w:left w:w="0" w:type="dxa"/>
              <w:bottom w:w="0" w:type="dxa"/>
              <w:right w:w="15" w:type="dxa"/>
            </w:tcMar>
            <w:vAlign w:val="bottom"/>
            <w:hideMark/>
          </w:tcPr>
          <w:p w14:paraId="48F0D8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5ABF79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EAAEF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EAA816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831</w:t>
            </w:r>
          </w:p>
        </w:tc>
        <w:tc>
          <w:tcPr>
            <w:tcW w:w="192" w:type="dxa"/>
            <w:shd w:val="clear" w:color="auto" w:fill="CFF0FC"/>
            <w:noWrap/>
            <w:tcMar>
              <w:top w:w="15" w:type="dxa"/>
              <w:left w:w="0" w:type="dxa"/>
              <w:bottom w:w="0" w:type="dxa"/>
              <w:right w:w="15" w:type="dxa"/>
            </w:tcMar>
            <w:vAlign w:val="bottom"/>
            <w:hideMark/>
          </w:tcPr>
          <w:p w14:paraId="6E3374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E2A843E" w14:textId="77777777" w:rsidTr="00AC4931">
        <w:tc>
          <w:tcPr>
            <w:tcW w:w="9225" w:type="dxa"/>
            <w:shd w:val="clear" w:color="auto" w:fill="FFFFFF"/>
            <w:tcMar>
              <w:top w:w="15" w:type="dxa"/>
              <w:left w:w="0" w:type="dxa"/>
              <w:bottom w:w="0" w:type="dxa"/>
              <w:right w:w="15" w:type="dxa"/>
            </w:tcMar>
            <w:hideMark/>
          </w:tcPr>
          <w:p w14:paraId="2BA506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before income taxes</w:t>
            </w:r>
            <w:r w:rsidRPr="00AC4931">
              <w:rPr>
                <w:rFonts w:ascii="Arial" w:eastAsia="宋体" w:hAnsi="Arial" w:cs="Arial"/>
                <w:color w:val="000000"/>
                <w:kern w:val="0"/>
                <w:sz w:val="18"/>
                <w:szCs w:val="18"/>
                <w:vertAlign w:val="superscript"/>
              </w:rPr>
              <w:t>4)</w:t>
            </w:r>
          </w:p>
        </w:tc>
        <w:tc>
          <w:tcPr>
            <w:tcW w:w="208" w:type="dxa"/>
            <w:shd w:val="clear" w:color="auto" w:fill="FFFFFF"/>
            <w:tcMar>
              <w:top w:w="15" w:type="dxa"/>
              <w:left w:w="0" w:type="dxa"/>
              <w:bottom w:w="0" w:type="dxa"/>
              <w:right w:w="15" w:type="dxa"/>
            </w:tcMar>
            <w:vAlign w:val="bottom"/>
            <w:hideMark/>
          </w:tcPr>
          <w:p w14:paraId="74F6E8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F3C1F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00A0DA1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291</w:t>
            </w:r>
          </w:p>
        </w:tc>
        <w:tc>
          <w:tcPr>
            <w:tcW w:w="191" w:type="dxa"/>
            <w:shd w:val="clear" w:color="auto" w:fill="FFFFFF"/>
            <w:noWrap/>
            <w:tcMar>
              <w:top w:w="15" w:type="dxa"/>
              <w:left w:w="0" w:type="dxa"/>
              <w:bottom w:w="0" w:type="dxa"/>
              <w:right w:w="15" w:type="dxa"/>
            </w:tcMar>
            <w:vAlign w:val="bottom"/>
            <w:hideMark/>
          </w:tcPr>
          <w:p w14:paraId="35DB00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2D9F4F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3B971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0C48498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648</w:t>
            </w:r>
          </w:p>
        </w:tc>
        <w:tc>
          <w:tcPr>
            <w:tcW w:w="191" w:type="dxa"/>
            <w:shd w:val="clear" w:color="auto" w:fill="FFFFFF"/>
            <w:noWrap/>
            <w:tcMar>
              <w:top w:w="15" w:type="dxa"/>
              <w:left w:w="0" w:type="dxa"/>
              <w:bottom w:w="0" w:type="dxa"/>
              <w:right w:w="15" w:type="dxa"/>
            </w:tcMar>
            <w:vAlign w:val="bottom"/>
            <w:hideMark/>
          </w:tcPr>
          <w:p w14:paraId="4C39DA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28A94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97A6E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8F31C9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612</w:t>
            </w:r>
          </w:p>
        </w:tc>
        <w:tc>
          <w:tcPr>
            <w:tcW w:w="191" w:type="dxa"/>
            <w:shd w:val="clear" w:color="auto" w:fill="FFFFFF"/>
            <w:noWrap/>
            <w:tcMar>
              <w:top w:w="15" w:type="dxa"/>
              <w:left w:w="0" w:type="dxa"/>
              <w:bottom w:w="0" w:type="dxa"/>
              <w:right w:w="15" w:type="dxa"/>
            </w:tcMar>
            <w:vAlign w:val="bottom"/>
            <w:hideMark/>
          </w:tcPr>
          <w:p w14:paraId="519D6B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1F4177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DA388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5C622C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792</w:t>
            </w:r>
          </w:p>
        </w:tc>
        <w:tc>
          <w:tcPr>
            <w:tcW w:w="191" w:type="dxa"/>
            <w:shd w:val="clear" w:color="auto" w:fill="FFFFFF"/>
            <w:noWrap/>
            <w:tcMar>
              <w:top w:w="15" w:type="dxa"/>
              <w:left w:w="0" w:type="dxa"/>
              <w:bottom w:w="0" w:type="dxa"/>
              <w:right w:w="15" w:type="dxa"/>
            </w:tcMar>
            <w:vAlign w:val="bottom"/>
            <w:hideMark/>
          </w:tcPr>
          <w:p w14:paraId="4D3047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028E1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B6466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5AB0F8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784</w:t>
            </w:r>
          </w:p>
        </w:tc>
        <w:tc>
          <w:tcPr>
            <w:tcW w:w="192" w:type="dxa"/>
            <w:shd w:val="clear" w:color="auto" w:fill="FFFFFF"/>
            <w:noWrap/>
            <w:tcMar>
              <w:top w:w="15" w:type="dxa"/>
              <w:left w:w="0" w:type="dxa"/>
              <w:bottom w:w="0" w:type="dxa"/>
              <w:right w:w="15" w:type="dxa"/>
            </w:tcMar>
            <w:vAlign w:val="bottom"/>
            <w:hideMark/>
          </w:tcPr>
          <w:p w14:paraId="6E7EB6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92A1E93" w14:textId="77777777" w:rsidTr="00AC4931">
        <w:tc>
          <w:tcPr>
            <w:tcW w:w="9225" w:type="dxa"/>
            <w:shd w:val="clear" w:color="auto" w:fill="CFF0FC"/>
            <w:tcMar>
              <w:top w:w="15" w:type="dxa"/>
              <w:left w:w="0" w:type="dxa"/>
              <w:bottom w:w="0" w:type="dxa"/>
              <w:right w:w="15" w:type="dxa"/>
            </w:tcMar>
            <w:hideMark/>
          </w:tcPr>
          <w:p w14:paraId="101FFA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 attributable to controlling interest</w:t>
            </w:r>
            <w:r w:rsidRPr="00AC4931">
              <w:rPr>
                <w:rFonts w:ascii="Arial" w:eastAsia="宋体" w:hAnsi="Arial" w:cs="Arial"/>
                <w:color w:val="000000"/>
                <w:kern w:val="0"/>
                <w:sz w:val="18"/>
                <w:szCs w:val="18"/>
                <w:vertAlign w:val="superscript"/>
              </w:rPr>
              <w:t>4)</w:t>
            </w:r>
          </w:p>
        </w:tc>
        <w:tc>
          <w:tcPr>
            <w:tcW w:w="208" w:type="dxa"/>
            <w:shd w:val="clear" w:color="auto" w:fill="CFF0FC"/>
            <w:tcMar>
              <w:top w:w="15" w:type="dxa"/>
              <w:left w:w="0" w:type="dxa"/>
              <w:bottom w:w="0" w:type="dxa"/>
              <w:right w:w="15" w:type="dxa"/>
            </w:tcMar>
            <w:vAlign w:val="bottom"/>
            <w:hideMark/>
          </w:tcPr>
          <w:p w14:paraId="35ECAC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39531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1DA28DE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187</w:t>
            </w:r>
          </w:p>
        </w:tc>
        <w:tc>
          <w:tcPr>
            <w:tcW w:w="191" w:type="dxa"/>
            <w:shd w:val="clear" w:color="auto" w:fill="CFF0FC"/>
            <w:noWrap/>
            <w:tcMar>
              <w:top w:w="15" w:type="dxa"/>
              <w:left w:w="0" w:type="dxa"/>
              <w:bottom w:w="0" w:type="dxa"/>
              <w:right w:w="15" w:type="dxa"/>
            </w:tcMar>
            <w:vAlign w:val="bottom"/>
            <w:hideMark/>
          </w:tcPr>
          <w:p w14:paraId="002BD4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C965B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F4BBC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379624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462</w:t>
            </w:r>
          </w:p>
        </w:tc>
        <w:tc>
          <w:tcPr>
            <w:tcW w:w="191" w:type="dxa"/>
            <w:shd w:val="clear" w:color="auto" w:fill="CFF0FC"/>
            <w:noWrap/>
            <w:tcMar>
              <w:top w:w="15" w:type="dxa"/>
              <w:left w:w="0" w:type="dxa"/>
              <w:bottom w:w="0" w:type="dxa"/>
              <w:right w:w="15" w:type="dxa"/>
            </w:tcMar>
            <w:vAlign w:val="bottom"/>
            <w:hideMark/>
          </w:tcPr>
          <w:p w14:paraId="160595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F3EC2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5C16C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86C725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376</w:t>
            </w:r>
          </w:p>
        </w:tc>
        <w:tc>
          <w:tcPr>
            <w:tcW w:w="191" w:type="dxa"/>
            <w:shd w:val="clear" w:color="auto" w:fill="CFF0FC"/>
            <w:noWrap/>
            <w:tcMar>
              <w:top w:w="15" w:type="dxa"/>
              <w:left w:w="0" w:type="dxa"/>
              <w:bottom w:w="0" w:type="dxa"/>
              <w:right w:w="15" w:type="dxa"/>
            </w:tcMar>
            <w:vAlign w:val="bottom"/>
            <w:hideMark/>
          </w:tcPr>
          <w:p w14:paraId="736B7F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E1569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66BE5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445E873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586</w:t>
            </w:r>
          </w:p>
        </w:tc>
        <w:tc>
          <w:tcPr>
            <w:tcW w:w="191" w:type="dxa"/>
            <w:shd w:val="clear" w:color="auto" w:fill="CFF0FC"/>
            <w:noWrap/>
            <w:tcMar>
              <w:top w:w="15" w:type="dxa"/>
              <w:left w:w="0" w:type="dxa"/>
              <w:bottom w:w="0" w:type="dxa"/>
              <w:right w:w="15" w:type="dxa"/>
            </w:tcMar>
            <w:vAlign w:val="bottom"/>
            <w:hideMark/>
          </w:tcPr>
          <w:p w14:paraId="7976DF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076FD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FEE87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0CE3492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558</w:t>
            </w:r>
          </w:p>
        </w:tc>
        <w:tc>
          <w:tcPr>
            <w:tcW w:w="192" w:type="dxa"/>
            <w:shd w:val="clear" w:color="auto" w:fill="CFF0FC"/>
            <w:noWrap/>
            <w:tcMar>
              <w:top w:w="15" w:type="dxa"/>
              <w:left w:w="0" w:type="dxa"/>
              <w:bottom w:w="0" w:type="dxa"/>
              <w:right w:w="15" w:type="dxa"/>
            </w:tcMar>
            <w:vAlign w:val="bottom"/>
            <w:hideMark/>
          </w:tcPr>
          <w:p w14:paraId="067A34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12AA4FD" w14:textId="77777777" w:rsidTr="00AC4931">
        <w:tc>
          <w:tcPr>
            <w:tcW w:w="9225" w:type="dxa"/>
            <w:shd w:val="clear" w:color="auto" w:fill="FFFFFF"/>
            <w:tcMar>
              <w:top w:w="15" w:type="dxa"/>
              <w:left w:w="0" w:type="dxa"/>
              <w:bottom w:w="0" w:type="dxa"/>
              <w:right w:w="15" w:type="dxa"/>
            </w:tcMar>
            <w:hideMark/>
          </w:tcPr>
          <w:p w14:paraId="7FE3ABD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Financial Position</w:t>
            </w:r>
          </w:p>
        </w:tc>
        <w:tc>
          <w:tcPr>
            <w:tcW w:w="208" w:type="dxa"/>
            <w:shd w:val="clear" w:color="auto" w:fill="FFFFFF"/>
            <w:tcMar>
              <w:top w:w="15" w:type="dxa"/>
              <w:left w:w="0" w:type="dxa"/>
              <w:bottom w:w="0" w:type="dxa"/>
              <w:right w:w="15" w:type="dxa"/>
            </w:tcMar>
            <w:vAlign w:val="bottom"/>
            <w:hideMark/>
          </w:tcPr>
          <w:p w14:paraId="5C4356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E5B5E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247E59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B4001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317D49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E7F24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5EB26DA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E24D8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68F17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A969D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1F12973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73F0C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38CF01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879B9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0DBFA6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221EE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2AB452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2DAB7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BC2834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70344A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D3A09E3" w14:textId="77777777" w:rsidTr="00AC4931">
        <w:tc>
          <w:tcPr>
            <w:tcW w:w="9225" w:type="dxa"/>
            <w:shd w:val="clear" w:color="auto" w:fill="CFF0FC"/>
            <w:tcMar>
              <w:top w:w="15" w:type="dxa"/>
              <w:left w:w="0" w:type="dxa"/>
              <w:bottom w:w="0" w:type="dxa"/>
              <w:right w:w="15" w:type="dxa"/>
            </w:tcMar>
            <w:hideMark/>
          </w:tcPr>
          <w:p w14:paraId="7C0837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Current assets excluding cash</w:t>
            </w:r>
          </w:p>
        </w:tc>
        <w:tc>
          <w:tcPr>
            <w:tcW w:w="208" w:type="dxa"/>
            <w:shd w:val="clear" w:color="auto" w:fill="CFF0FC"/>
            <w:tcMar>
              <w:top w:w="15" w:type="dxa"/>
              <w:left w:w="0" w:type="dxa"/>
              <w:bottom w:w="0" w:type="dxa"/>
              <w:right w:w="15" w:type="dxa"/>
            </w:tcMar>
            <w:vAlign w:val="bottom"/>
            <w:hideMark/>
          </w:tcPr>
          <w:p w14:paraId="62416A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29782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09635A8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3,091</w:t>
            </w:r>
          </w:p>
        </w:tc>
        <w:tc>
          <w:tcPr>
            <w:tcW w:w="191" w:type="dxa"/>
            <w:shd w:val="clear" w:color="auto" w:fill="CFF0FC"/>
            <w:noWrap/>
            <w:tcMar>
              <w:top w:w="15" w:type="dxa"/>
              <w:left w:w="0" w:type="dxa"/>
              <w:bottom w:w="0" w:type="dxa"/>
              <w:right w:w="15" w:type="dxa"/>
            </w:tcMar>
            <w:vAlign w:val="bottom"/>
            <w:hideMark/>
          </w:tcPr>
          <w:p w14:paraId="439396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100E01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45F22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50B3726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2,557</w:t>
            </w:r>
          </w:p>
        </w:tc>
        <w:tc>
          <w:tcPr>
            <w:tcW w:w="191" w:type="dxa"/>
            <w:shd w:val="clear" w:color="auto" w:fill="CFF0FC"/>
            <w:noWrap/>
            <w:tcMar>
              <w:top w:w="15" w:type="dxa"/>
              <w:left w:w="0" w:type="dxa"/>
              <w:bottom w:w="0" w:type="dxa"/>
              <w:right w:w="15" w:type="dxa"/>
            </w:tcMar>
            <w:vAlign w:val="bottom"/>
            <w:hideMark/>
          </w:tcPr>
          <w:p w14:paraId="0F39E8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3B9307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28744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A62A0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2,670</w:t>
            </w:r>
          </w:p>
        </w:tc>
        <w:tc>
          <w:tcPr>
            <w:tcW w:w="191" w:type="dxa"/>
            <w:shd w:val="clear" w:color="auto" w:fill="CFF0FC"/>
            <w:noWrap/>
            <w:tcMar>
              <w:top w:w="15" w:type="dxa"/>
              <w:left w:w="0" w:type="dxa"/>
              <w:bottom w:w="0" w:type="dxa"/>
              <w:right w:w="15" w:type="dxa"/>
            </w:tcMar>
            <w:vAlign w:val="bottom"/>
            <w:hideMark/>
          </w:tcPr>
          <w:p w14:paraId="64AC82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491E76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0A866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477D9B9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2,598</w:t>
            </w:r>
          </w:p>
        </w:tc>
        <w:tc>
          <w:tcPr>
            <w:tcW w:w="191" w:type="dxa"/>
            <w:shd w:val="clear" w:color="auto" w:fill="CFF0FC"/>
            <w:noWrap/>
            <w:tcMar>
              <w:top w:w="15" w:type="dxa"/>
              <w:left w:w="0" w:type="dxa"/>
              <w:bottom w:w="0" w:type="dxa"/>
              <w:right w:w="15" w:type="dxa"/>
            </w:tcMar>
            <w:vAlign w:val="bottom"/>
            <w:hideMark/>
          </w:tcPr>
          <w:p w14:paraId="38C7FC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B40D0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09DA5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2AD90BC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2,269</w:t>
            </w:r>
          </w:p>
        </w:tc>
        <w:tc>
          <w:tcPr>
            <w:tcW w:w="192" w:type="dxa"/>
            <w:shd w:val="clear" w:color="auto" w:fill="CFF0FC"/>
            <w:noWrap/>
            <w:tcMar>
              <w:top w:w="15" w:type="dxa"/>
              <w:left w:w="0" w:type="dxa"/>
              <w:bottom w:w="0" w:type="dxa"/>
              <w:right w:w="15" w:type="dxa"/>
            </w:tcMar>
            <w:vAlign w:val="bottom"/>
            <w:hideMark/>
          </w:tcPr>
          <w:p w14:paraId="63A573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DCD0666" w14:textId="77777777" w:rsidTr="00AC4931">
        <w:tc>
          <w:tcPr>
            <w:tcW w:w="9225" w:type="dxa"/>
            <w:shd w:val="clear" w:color="auto" w:fill="FFFFFF"/>
            <w:tcMar>
              <w:top w:w="15" w:type="dxa"/>
              <w:left w:w="0" w:type="dxa"/>
              <w:bottom w:w="0" w:type="dxa"/>
              <w:right w:w="15" w:type="dxa"/>
            </w:tcMar>
            <w:hideMark/>
          </w:tcPr>
          <w:p w14:paraId="169A34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Property, plant and equipment, net</w:t>
            </w:r>
          </w:p>
        </w:tc>
        <w:tc>
          <w:tcPr>
            <w:tcW w:w="208" w:type="dxa"/>
            <w:shd w:val="clear" w:color="auto" w:fill="FFFFFF"/>
            <w:tcMar>
              <w:top w:w="15" w:type="dxa"/>
              <w:left w:w="0" w:type="dxa"/>
              <w:bottom w:w="0" w:type="dxa"/>
              <w:right w:w="15" w:type="dxa"/>
            </w:tcMar>
            <w:vAlign w:val="bottom"/>
            <w:hideMark/>
          </w:tcPr>
          <w:p w14:paraId="34DB7B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31994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7529A8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1,869</w:t>
            </w:r>
          </w:p>
        </w:tc>
        <w:tc>
          <w:tcPr>
            <w:tcW w:w="191" w:type="dxa"/>
            <w:shd w:val="clear" w:color="auto" w:fill="FFFFFF"/>
            <w:noWrap/>
            <w:tcMar>
              <w:top w:w="15" w:type="dxa"/>
              <w:left w:w="0" w:type="dxa"/>
              <w:bottom w:w="0" w:type="dxa"/>
              <w:right w:w="15" w:type="dxa"/>
            </w:tcMar>
            <w:vAlign w:val="bottom"/>
            <w:hideMark/>
          </w:tcPr>
          <w:p w14:paraId="67002A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C79C5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6A5BE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0F7FD43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1,816</w:t>
            </w:r>
          </w:p>
        </w:tc>
        <w:tc>
          <w:tcPr>
            <w:tcW w:w="191" w:type="dxa"/>
            <w:shd w:val="clear" w:color="auto" w:fill="FFFFFF"/>
            <w:noWrap/>
            <w:tcMar>
              <w:top w:w="15" w:type="dxa"/>
              <w:left w:w="0" w:type="dxa"/>
              <w:bottom w:w="0" w:type="dxa"/>
              <w:right w:w="15" w:type="dxa"/>
            </w:tcMar>
            <w:vAlign w:val="bottom"/>
            <w:hideMark/>
          </w:tcPr>
          <w:p w14:paraId="35FC58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2CCFCA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A9D6E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49AD54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1,690</w:t>
            </w:r>
          </w:p>
        </w:tc>
        <w:tc>
          <w:tcPr>
            <w:tcW w:w="191" w:type="dxa"/>
            <w:shd w:val="clear" w:color="auto" w:fill="FFFFFF"/>
            <w:noWrap/>
            <w:tcMar>
              <w:top w:w="15" w:type="dxa"/>
              <w:left w:w="0" w:type="dxa"/>
              <w:bottom w:w="0" w:type="dxa"/>
              <w:right w:w="15" w:type="dxa"/>
            </w:tcMar>
            <w:vAlign w:val="bottom"/>
            <w:hideMark/>
          </w:tcPr>
          <w:p w14:paraId="02F4EA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8DC89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F9B8C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5D68AC6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1,609</w:t>
            </w:r>
          </w:p>
        </w:tc>
        <w:tc>
          <w:tcPr>
            <w:tcW w:w="191" w:type="dxa"/>
            <w:shd w:val="clear" w:color="auto" w:fill="FFFFFF"/>
            <w:noWrap/>
            <w:tcMar>
              <w:top w:w="15" w:type="dxa"/>
              <w:left w:w="0" w:type="dxa"/>
              <w:bottom w:w="0" w:type="dxa"/>
              <w:right w:w="15" w:type="dxa"/>
            </w:tcMar>
            <w:vAlign w:val="bottom"/>
            <w:hideMark/>
          </w:tcPr>
          <w:p w14:paraId="13AACD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1AA1A8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6B940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BEAAFC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1,329</w:t>
            </w:r>
          </w:p>
        </w:tc>
        <w:tc>
          <w:tcPr>
            <w:tcW w:w="192" w:type="dxa"/>
            <w:shd w:val="clear" w:color="auto" w:fill="FFFFFF"/>
            <w:noWrap/>
            <w:tcMar>
              <w:top w:w="15" w:type="dxa"/>
              <w:left w:w="0" w:type="dxa"/>
              <w:bottom w:w="0" w:type="dxa"/>
              <w:right w:w="15" w:type="dxa"/>
            </w:tcMar>
            <w:vAlign w:val="bottom"/>
            <w:hideMark/>
          </w:tcPr>
          <w:p w14:paraId="056564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FBD693E" w14:textId="77777777" w:rsidTr="00AC4931">
        <w:tc>
          <w:tcPr>
            <w:tcW w:w="9225" w:type="dxa"/>
            <w:shd w:val="clear" w:color="auto" w:fill="CFF0FC"/>
            <w:tcMar>
              <w:top w:w="15" w:type="dxa"/>
              <w:left w:w="0" w:type="dxa"/>
              <w:bottom w:w="0" w:type="dxa"/>
              <w:right w:w="15" w:type="dxa"/>
            </w:tcMar>
            <w:hideMark/>
          </w:tcPr>
          <w:p w14:paraId="5D7B3B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Intangible assets (primarily goodwill)</w:t>
            </w:r>
          </w:p>
        </w:tc>
        <w:tc>
          <w:tcPr>
            <w:tcW w:w="208" w:type="dxa"/>
            <w:shd w:val="clear" w:color="auto" w:fill="CFF0FC"/>
            <w:tcMar>
              <w:top w:w="15" w:type="dxa"/>
              <w:left w:w="0" w:type="dxa"/>
              <w:bottom w:w="0" w:type="dxa"/>
              <w:right w:w="15" w:type="dxa"/>
            </w:tcMar>
            <w:vAlign w:val="bottom"/>
            <w:hideMark/>
          </w:tcPr>
          <w:p w14:paraId="5BAAD7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41DA8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40DEBE7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1,412</w:t>
            </w:r>
          </w:p>
        </w:tc>
        <w:tc>
          <w:tcPr>
            <w:tcW w:w="191" w:type="dxa"/>
            <w:shd w:val="clear" w:color="auto" w:fill="CFF0FC"/>
            <w:noWrap/>
            <w:tcMar>
              <w:top w:w="15" w:type="dxa"/>
              <w:left w:w="0" w:type="dxa"/>
              <w:bottom w:w="0" w:type="dxa"/>
              <w:right w:w="15" w:type="dxa"/>
            </w:tcMar>
            <w:vAlign w:val="bottom"/>
            <w:hideMark/>
          </w:tcPr>
          <w:p w14:paraId="3C3E8F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4721CB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68BD2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D20A50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1,410</w:t>
            </w:r>
          </w:p>
        </w:tc>
        <w:tc>
          <w:tcPr>
            <w:tcW w:w="191" w:type="dxa"/>
            <w:shd w:val="clear" w:color="auto" w:fill="CFF0FC"/>
            <w:noWrap/>
            <w:tcMar>
              <w:top w:w="15" w:type="dxa"/>
              <w:left w:w="0" w:type="dxa"/>
              <w:bottom w:w="0" w:type="dxa"/>
              <w:right w:w="15" w:type="dxa"/>
            </w:tcMar>
            <w:vAlign w:val="bottom"/>
            <w:hideMark/>
          </w:tcPr>
          <w:p w14:paraId="1867ED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61CF5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004F9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59F3673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1,423</w:t>
            </w:r>
          </w:p>
        </w:tc>
        <w:tc>
          <w:tcPr>
            <w:tcW w:w="191" w:type="dxa"/>
            <w:shd w:val="clear" w:color="auto" w:fill="CFF0FC"/>
            <w:noWrap/>
            <w:tcMar>
              <w:top w:w="15" w:type="dxa"/>
              <w:left w:w="0" w:type="dxa"/>
              <w:bottom w:w="0" w:type="dxa"/>
              <w:right w:w="15" w:type="dxa"/>
            </w:tcMar>
            <w:vAlign w:val="bottom"/>
            <w:hideMark/>
          </w:tcPr>
          <w:p w14:paraId="69CC46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5CBD9F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1ABEA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B42014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1,440</w:t>
            </w:r>
          </w:p>
        </w:tc>
        <w:tc>
          <w:tcPr>
            <w:tcW w:w="191" w:type="dxa"/>
            <w:shd w:val="clear" w:color="auto" w:fill="CFF0FC"/>
            <w:noWrap/>
            <w:tcMar>
              <w:top w:w="15" w:type="dxa"/>
              <w:left w:w="0" w:type="dxa"/>
              <w:bottom w:w="0" w:type="dxa"/>
              <w:right w:w="15" w:type="dxa"/>
            </w:tcMar>
            <w:vAlign w:val="bottom"/>
            <w:hideMark/>
          </w:tcPr>
          <w:p w14:paraId="5E38D6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459C97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35ACF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DDEA5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1,430</w:t>
            </w:r>
          </w:p>
        </w:tc>
        <w:tc>
          <w:tcPr>
            <w:tcW w:w="192" w:type="dxa"/>
            <w:shd w:val="clear" w:color="auto" w:fill="CFF0FC"/>
            <w:noWrap/>
            <w:tcMar>
              <w:top w:w="15" w:type="dxa"/>
              <w:left w:w="0" w:type="dxa"/>
              <w:bottom w:w="0" w:type="dxa"/>
              <w:right w:w="15" w:type="dxa"/>
            </w:tcMar>
            <w:vAlign w:val="bottom"/>
            <w:hideMark/>
          </w:tcPr>
          <w:p w14:paraId="1182BD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669C022" w14:textId="77777777" w:rsidTr="00AC4931">
        <w:tc>
          <w:tcPr>
            <w:tcW w:w="9225" w:type="dxa"/>
            <w:shd w:val="clear" w:color="auto" w:fill="FFFFFF"/>
            <w:tcMar>
              <w:top w:w="15" w:type="dxa"/>
              <w:left w:w="0" w:type="dxa"/>
              <w:bottom w:w="0" w:type="dxa"/>
              <w:right w:w="15" w:type="dxa"/>
            </w:tcMar>
            <w:hideMark/>
          </w:tcPr>
          <w:p w14:paraId="007B4D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Non-interest bearing liabilities</w:t>
            </w:r>
          </w:p>
        </w:tc>
        <w:tc>
          <w:tcPr>
            <w:tcW w:w="208" w:type="dxa"/>
            <w:shd w:val="clear" w:color="auto" w:fill="FFFFFF"/>
            <w:tcMar>
              <w:top w:w="15" w:type="dxa"/>
              <w:left w:w="0" w:type="dxa"/>
              <w:bottom w:w="0" w:type="dxa"/>
              <w:right w:w="15" w:type="dxa"/>
            </w:tcMar>
            <w:vAlign w:val="bottom"/>
            <w:hideMark/>
          </w:tcPr>
          <w:p w14:paraId="154CDF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134E8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25C1584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3,182</w:t>
            </w:r>
          </w:p>
        </w:tc>
        <w:tc>
          <w:tcPr>
            <w:tcW w:w="191" w:type="dxa"/>
            <w:shd w:val="clear" w:color="auto" w:fill="FFFFFF"/>
            <w:noWrap/>
            <w:tcMar>
              <w:top w:w="15" w:type="dxa"/>
              <w:left w:w="0" w:type="dxa"/>
              <w:bottom w:w="0" w:type="dxa"/>
              <w:right w:w="15" w:type="dxa"/>
            </w:tcMar>
            <w:vAlign w:val="bottom"/>
            <w:hideMark/>
          </w:tcPr>
          <w:p w14:paraId="0563C2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F2E6E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35156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267A35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2,397</w:t>
            </w:r>
          </w:p>
        </w:tc>
        <w:tc>
          <w:tcPr>
            <w:tcW w:w="191" w:type="dxa"/>
            <w:shd w:val="clear" w:color="auto" w:fill="FFFFFF"/>
            <w:noWrap/>
            <w:tcMar>
              <w:top w:w="15" w:type="dxa"/>
              <w:left w:w="0" w:type="dxa"/>
              <w:bottom w:w="0" w:type="dxa"/>
              <w:right w:w="15" w:type="dxa"/>
            </w:tcMar>
            <w:vAlign w:val="bottom"/>
            <w:hideMark/>
          </w:tcPr>
          <w:p w14:paraId="4CF2B1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158D74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EBAF4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1532186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2,595</w:t>
            </w:r>
          </w:p>
        </w:tc>
        <w:tc>
          <w:tcPr>
            <w:tcW w:w="191" w:type="dxa"/>
            <w:shd w:val="clear" w:color="auto" w:fill="FFFFFF"/>
            <w:noWrap/>
            <w:tcMar>
              <w:top w:w="15" w:type="dxa"/>
              <w:left w:w="0" w:type="dxa"/>
              <w:bottom w:w="0" w:type="dxa"/>
              <w:right w:w="15" w:type="dxa"/>
            </w:tcMar>
            <w:vAlign w:val="bottom"/>
            <w:hideMark/>
          </w:tcPr>
          <w:p w14:paraId="3DDEF4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2D51A8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0C91E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2EA3EF0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2,418</w:t>
            </w:r>
          </w:p>
        </w:tc>
        <w:tc>
          <w:tcPr>
            <w:tcW w:w="191" w:type="dxa"/>
            <w:shd w:val="clear" w:color="auto" w:fill="FFFFFF"/>
            <w:noWrap/>
            <w:tcMar>
              <w:top w:w="15" w:type="dxa"/>
              <w:left w:w="0" w:type="dxa"/>
              <w:bottom w:w="0" w:type="dxa"/>
              <w:right w:w="15" w:type="dxa"/>
            </w:tcMar>
            <w:vAlign w:val="bottom"/>
            <w:hideMark/>
          </w:tcPr>
          <w:p w14:paraId="621530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1E3A3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4F8AD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0316770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2,154</w:t>
            </w:r>
          </w:p>
        </w:tc>
        <w:tc>
          <w:tcPr>
            <w:tcW w:w="192" w:type="dxa"/>
            <w:shd w:val="clear" w:color="auto" w:fill="FFFFFF"/>
            <w:noWrap/>
            <w:tcMar>
              <w:top w:w="15" w:type="dxa"/>
              <w:left w:w="0" w:type="dxa"/>
              <w:bottom w:w="0" w:type="dxa"/>
              <w:right w:w="15" w:type="dxa"/>
            </w:tcMar>
            <w:vAlign w:val="bottom"/>
            <w:hideMark/>
          </w:tcPr>
          <w:p w14:paraId="0FE1D9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CDEC25E" w14:textId="77777777" w:rsidTr="00AC4931">
        <w:tc>
          <w:tcPr>
            <w:tcW w:w="9225" w:type="dxa"/>
            <w:shd w:val="clear" w:color="auto" w:fill="CFF0FC"/>
            <w:tcMar>
              <w:top w:w="15" w:type="dxa"/>
              <w:left w:w="0" w:type="dxa"/>
              <w:bottom w:w="0" w:type="dxa"/>
              <w:right w:w="15" w:type="dxa"/>
            </w:tcMar>
            <w:hideMark/>
          </w:tcPr>
          <w:p w14:paraId="01FCBE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Capital employed</w:t>
            </w:r>
            <w:r w:rsidRPr="00AC4931">
              <w:rPr>
                <w:rFonts w:ascii="Arial" w:eastAsia="宋体" w:hAnsi="Arial" w:cs="Arial"/>
                <w:color w:val="000000"/>
                <w:kern w:val="0"/>
                <w:sz w:val="18"/>
                <w:szCs w:val="18"/>
                <w:vertAlign w:val="superscript"/>
              </w:rPr>
              <w:t>5)</w:t>
            </w:r>
          </w:p>
        </w:tc>
        <w:tc>
          <w:tcPr>
            <w:tcW w:w="208" w:type="dxa"/>
            <w:shd w:val="clear" w:color="auto" w:fill="CFF0FC"/>
            <w:tcMar>
              <w:top w:w="15" w:type="dxa"/>
              <w:left w:w="0" w:type="dxa"/>
              <w:bottom w:w="0" w:type="dxa"/>
              <w:right w:w="15" w:type="dxa"/>
            </w:tcMar>
            <w:vAlign w:val="bottom"/>
            <w:hideMark/>
          </w:tcPr>
          <w:p w14:paraId="58329D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8D589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231707D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3,637</w:t>
            </w:r>
          </w:p>
        </w:tc>
        <w:tc>
          <w:tcPr>
            <w:tcW w:w="191" w:type="dxa"/>
            <w:shd w:val="clear" w:color="auto" w:fill="CFF0FC"/>
            <w:noWrap/>
            <w:tcMar>
              <w:top w:w="15" w:type="dxa"/>
              <w:left w:w="0" w:type="dxa"/>
              <w:bottom w:w="0" w:type="dxa"/>
              <w:right w:w="15" w:type="dxa"/>
            </w:tcMar>
            <w:vAlign w:val="bottom"/>
            <w:hideMark/>
          </w:tcPr>
          <w:p w14:paraId="459425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5F6A0F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2F447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06358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3,772</w:t>
            </w:r>
          </w:p>
        </w:tc>
        <w:tc>
          <w:tcPr>
            <w:tcW w:w="191" w:type="dxa"/>
            <w:shd w:val="clear" w:color="auto" w:fill="CFF0FC"/>
            <w:noWrap/>
            <w:tcMar>
              <w:top w:w="15" w:type="dxa"/>
              <w:left w:w="0" w:type="dxa"/>
              <w:bottom w:w="0" w:type="dxa"/>
              <w:right w:w="15" w:type="dxa"/>
            </w:tcMar>
            <w:vAlign w:val="bottom"/>
            <w:hideMark/>
          </w:tcPr>
          <w:p w14:paraId="2E4F1D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C25F1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6A97D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F46A66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3,516</w:t>
            </w:r>
          </w:p>
        </w:tc>
        <w:tc>
          <w:tcPr>
            <w:tcW w:w="191" w:type="dxa"/>
            <w:shd w:val="clear" w:color="auto" w:fill="CFF0FC"/>
            <w:noWrap/>
            <w:tcMar>
              <w:top w:w="15" w:type="dxa"/>
              <w:left w:w="0" w:type="dxa"/>
              <w:bottom w:w="0" w:type="dxa"/>
              <w:right w:w="15" w:type="dxa"/>
            </w:tcMar>
            <w:vAlign w:val="bottom"/>
            <w:hideMark/>
          </w:tcPr>
          <w:p w14:paraId="046B31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1F5826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3CA76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5929A52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4,538</w:t>
            </w:r>
          </w:p>
        </w:tc>
        <w:tc>
          <w:tcPr>
            <w:tcW w:w="191" w:type="dxa"/>
            <w:shd w:val="clear" w:color="auto" w:fill="CFF0FC"/>
            <w:noWrap/>
            <w:tcMar>
              <w:top w:w="15" w:type="dxa"/>
              <w:left w:w="0" w:type="dxa"/>
              <w:bottom w:w="0" w:type="dxa"/>
              <w:right w:w="15" w:type="dxa"/>
            </w:tcMar>
            <w:vAlign w:val="bottom"/>
            <w:hideMark/>
          </w:tcPr>
          <w:p w14:paraId="2DB22E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7B844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31D71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B9944C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4,225</w:t>
            </w:r>
          </w:p>
        </w:tc>
        <w:tc>
          <w:tcPr>
            <w:tcW w:w="192" w:type="dxa"/>
            <w:shd w:val="clear" w:color="auto" w:fill="CFF0FC"/>
            <w:noWrap/>
            <w:tcMar>
              <w:top w:w="15" w:type="dxa"/>
              <w:left w:w="0" w:type="dxa"/>
              <w:bottom w:w="0" w:type="dxa"/>
              <w:right w:w="15" w:type="dxa"/>
            </w:tcMar>
            <w:vAlign w:val="bottom"/>
            <w:hideMark/>
          </w:tcPr>
          <w:p w14:paraId="41F130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64C174F" w14:textId="77777777" w:rsidTr="00AC4931">
        <w:tc>
          <w:tcPr>
            <w:tcW w:w="9225" w:type="dxa"/>
            <w:shd w:val="clear" w:color="auto" w:fill="FFFFFF"/>
            <w:tcMar>
              <w:top w:w="15" w:type="dxa"/>
              <w:left w:w="0" w:type="dxa"/>
              <w:bottom w:w="0" w:type="dxa"/>
              <w:right w:w="15" w:type="dxa"/>
            </w:tcMar>
            <w:hideMark/>
          </w:tcPr>
          <w:p w14:paraId="68D373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debt</w:t>
            </w:r>
            <w:r w:rsidRPr="00AC4931">
              <w:rPr>
                <w:rFonts w:ascii="Arial" w:eastAsia="宋体" w:hAnsi="Arial" w:cs="Arial"/>
                <w:color w:val="000000"/>
                <w:kern w:val="0"/>
                <w:sz w:val="18"/>
                <w:szCs w:val="18"/>
                <w:vertAlign w:val="superscript"/>
              </w:rPr>
              <w:t>6, 8)</w:t>
            </w:r>
          </w:p>
        </w:tc>
        <w:tc>
          <w:tcPr>
            <w:tcW w:w="208" w:type="dxa"/>
            <w:shd w:val="clear" w:color="auto" w:fill="FFFFFF"/>
            <w:tcMar>
              <w:top w:w="15" w:type="dxa"/>
              <w:left w:w="0" w:type="dxa"/>
              <w:bottom w:w="0" w:type="dxa"/>
              <w:right w:w="15" w:type="dxa"/>
            </w:tcMar>
            <w:vAlign w:val="bottom"/>
            <w:hideMark/>
          </w:tcPr>
          <w:p w14:paraId="1302F0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2C415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77EBF4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1,214</w:t>
            </w:r>
          </w:p>
        </w:tc>
        <w:tc>
          <w:tcPr>
            <w:tcW w:w="191" w:type="dxa"/>
            <w:shd w:val="clear" w:color="auto" w:fill="FFFFFF"/>
            <w:noWrap/>
            <w:tcMar>
              <w:top w:w="15" w:type="dxa"/>
              <w:left w:w="0" w:type="dxa"/>
              <w:bottom w:w="0" w:type="dxa"/>
              <w:right w:w="15" w:type="dxa"/>
            </w:tcMar>
            <w:vAlign w:val="bottom"/>
            <w:hideMark/>
          </w:tcPr>
          <w:p w14:paraId="047D79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C9EF1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898AF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4900B9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1,650</w:t>
            </w:r>
          </w:p>
        </w:tc>
        <w:tc>
          <w:tcPr>
            <w:tcW w:w="191" w:type="dxa"/>
            <w:shd w:val="clear" w:color="auto" w:fill="FFFFFF"/>
            <w:noWrap/>
            <w:tcMar>
              <w:top w:w="15" w:type="dxa"/>
              <w:left w:w="0" w:type="dxa"/>
              <w:bottom w:w="0" w:type="dxa"/>
              <w:right w:w="15" w:type="dxa"/>
            </w:tcMar>
            <w:vAlign w:val="bottom"/>
            <w:hideMark/>
          </w:tcPr>
          <w:p w14:paraId="5519BC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75700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FBDB2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B724A0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1,619</w:t>
            </w:r>
          </w:p>
        </w:tc>
        <w:tc>
          <w:tcPr>
            <w:tcW w:w="191" w:type="dxa"/>
            <w:shd w:val="clear" w:color="auto" w:fill="FFFFFF"/>
            <w:noWrap/>
            <w:tcMar>
              <w:top w:w="15" w:type="dxa"/>
              <w:left w:w="0" w:type="dxa"/>
              <w:bottom w:w="0" w:type="dxa"/>
              <w:right w:w="15" w:type="dxa"/>
            </w:tcMar>
            <w:vAlign w:val="bottom"/>
            <w:hideMark/>
          </w:tcPr>
          <w:p w14:paraId="1A8EA6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DA543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80B56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609AB0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368</w:t>
            </w:r>
          </w:p>
        </w:tc>
        <w:tc>
          <w:tcPr>
            <w:tcW w:w="191" w:type="dxa"/>
            <w:shd w:val="clear" w:color="auto" w:fill="FFFFFF"/>
            <w:noWrap/>
            <w:tcMar>
              <w:top w:w="15" w:type="dxa"/>
              <w:left w:w="0" w:type="dxa"/>
              <w:bottom w:w="0" w:type="dxa"/>
              <w:right w:w="15" w:type="dxa"/>
            </w:tcMar>
            <w:vAlign w:val="bottom"/>
            <w:hideMark/>
          </w:tcPr>
          <w:p w14:paraId="1BF306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55050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521BF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AABE9C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299</w:t>
            </w:r>
          </w:p>
        </w:tc>
        <w:tc>
          <w:tcPr>
            <w:tcW w:w="192" w:type="dxa"/>
            <w:shd w:val="clear" w:color="auto" w:fill="FFFFFF"/>
            <w:noWrap/>
            <w:tcMar>
              <w:top w:w="15" w:type="dxa"/>
              <w:left w:w="0" w:type="dxa"/>
              <w:bottom w:w="0" w:type="dxa"/>
              <w:right w:w="15" w:type="dxa"/>
            </w:tcMar>
            <w:vAlign w:val="bottom"/>
            <w:hideMark/>
          </w:tcPr>
          <w:p w14:paraId="303397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F264898" w14:textId="77777777" w:rsidTr="00AC4931">
        <w:tc>
          <w:tcPr>
            <w:tcW w:w="9225" w:type="dxa"/>
            <w:shd w:val="clear" w:color="auto" w:fill="CFF0FC"/>
            <w:tcMar>
              <w:top w:w="15" w:type="dxa"/>
              <w:left w:w="0" w:type="dxa"/>
              <w:bottom w:w="0" w:type="dxa"/>
              <w:right w:w="15" w:type="dxa"/>
            </w:tcMar>
            <w:hideMark/>
          </w:tcPr>
          <w:p w14:paraId="702711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Total equity</w:t>
            </w:r>
            <w:r w:rsidRPr="00AC4931">
              <w:rPr>
                <w:rFonts w:ascii="Arial" w:eastAsia="宋体" w:hAnsi="Arial" w:cs="Arial"/>
                <w:color w:val="000000"/>
                <w:kern w:val="0"/>
                <w:sz w:val="18"/>
                <w:szCs w:val="18"/>
                <w:vertAlign w:val="superscript"/>
              </w:rPr>
              <w:t>5)</w:t>
            </w:r>
          </w:p>
        </w:tc>
        <w:tc>
          <w:tcPr>
            <w:tcW w:w="208" w:type="dxa"/>
            <w:shd w:val="clear" w:color="auto" w:fill="CFF0FC"/>
            <w:tcMar>
              <w:top w:w="15" w:type="dxa"/>
              <w:left w:w="0" w:type="dxa"/>
              <w:bottom w:w="0" w:type="dxa"/>
              <w:right w:w="15" w:type="dxa"/>
            </w:tcMar>
            <w:vAlign w:val="bottom"/>
            <w:hideMark/>
          </w:tcPr>
          <w:p w14:paraId="25CA15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49884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A10A45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2,423</w:t>
            </w:r>
          </w:p>
        </w:tc>
        <w:tc>
          <w:tcPr>
            <w:tcW w:w="191" w:type="dxa"/>
            <w:shd w:val="clear" w:color="auto" w:fill="CFF0FC"/>
            <w:noWrap/>
            <w:tcMar>
              <w:top w:w="15" w:type="dxa"/>
              <w:left w:w="0" w:type="dxa"/>
              <w:bottom w:w="0" w:type="dxa"/>
              <w:right w:w="15" w:type="dxa"/>
            </w:tcMar>
            <w:vAlign w:val="bottom"/>
            <w:hideMark/>
          </w:tcPr>
          <w:p w14:paraId="6B7EC2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908E6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56D4B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2CFAEBB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2,122</w:t>
            </w:r>
          </w:p>
        </w:tc>
        <w:tc>
          <w:tcPr>
            <w:tcW w:w="191" w:type="dxa"/>
            <w:shd w:val="clear" w:color="auto" w:fill="CFF0FC"/>
            <w:noWrap/>
            <w:tcMar>
              <w:top w:w="15" w:type="dxa"/>
              <w:left w:w="0" w:type="dxa"/>
              <w:bottom w:w="0" w:type="dxa"/>
              <w:right w:w="15" w:type="dxa"/>
            </w:tcMar>
            <w:vAlign w:val="bottom"/>
            <w:hideMark/>
          </w:tcPr>
          <w:p w14:paraId="313123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451F0D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34668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4F1755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1,897</w:t>
            </w:r>
          </w:p>
        </w:tc>
        <w:tc>
          <w:tcPr>
            <w:tcW w:w="191" w:type="dxa"/>
            <w:shd w:val="clear" w:color="auto" w:fill="CFF0FC"/>
            <w:noWrap/>
            <w:tcMar>
              <w:top w:w="15" w:type="dxa"/>
              <w:left w:w="0" w:type="dxa"/>
              <w:bottom w:w="0" w:type="dxa"/>
              <w:right w:w="15" w:type="dxa"/>
            </w:tcMar>
            <w:vAlign w:val="bottom"/>
            <w:hideMark/>
          </w:tcPr>
          <w:p w14:paraId="4D4AF4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4F9A41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BCD00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32AABBB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4,169</w:t>
            </w:r>
          </w:p>
        </w:tc>
        <w:tc>
          <w:tcPr>
            <w:tcW w:w="191" w:type="dxa"/>
            <w:shd w:val="clear" w:color="auto" w:fill="CFF0FC"/>
            <w:noWrap/>
            <w:tcMar>
              <w:top w:w="15" w:type="dxa"/>
              <w:left w:w="0" w:type="dxa"/>
              <w:bottom w:w="0" w:type="dxa"/>
              <w:right w:w="15" w:type="dxa"/>
            </w:tcMar>
            <w:vAlign w:val="bottom"/>
            <w:hideMark/>
          </w:tcPr>
          <w:p w14:paraId="5AEFB6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392F37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37C6D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3788FE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3,926</w:t>
            </w:r>
          </w:p>
        </w:tc>
        <w:tc>
          <w:tcPr>
            <w:tcW w:w="192" w:type="dxa"/>
            <w:shd w:val="clear" w:color="auto" w:fill="CFF0FC"/>
            <w:noWrap/>
            <w:tcMar>
              <w:top w:w="15" w:type="dxa"/>
              <w:left w:w="0" w:type="dxa"/>
              <w:bottom w:w="0" w:type="dxa"/>
              <w:right w:w="15" w:type="dxa"/>
            </w:tcMar>
            <w:vAlign w:val="bottom"/>
            <w:hideMark/>
          </w:tcPr>
          <w:p w14:paraId="1D9102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67013BA" w14:textId="77777777" w:rsidTr="00AC4931">
        <w:tc>
          <w:tcPr>
            <w:tcW w:w="9225" w:type="dxa"/>
            <w:shd w:val="clear" w:color="auto" w:fill="FFFFFF"/>
            <w:tcMar>
              <w:top w:w="15" w:type="dxa"/>
              <w:left w:w="0" w:type="dxa"/>
              <w:bottom w:w="0" w:type="dxa"/>
              <w:right w:w="15" w:type="dxa"/>
            </w:tcMar>
            <w:hideMark/>
          </w:tcPr>
          <w:p w14:paraId="5ABBD7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Total assets</w:t>
            </w:r>
          </w:p>
        </w:tc>
        <w:tc>
          <w:tcPr>
            <w:tcW w:w="208" w:type="dxa"/>
            <w:shd w:val="clear" w:color="auto" w:fill="FFFFFF"/>
            <w:tcMar>
              <w:top w:w="15" w:type="dxa"/>
              <w:left w:w="0" w:type="dxa"/>
              <w:bottom w:w="0" w:type="dxa"/>
              <w:right w:w="15" w:type="dxa"/>
            </w:tcMar>
            <w:vAlign w:val="bottom"/>
            <w:hideMark/>
          </w:tcPr>
          <w:p w14:paraId="733F3D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C2913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2EEC677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8,157</w:t>
            </w:r>
          </w:p>
        </w:tc>
        <w:tc>
          <w:tcPr>
            <w:tcW w:w="191" w:type="dxa"/>
            <w:shd w:val="clear" w:color="auto" w:fill="FFFFFF"/>
            <w:noWrap/>
            <w:tcMar>
              <w:top w:w="15" w:type="dxa"/>
              <w:left w:w="0" w:type="dxa"/>
              <w:bottom w:w="0" w:type="dxa"/>
              <w:right w:w="15" w:type="dxa"/>
            </w:tcMar>
            <w:vAlign w:val="bottom"/>
            <w:hideMark/>
          </w:tcPr>
          <w:p w14:paraId="3E4B34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63A2E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103C8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9267B6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6,771</w:t>
            </w:r>
          </w:p>
        </w:tc>
        <w:tc>
          <w:tcPr>
            <w:tcW w:w="191" w:type="dxa"/>
            <w:shd w:val="clear" w:color="auto" w:fill="FFFFFF"/>
            <w:noWrap/>
            <w:tcMar>
              <w:top w:w="15" w:type="dxa"/>
              <w:left w:w="0" w:type="dxa"/>
              <w:bottom w:w="0" w:type="dxa"/>
              <w:right w:w="15" w:type="dxa"/>
            </w:tcMar>
            <w:vAlign w:val="bottom"/>
            <w:hideMark/>
          </w:tcPr>
          <w:p w14:paraId="0458AF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94BEB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095BB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1B36CF9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6,722</w:t>
            </w:r>
          </w:p>
        </w:tc>
        <w:tc>
          <w:tcPr>
            <w:tcW w:w="191" w:type="dxa"/>
            <w:shd w:val="clear" w:color="auto" w:fill="FFFFFF"/>
            <w:noWrap/>
            <w:tcMar>
              <w:top w:w="15" w:type="dxa"/>
              <w:left w:w="0" w:type="dxa"/>
              <w:bottom w:w="0" w:type="dxa"/>
              <w:right w:w="15" w:type="dxa"/>
            </w:tcMar>
            <w:vAlign w:val="bottom"/>
            <w:hideMark/>
          </w:tcPr>
          <w:p w14:paraId="20C6F8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C39F6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6A490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1244AAA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6,947</w:t>
            </w:r>
          </w:p>
        </w:tc>
        <w:tc>
          <w:tcPr>
            <w:tcW w:w="191" w:type="dxa"/>
            <w:shd w:val="clear" w:color="auto" w:fill="FFFFFF"/>
            <w:noWrap/>
            <w:tcMar>
              <w:top w:w="15" w:type="dxa"/>
              <w:left w:w="0" w:type="dxa"/>
              <w:bottom w:w="0" w:type="dxa"/>
              <w:right w:w="15" w:type="dxa"/>
            </w:tcMar>
            <w:vAlign w:val="bottom"/>
            <w:hideMark/>
          </w:tcPr>
          <w:p w14:paraId="6F532C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4E492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FCE79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1F05091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6,565</w:t>
            </w:r>
          </w:p>
        </w:tc>
        <w:tc>
          <w:tcPr>
            <w:tcW w:w="192" w:type="dxa"/>
            <w:shd w:val="clear" w:color="auto" w:fill="FFFFFF"/>
            <w:noWrap/>
            <w:tcMar>
              <w:top w:w="15" w:type="dxa"/>
              <w:left w:w="0" w:type="dxa"/>
              <w:bottom w:w="0" w:type="dxa"/>
              <w:right w:w="15" w:type="dxa"/>
            </w:tcMar>
            <w:vAlign w:val="bottom"/>
            <w:hideMark/>
          </w:tcPr>
          <w:p w14:paraId="1F395B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073FC77" w14:textId="77777777" w:rsidTr="00AC4931">
        <w:tc>
          <w:tcPr>
            <w:tcW w:w="9225" w:type="dxa"/>
            <w:shd w:val="clear" w:color="auto" w:fill="CFF0FC"/>
            <w:tcMar>
              <w:top w:w="15" w:type="dxa"/>
              <w:left w:w="0" w:type="dxa"/>
              <w:bottom w:w="0" w:type="dxa"/>
              <w:right w:w="15" w:type="dxa"/>
            </w:tcMar>
            <w:hideMark/>
          </w:tcPr>
          <w:p w14:paraId="44B1AB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Long-term debt</w:t>
            </w:r>
            <w:r w:rsidRPr="00AC4931">
              <w:rPr>
                <w:rFonts w:ascii="Arial" w:eastAsia="宋体" w:hAnsi="Arial" w:cs="Arial"/>
                <w:color w:val="000000"/>
                <w:kern w:val="0"/>
                <w:sz w:val="18"/>
                <w:szCs w:val="18"/>
                <w:vertAlign w:val="superscript"/>
              </w:rPr>
              <w:t>6)</w:t>
            </w:r>
          </w:p>
        </w:tc>
        <w:tc>
          <w:tcPr>
            <w:tcW w:w="208" w:type="dxa"/>
            <w:shd w:val="clear" w:color="auto" w:fill="CFF0FC"/>
            <w:tcMar>
              <w:top w:w="15" w:type="dxa"/>
              <w:left w:w="0" w:type="dxa"/>
              <w:bottom w:w="0" w:type="dxa"/>
              <w:right w:w="15" w:type="dxa"/>
            </w:tcMar>
            <w:vAlign w:val="bottom"/>
            <w:hideMark/>
          </w:tcPr>
          <w:p w14:paraId="6F075B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83B48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54E8D2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2,110</w:t>
            </w:r>
          </w:p>
        </w:tc>
        <w:tc>
          <w:tcPr>
            <w:tcW w:w="191" w:type="dxa"/>
            <w:shd w:val="clear" w:color="auto" w:fill="CFF0FC"/>
            <w:noWrap/>
            <w:tcMar>
              <w:top w:w="15" w:type="dxa"/>
              <w:left w:w="0" w:type="dxa"/>
              <w:bottom w:w="0" w:type="dxa"/>
              <w:right w:w="15" w:type="dxa"/>
            </w:tcMar>
            <w:vAlign w:val="bottom"/>
            <w:hideMark/>
          </w:tcPr>
          <w:p w14:paraId="1189A7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8EB91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049DB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1C881BF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1,726</w:t>
            </w:r>
          </w:p>
        </w:tc>
        <w:tc>
          <w:tcPr>
            <w:tcW w:w="191" w:type="dxa"/>
            <w:shd w:val="clear" w:color="auto" w:fill="CFF0FC"/>
            <w:noWrap/>
            <w:tcMar>
              <w:top w:w="15" w:type="dxa"/>
              <w:left w:w="0" w:type="dxa"/>
              <w:bottom w:w="0" w:type="dxa"/>
              <w:right w:w="15" w:type="dxa"/>
            </w:tcMar>
            <w:vAlign w:val="bottom"/>
            <w:hideMark/>
          </w:tcPr>
          <w:p w14:paraId="2CA4F9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501283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13E50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E9A76D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1,609</w:t>
            </w:r>
          </w:p>
        </w:tc>
        <w:tc>
          <w:tcPr>
            <w:tcW w:w="191" w:type="dxa"/>
            <w:shd w:val="clear" w:color="auto" w:fill="CFF0FC"/>
            <w:noWrap/>
            <w:tcMar>
              <w:top w:w="15" w:type="dxa"/>
              <w:left w:w="0" w:type="dxa"/>
              <w:bottom w:w="0" w:type="dxa"/>
              <w:right w:w="15" w:type="dxa"/>
            </w:tcMar>
            <w:vAlign w:val="bottom"/>
            <w:hideMark/>
          </w:tcPr>
          <w:p w14:paraId="06CE78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3A017C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6089B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35117D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1,311</w:t>
            </w:r>
          </w:p>
        </w:tc>
        <w:tc>
          <w:tcPr>
            <w:tcW w:w="191" w:type="dxa"/>
            <w:shd w:val="clear" w:color="auto" w:fill="CFF0FC"/>
            <w:noWrap/>
            <w:tcMar>
              <w:top w:w="15" w:type="dxa"/>
              <w:left w:w="0" w:type="dxa"/>
              <w:bottom w:w="0" w:type="dxa"/>
              <w:right w:w="15" w:type="dxa"/>
            </w:tcMar>
            <w:vAlign w:val="bottom"/>
            <w:hideMark/>
          </w:tcPr>
          <w:p w14:paraId="090DC0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F8B68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23074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27E411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1,313</w:t>
            </w:r>
          </w:p>
        </w:tc>
        <w:tc>
          <w:tcPr>
            <w:tcW w:w="192" w:type="dxa"/>
            <w:shd w:val="clear" w:color="auto" w:fill="CFF0FC"/>
            <w:noWrap/>
            <w:tcMar>
              <w:top w:w="15" w:type="dxa"/>
              <w:left w:w="0" w:type="dxa"/>
              <w:bottom w:w="0" w:type="dxa"/>
              <w:right w:w="15" w:type="dxa"/>
            </w:tcMar>
            <w:vAlign w:val="bottom"/>
            <w:hideMark/>
          </w:tcPr>
          <w:p w14:paraId="73932E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1B06FCC" w14:textId="77777777" w:rsidTr="00AC4931">
        <w:tc>
          <w:tcPr>
            <w:tcW w:w="9225" w:type="dxa"/>
            <w:shd w:val="clear" w:color="auto" w:fill="FFFFFF"/>
            <w:tcMar>
              <w:top w:w="15" w:type="dxa"/>
              <w:left w:w="0" w:type="dxa"/>
              <w:bottom w:w="0" w:type="dxa"/>
              <w:right w:w="15" w:type="dxa"/>
            </w:tcMar>
            <w:hideMark/>
          </w:tcPr>
          <w:p w14:paraId="2CA9674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Share data</w:t>
            </w:r>
          </w:p>
        </w:tc>
        <w:tc>
          <w:tcPr>
            <w:tcW w:w="208" w:type="dxa"/>
            <w:shd w:val="clear" w:color="auto" w:fill="FFFFFF"/>
            <w:tcMar>
              <w:top w:w="15" w:type="dxa"/>
              <w:left w:w="0" w:type="dxa"/>
              <w:bottom w:w="0" w:type="dxa"/>
              <w:right w:w="15" w:type="dxa"/>
            </w:tcMar>
            <w:vAlign w:val="bottom"/>
            <w:hideMark/>
          </w:tcPr>
          <w:p w14:paraId="79EBE6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A0923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B9EB47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27E72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17F3E6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2F14A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DCEB07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D5404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1B48C8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24367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EE19BA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01D1D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813BE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875E9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E87D39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BCCD9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7CC817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33EEA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FC1C12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071C3F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1DFE9F7" w14:textId="77777777" w:rsidTr="00AC4931">
        <w:tc>
          <w:tcPr>
            <w:tcW w:w="9225" w:type="dxa"/>
            <w:shd w:val="clear" w:color="auto" w:fill="CFF0FC"/>
            <w:tcMar>
              <w:top w:w="15" w:type="dxa"/>
              <w:left w:w="0" w:type="dxa"/>
              <w:bottom w:w="0" w:type="dxa"/>
              <w:right w:w="15" w:type="dxa"/>
            </w:tcMar>
            <w:hideMark/>
          </w:tcPr>
          <w:p w14:paraId="48BDC5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Earnings per share (US$) – basic</w:t>
            </w:r>
            <w:r w:rsidRPr="00AC4931">
              <w:rPr>
                <w:rFonts w:ascii="Arial" w:eastAsia="宋体" w:hAnsi="Arial" w:cs="Arial"/>
                <w:color w:val="000000"/>
                <w:kern w:val="0"/>
                <w:sz w:val="18"/>
                <w:szCs w:val="18"/>
                <w:vertAlign w:val="superscript"/>
              </w:rPr>
              <w:t>4)</w:t>
            </w:r>
          </w:p>
        </w:tc>
        <w:tc>
          <w:tcPr>
            <w:tcW w:w="208" w:type="dxa"/>
            <w:shd w:val="clear" w:color="auto" w:fill="CFF0FC"/>
            <w:tcMar>
              <w:top w:w="15" w:type="dxa"/>
              <w:left w:w="0" w:type="dxa"/>
              <w:bottom w:w="0" w:type="dxa"/>
              <w:right w:w="15" w:type="dxa"/>
            </w:tcMar>
            <w:vAlign w:val="bottom"/>
            <w:hideMark/>
          </w:tcPr>
          <w:p w14:paraId="3358D6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21D84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17950C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w:t>
            </w:r>
          </w:p>
        </w:tc>
        <w:tc>
          <w:tcPr>
            <w:tcW w:w="191" w:type="dxa"/>
            <w:shd w:val="clear" w:color="auto" w:fill="CFF0FC"/>
            <w:noWrap/>
            <w:tcMar>
              <w:top w:w="15" w:type="dxa"/>
              <w:left w:w="0" w:type="dxa"/>
              <w:bottom w:w="0" w:type="dxa"/>
              <w:right w:w="15" w:type="dxa"/>
            </w:tcMar>
            <w:vAlign w:val="bottom"/>
            <w:hideMark/>
          </w:tcPr>
          <w:p w14:paraId="561D86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45C6D8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868B5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413066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5.29</w:t>
            </w:r>
          </w:p>
        </w:tc>
        <w:tc>
          <w:tcPr>
            <w:tcW w:w="191" w:type="dxa"/>
            <w:shd w:val="clear" w:color="auto" w:fill="CFF0FC"/>
            <w:noWrap/>
            <w:tcMar>
              <w:top w:w="15" w:type="dxa"/>
              <w:left w:w="0" w:type="dxa"/>
              <w:bottom w:w="0" w:type="dxa"/>
              <w:right w:w="15" w:type="dxa"/>
            </w:tcMar>
            <w:vAlign w:val="bottom"/>
            <w:hideMark/>
          </w:tcPr>
          <w:p w14:paraId="48EABA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00182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50156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1F4DAAB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4.32</w:t>
            </w:r>
          </w:p>
        </w:tc>
        <w:tc>
          <w:tcPr>
            <w:tcW w:w="191" w:type="dxa"/>
            <w:shd w:val="clear" w:color="auto" w:fill="CFF0FC"/>
            <w:noWrap/>
            <w:tcMar>
              <w:top w:w="15" w:type="dxa"/>
              <w:left w:w="0" w:type="dxa"/>
              <w:bottom w:w="0" w:type="dxa"/>
              <w:right w:w="15" w:type="dxa"/>
            </w:tcMar>
            <w:vAlign w:val="bottom"/>
            <w:hideMark/>
          </w:tcPr>
          <w:p w14:paraId="019A67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1B79B9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7C9B8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00AD3CF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6.70</w:t>
            </w:r>
          </w:p>
        </w:tc>
        <w:tc>
          <w:tcPr>
            <w:tcW w:w="191" w:type="dxa"/>
            <w:shd w:val="clear" w:color="auto" w:fill="CFF0FC"/>
            <w:noWrap/>
            <w:tcMar>
              <w:top w:w="15" w:type="dxa"/>
              <w:left w:w="0" w:type="dxa"/>
              <w:bottom w:w="0" w:type="dxa"/>
              <w:right w:w="15" w:type="dxa"/>
            </w:tcMar>
            <w:vAlign w:val="bottom"/>
            <w:hideMark/>
          </w:tcPr>
          <w:p w14:paraId="110867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0A83B9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A648E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ECCEDA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6.33</w:t>
            </w:r>
          </w:p>
        </w:tc>
        <w:tc>
          <w:tcPr>
            <w:tcW w:w="192" w:type="dxa"/>
            <w:shd w:val="clear" w:color="auto" w:fill="CFF0FC"/>
            <w:noWrap/>
            <w:tcMar>
              <w:top w:w="15" w:type="dxa"/>
              <w:left w:w="0" w:type="dxa"/>
              <w:bottom w:w="0" w:type="dxa"/>
              <w:right w:w="15" w:type="dxa"/>
            </w:tcMar>
            <w:vAlign w:val="bottom"/>
            <w:hideMark/>
          </w:tcPr>
          <w:p w14:paraId="16C6C0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967FFD5" w14:textId="77777777" w:rsidTr="00AC4931">
        <w:tc>
          <w:tcPr>
            <w:tcW w:w="9225" w:type="dxa"/>
            <w:shd w:val="clear" w:color="auto" w:fill="FFFFFF"/>
            <w:tcMar>
              <w:top w:w="15" w:type="dxa"/>
              <w:left w:w="0" w:type="dxa"/>
              <w:bottom w:w="0" w:type="dxa"/>
              <w:right w:w="15" w:type="dxa"/>
            </w:tcMar>
            <w:hideMark/>
          </w:tcPr>
          <w:p w14:paraId="661F92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Earnings per share (US$) – assuming dilution</w:t>
            </w:r>
            <w:r w:rsidRPr="00AC4931">
              <w:rPr>
                <w:rFonts w:ascii="Arial" w:eastAsia="宋体" w:hAnsi="Arial" w:cs="Arial"/>
                <w:color w:val="000000"/>
                <w:kern w:val="0"/>
                <w:sz w:val="18"/>
                <w:szCs w:val="18"/>
                <w:vertAlign w:val="superscript"/>
              </w:rPr>
              <w:t>4)</w:t>
            </w:r>
          </w:p>
        </w:tc>
        <w:tc>
          <w:tcPr>
            <w:tcW w:w="208" w:type="dxa"/>
            <w:shd w:val="clear" w:color="auto" w:fill="FFFFFF"/>
            <w:tcMar>
              <w:top w:w="15" w:type="dxa"/>
              <w:left w:w="0" w:type="dxa"/>
              <w:bottom w:w="0" w:type="dxa"/>
              <w:right w:w="15" w:type="dxa"/>
            </w:tcMar>
            <w:vAlign w:val="bottom"/>
            <w:hideMark/>
          </w:tcPr>
          <w:p w14:paraId="645670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32271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B6B74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w:t>
            </w:r>
          </w:p>
        </w:tc>
        <w:tc>
          <w:tcPr>
            <w:tcW w:w="191" w:type="dxa"/>
            <w:shd w:val="clear" w:color="auto" w:fill="FFFFFF"/>
            <w:noWrap/>
            <w:tcMar>
              <w:top w:w="15" w:type="dxa"/>
              <w:left w:w="0" w:type="dxa"/>
              <w:bottom w:w="0" w:type="dxa"/>
              <w:right w:w="15" w:type="dxa"/>
            </w:tcMar>
            <w:vAlign w:val="bottom"/>
            <w:hideMark/>
          </w:tcPr>
          <w:p w14:paraId="246EE3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4D224A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797CA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5539DF8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5.29</w:t>
            </w:r>
          </w:p>
        </w:tc>
        <w:tc>
          <w:tcPr>
            <w:tcW w:w="191" w:type="dxa"/>
            <w:shd w:val="clear" w:color="auto" w:fill="FFFFFF"/>
            <w:noWrap/>
            <w:tcMar>
              <w:top w:w="15" w:type="dxa"/>
              <w:left w:w="0" w:type="dxa"/>
              <w:bottom w:w="0" w:type="dxa"/>
              <w:right w:w="15" w:type="dxa"/>
            </w:tcMar>
            <w:vAlign w:val="bottom"/>
            <w:hideMark/>
          </w:tcPr>
          <w:p w14:paraId="2841A7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79D5B2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61D93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079FB8F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4.31</w:t>
            </w:r>
          </w:p>
        </w:tc>
        <w:tc>
          <w:tcPr>
            <w:tcW w:w="191" w:type="dxa"/>
            <w:shd w:val="clear" w:color="auto" w:fill="FFFFFF"/>
            <w:noWrap/>
            <w:tcMar>
              <w:top w:w="15" w:type="dxa"/>
              <w:left w:w="0" w:type="dxa"/>
              <w:bottom w:w="0" w:type="dxa"/>
              <w:right w:w="15" w:type="dxa"/>
            </w:tcMar>
            <w:vAlign w:val="bottom"/>
            <w:hideMark/>
          </w:tcPr>
          <w:p w14:paraId="158686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4ED9E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ADF66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765D41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6.68</w:t>
            </w:r>
          </w:p>
        </w:tc>
        <w:tc>
          <w:tcPr>
            <w:tcW w:w="191" w:type="dxa"/>
            <w:shd w:val="clear" w:color="auto" w:fill="FFFFFF"/>
            <w:noWrap/>
            <w:tcMar>
              <w:top w:w="15" w:type="dxa"/>
              <w:left w:w="0" w:type="dxa"/>
              <w:bottom w:w="0" w:type="dxa"/>
              <w:right w:w="15" w:type="dxa"/>
            </w:tcMar>
            <w:vAlign w:val="bottom"/>
            <w:hideMark/>
          </w:tcPr>
          <w:p w14:paraId="5885A6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1A5C24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BE733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FA9821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6.32</w:t>
            </w:r>
          </w:p>
        </w:tc>
        <w:tc>
          <w:tcPr>
            <w:tcW w:w="192" w:type="dxa"/>
            <w:shd w:val="clear" w:color="auto" w:fill="FFFFFF"/>
            <w:noWrap/>
            <w:tcMar>
              <w:top w:w="15" w:type="dxa"/>
              <w:left w:w="0" w:type="dxa"/>
              <w:bottom w:w="0" w:type="dxa"/>
              <w:right w:w="15" w:type="dxa"/>
            </w:tcMar>
            <w:vAlign w:val="bottom"/>
            <w:hideMark/>
          </w:tcPr>
          <w:p w14:paraId="34F1C0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B405DCD" w14:textId="77777777" w:rsidTr="00AC4931">
        <w:tc>
          <w:tcPr>
            <w:tcW w:w="9225" w:type="dxa"/>
            <w:shd w:val="clear" w:color="auto" w:fill="CFF0FC"/>
            <w:tcMar>
              <w:top w:w="15" w:type="dxa"/>
              <w:left w:w="0" w:type="dxa"/>
              <w:bottom w:w="0" w:type="dxa"/>
              <w:right w:w="15" w:type="dxa"/>
            </w:tcMar>
            <w:hideMark/>
          </w:tcPr>
          <w:p w14:paraId="65CE5F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Total parent shareholders’ equity per share (US$)</w:t>
            </w:r>
            <w:r w:rsidRPr="00AC4931">
              <w:rPr>
                <w:rFonts w:ascii="Arial" w:eastAsia="宋体" w:hAnsi="Arial" w:cs="Arial"/>
                <w:color w:val="000000"/>
                <w:kern w:val="0"/>
                <w:sz w:val="18"/>
                <w:szCs w:val="18"/>
                <w:vertAlign w:val="superscript"/>
              </w:rPr>
              <w:t>5)</w:t>
            </w:r>
          </w:p>
        </w:tc>
        <w:tc>
          <w:tcPr>
            <w:tcW w:w="208" w:type="dxa"/>
            <w:shd w:val="clear" w:color="auto" w:fill="CFF0FC"/>
            <w:tcMar>
              <w:top w:w="15" w:type="dxa"/>
              <w:left w:w="0" w:type="dxa"/>
              <w:bottom w:w="0" w:type="dxa"/>
              <w:right w:w="15" w:type="dxa"/>
            </w:tcMar>
            <w:vAlign w:val="bottom"/>
            <w:hideMark/>
          </w:tcPr>
          <w:p w14:paraId="3941EC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115CE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2CB23E3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27.56</w:t>
            </w:r>
          </w:p>
        </w:tc>
        <w:tc>
          <w:tcPr>
            <w:tcW w:w="191" w:type="dxa"/>
            <w:shd w:val="clear" w:color="auto" w:fill="CFF0FC"/>
            <w:noWrap/>
            <w:tcMar>
              <w:top w:w="15" w:type="dxa"/>
              <w:left w:w="0" w:type="dxa"/>
              <w:bottom w:w="0" w:type="dxa"/>
              <w:right w:w="15" w:type="dxa"/>
            </w:tcMar>
            <w:vAlign w:val="bottom"/>
            <w:hideMark/>
          </w:tcPr>
          <w:p w14:paraId="4D088A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5BB48E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8C164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E3C078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24.19</w:t>
            </w:r>
          </w:p>
        </w:tc>
        <w:tc>
          <w:tcPr>
            <w:tcW w:w="191" w:type="dxa"/>
            <w:shd w:val="clear" w:color="auto" w:fill="CFF0FC"/>
            <w:noWrap/>
            <w:tcMar>
              <w:top w:w="15" w:type="dxa"/>
              <w:left w:w="0" w:type="dxa"/>
              <w:bottom w:w="0" w:type="dxa"/>
              <w:right w:w="15" w:type="dxa"/>
            </w:tcMar>
            <w:vAlign w:val="bottom"/>
            <w:hideMark/>
          </w:tcPr>
          <w:p w14:paraId="0FF9EC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01E2CF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5359A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2466893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21.63</w:t>
            </w:r>
          </w:p>
        </w:tc>
        <w:tc>
          <w:tcPr>
            <w:tcW w:w="191" w:type="dxa"/>
            <w:shd w:val="clear" w:color="auto" w:fill="CFF0FC"/>
            <w:noWrap/>
            <w:tcMar>
              <w:top w:w="15" w:type="dxa"/>
              <w:left w:w="0" w:type="dxa"/>
              <w:bottom w:w="0" w:type="dxa"/>
              <w:right w:w="15" w:type="dxa"/>
            </w:tcMar>
            <w:vAlign w:val="bottom"/>
            <w:hideMark/>
          </w:tcPr>
          <w:p w14:paraId="0CAB71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82D35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9659E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A8B2DF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46.38</w:t>
            </w:r>
          </w:p>
        </w:tc>
        <w:tc>
          <w:tcPr>
            <w:tcW w:w="191" w:type="dxa"/>
            <w:shd w:val="clear" w:color="auto" w:fill="CFF0FC"/>
            <w:noWrap/>
            <w:tcMar>
              <w:top w:w="15" w:type="dxa"/>
              <w:left w:w="0" w:type="dxa"/>
              <w:bottom w:w="0" w:type="dxa"/>
              <w:right w:w="15" w:type="dxa"/>
            </w:tcMar>
            <w:vAlign w:val="bottom"/>
            <w:hideMark/>
          </w:tcPr>
          <w:p w14:paraId="487030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12F721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DDB4B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50DBA9F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41.69</w:t>
            </w:r>
          </w:p>
        </w:tc>
        <w:tc>
          <w:tcPr>
            <w:tcW w:w="192" w:type="dxa"/>
            <w:shd w:val="clear" w:color="auto" w:fill="CFF0FC"/>
            <w:noWrap/>
            <w:tcMar>
              <w:top w:w="15" w:type="dxa"/>
              <w:left w:w="0" w:type="dxa"/>
              <w:bottom w:w="0" w:type="dxa"/>
              <w:right w:w="15" w:type="dxa"/>
            </w:tcMar>
            <w:vAlign w:val="bottom"/>
            <w:hideMark/>
          </w:tcPr>
          <w:p w14:paraId="161413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932FC6D" w14:textId="77777777" w:rsidTr="00AC4931">
        <w:tc>
          <w:tcPr>
            <w:tcW w:w="9225" w:type="dxa"/>
            <w:shd w:val="clear" w:color="auto" w:fill="FFFFFF"/>
            <w:tcMar>
              <w:top w:w="15" w:type="dxa"/>
              <w:left w:w="0" w:type="dxa"/>
              <w:bottom w:w="0" w:type="dxa"/>
              <w:right w:w="15" w:type="dxa"/>
            </w:tcMar>
            <w:hideMark/>
          </w:tcPr>
          <w:p w14:paraId="0F5B42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Cash dividends paid per share (US$)</w:t>
            </w:r>
          </w:p>
        </w:tc>
        <w:tc>
          <w:tcPr>
            <w:tcW w:w="208" w:type="dxa"/>
            <w:shd w:val="clear" w:color="auto" w:fill="FFFFFF"/>
            <w:tcMar>
              <w:top w:w="15" w:type="dxa"/>
              <w:left w:w="0" w:type="dxa"/>
              <w:bottom w:w="0" w:type="dxa"/>
              <w:right w:w="15" w:type="dxa"/>
            </w:tcMar>
            <w:vAlign w:val="bottom"/>
            <w:hideMark/>
          </w:tcPr>
          <w:p w14:paraId="3B0229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CF7E9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2DC6EFD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0.62</w:t>
            </w:r>
          </w:p>
        </w:tc>
        <w:tc>
          <w:tcPr>
            <w:tcW w:w="191" w:type="dxa"/>
            <w:shd w:val="clear" w:color="auto" w:fill="FFFFFF"/>
            <w:noWrap/>
            <w:tcMar>
              <w:top w:w="15" w:type="dxa"/>
              <w:left w:w="0" w:type="dxa"/>
              <w:bottom w:w="0" w:type="dxa"/>
              <w:right w:w="15" w:type="dxa"/>
            </w:tcMar>
            <w:vAlign w:val="bottom"/>
            <w:hideMark/>
          </w:tcPr>
          <w:p w14:paraId="43EB87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3DC02A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02EFF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5F9B7E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2.48</w:t>
            </w:r>
          </w:p>
        </w:tc>
        <w:tc>
          <w:tcPr>
            <w:tcW w:w="191" w:type="dxa"/>
            <w:shd w:val="clear" w:color="auto" w:fill="FFFFFF"/>
            <w:noWrap/>
            <w:tcMar>
              <w:top w:w="15" w:type="dxa"/>
              <w:left w:w="0" w:type="dxa"/>
              <w:bottom w:w="0" w:type="dxa"/>
              <w:right w:w="15" w:type="dxa"/>
            </w:tcMar>
            <w:vAlign w:val="bottom"/>
            <w:hideMark/>
          </w:tcPr>
          <w:p w14:paraId="08102F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70093E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DB643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4417DE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2.46</w:t>
            </w:r>
          </w:p>
        </w:tc>
        <w:tc>
          <w:tcPr>
            <w:tcW w:w="191" w:type="dxa"/>
            <w:shd w:val="clear" w:color="auto" w:fill="FFFFFF"/>
            <w:noWrap/>
            <w:tcMar>
              <w:top w:w="15" w:type="dxa"/>
              <w:left w:w="0" w:type="dxa"/>
              <w:bottom w:w="0" w:type="dxa"/>
              <w:right w:w="15" w:type="dxa"/>
            </w:tcMar>
            <w:vAlign w:val="bottom"/>
            <w:hideMark/>
          </w:tcPr>
          <w:p w14:paraId="1F88BE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BFFE5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31331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1265376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2.38</w:t>
            </w:r>
          </w:p>
        </w:tc>
        <w:tc>
          <w:tcPr>
            <w:tcW w:w="191" w:type="dxa"/>
            <w:shd w:val="clear" w:color="auto" w:fill="FFFFFF"/>
            <w:noWrap/>
            <w:tcMar>
              <w:top w:w="15" w:type="dxa"/>
              <w:left w:w="0" w:type="dxa"/>
              <w:bottom w:w="0" w:type="dxa"/>
              <w:right w:w="15" w:type="dxa"/>
            </w:tcMar>
            <w:vAlign w:val="bottom"/>
            <w:hideMark/>
          </w:tcPr>
          <w:p w14:paraId="500A37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3310EF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BCB1C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2A12373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2.30</w:t>
            </w:r>
          </w:p>
        </w:tc>
        <w:tc>
          <w:tcPr>
            <w:tcW w:w="192" w:type="dxa"/>
            <w:shd w:val="clear" w:color="auto" w:fill="FFFFFF"/>
            <w:noWrap/>
            <w:tcMar>
              <w:top w:w="15" w:type="dxa"/>
              <w:left w:w="0" w:type="dxa"/>
              <w:bottom w:w="0" w:type="dxa"/>
              <w:right w:w="15" w:type="dxa"/>
            </w:tcMar>
            <w:vAlign w:val="bottom"/>
            <w:hideMark/>
          </w:tcPr>
          <w:p w14:paraId="17DD20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ED22C79" w14:textId="77777777" w:rsidTr="00AC4931">
        <w:tc>
          <w:tcPr>
            <w:tcW w:w="9225" w:type="dxa"/>
            <w:shd w:val="clear" w:color="auto" w:fill="CFF0FC"/>
            <w:tcMar>
              <w:top w:w="15" w:type="dxa"/>
              <w:left w:w="0" w:type="dxa"/>
              <w:bottom w:w="0" w:type="dxa"/>
              <w:right w:w="15" w:type="dxa"/>
            </w:tcMar>
            <w:hideMark/>
          </w:tcPr>
          <w:p w14:paraId="540AA5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Cash dividends declared per share (US$)</w:t>
            </w:r>
          </w:p>
        </w:tc>
        <w:tc>
          <w:tcPr>
            <w:tcW w:w="208" w:type="dxa"/>
            <w:shd w:val="clear" w:color="auto" w:fill="CFF0FC"/>
            <w:tcMar>
              <w:top w:w="15" w:type="dxa"/>
              <w:left w:w="0" w:type="dxa"/>
              <w:bottom w:w="0" w:type="dxa"/>
              <w:right w:w="15" w:type="dxa"/>
            </w:tcMar>
            <w:vAlign w:val="bottom"/>
            <w:hideMark/>
          </w:tcPr>
          <w:p w14:paraId="3789AE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7FC47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4482A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3F8F1A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00676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30229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450693D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2.48</w:t>
            </w:r>
          </w:p>
        </w:tc>
        <w:tc>
          <w:tcPr>
            <w:tcW w:w="191" w:type="dxa"/>
            <w:shd w:val="clear" w:color="auto" w:fill="CFF0FC"/>
            <w:noWrap/>
            <w:tcMar>
              <w:top w:w="15" w:type="dxa"/>
              <w:left w:w="0" w:type="dxa"/>
              <w:bottom w:w="0" w:type="dxa"/>
              <w:right w:w="15" w:type="dxa"/>
            </w:tcMar>
            <w:vAlign w:val="bottom"/>
            <w:hideMark/>
          </w:tcPr>
          <w:p w14:paraId="28617F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3F76BB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8FDAA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4677968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2.48</w:t>
            </w:r>
          </w:p>
        </w:tc>
        <w:tc>
          <w:tcPr>
            <w:tcW w:w="191" w:type="dxa"/>
            <w:shd w:val="clear" w:color="auto" w:fill="CFF0FC"/>
            <w:noWrap/>
            <w:tcMar>
              <w:top w:w="15" w:type="dxa"/>
              <w:left w:w="0" w:type="dxa"/>
              <w:bottom w:w="0" w:type="dxa"/>
              <w:right w:w="15" w:type="dxa"/>
            </w:tcMar>
            <w:vAlign w:val="bottom"/>
            <w:hideMark/>
          </w:tcPr>
          <w:p w14:paraId="74D6D3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06D2A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71536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3E007B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2.40</w:t>
            </w:r>
          </w:p>
        </w:tc>
        <w:tc>
          <w:tcPr>
            <w:tcW w:w="191" w:type="dxa"/>
            <w:shd w:val="clear" w:color="auto" w:fill="CFF0FC"/>
            <w:noWrap/>
            <w:tcMar>
              <w:top w:w="15" w:type="dxa"/>
              <w:left w:w="0" w:type="dxa"/>
              <w:bottom w:w="0" w:type="dxa"/>
              <w:right w:w="15" w:type="dxa"/>
            </w:tcMar>
            <w:vAlign w:val="bottom"/>
            <w:hideMark/>
          </w:tcPr>
          <w:p w14:paraId="74956C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3649D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5F32C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3CEEA8F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2.32</w:t>
            </w:r>
          </w:p>
        </w:tc>
        <w:tc>
          <w:tcPr>
            <w:tcW w:w="192" w:type="dxa"/>
            <w:shd w:val="clear" w:color="auto" w:fill="CFF0FC"/>
            <w:noWrap/>
            <w:tcMar>
              <w:top w:w="15" w:type="dxa"/>
              <w:left w:w="0" w:type="dxa"/>
              <w:bottom w:w="0" w:type="dxa"/>
              <w:right w:w="15" w:type="dxa"/>
            </w:tcMar>
            <w:vAlign w:val="bottom"/>
            <w:hideMark/>
          </w:tcPr>
          <w:p w14:paraId="2AD52A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92323D0" w14:textId="77777777" w:rsidTr="00AC4931">
        <w:tc>
          <w:tcPr>
            <w:tcW w:w="9225" w:type="dxa"/>
            <w:shd w:val="clear" w:color="auto" w:fill="FFFFFF"/>
            <w:tcMar>
              <w:top w:w="15" w:type="dxa"/>
              <w:left w:w="0" w:type="dxa"/>
              <w:bottom w:w="0" w:type="dxa"/>
              <w:right w:w="15" w:type="dxa"/>
            </w:tcMar>
            <w:hideMark/>
          </w:tcPr>
          <w:p w14:paraId="7000F5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Share repurchases</w:t>
            </w:r>
          </w:p>
        </w:tc>
        <w:tc>
          <w:tcPr>
            <w:tcW w:w="208" w:type="dxa"/>
            <w:shd w:val="clear" w:color="auto" w:fill="FFFFFF"/>
            <w:tcMar>
              <w:top w:w="15" w:type="dxa"/>
              <w:left w:w="0" w:type="dxa"/>
              <w:bottom w:w="0" w:type="dxa"/>
              <w:right w:w="15" w:type="dxa"/>
            </w:tcMar>
            <w:vAlign w:val="bottom"/>
            <w:hideMark/>
          </w:tcPr>
          <w:p w14:paraId="6FDEA2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B0923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89A6CB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1749D5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692E5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C85F5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A32E87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1E0D5C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1A62F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F8B4D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E36A1B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10E63E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C05D7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71D03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F199FC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157</w:t>
            </w:r>
          </w:p>
        </w:tc>
        <w:tc>
          <w:tcPr>
            <w:tcW w:w="191" w:type="dxa"/>
            <w:shd w:val="clear" w:color="auto" w:fill="FFFFFF"/>
            <w:noWrap/>
            <w:tcMar>
              <w:top w:w="15" w:type="dxa"/>
              <w:left w:w="0" w:type="dxa"/>
              <w:bottom w:w="0" w:type="dxa"/>
              <w:right w:w="15" w:type="dxa"/>
            </w:tcMar>
            <w:vAlign w:val="bottom"/>
            <w:hideMark/>
          </w:tcPr>
          <w:p w14:paraId="45126E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F1A98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A5E4D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EC583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2" w:type="dxa"/>
            <w:shd w:val="clear" w:color="auto" w:fill="FFFFFF"/>
            <w:noWrap/>
            <w:tcMar>
              <w:top w:w="15" w:type="dxa"/>
              <w:left w:w="0" w:type="dxa"/>
              <w:bottom w:w="0" w:type="dxa"/>
              <w:right w:w="15" w:type="dxa"/>
            </w:tcMar>
            <w:vAlign w:val="bottom"/>
            <w:hideMark/>
          </w:tcPr>
          <w:p w14:paraId="3A6253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464DE2E" w14:textId="77777777" w:rsidTr="00AC4931">
        <w:tc>
          <w:tcPr>
            <w:tcW w:w="9225" w:type="dxa"/>
            <w:shd w:val="clear" w:color="auto" w:fill="CFF0FC"/>
            <w:tcMar>
              <w:top w:w="15" w:type="dxa"/>
              <w:left w:w="0" w:type="dxa"/>
              <w:bottom w:w="0" w:type="dxa"/>
              <w:right w:w="15" w:type="dxa"/>
            </w:tcMar>
            <w:hideMark/>
          </w:tcPr>
          <w:p w14:paraId="0421D7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Number of shares outstanding (million)</w:t>
            </w:r>
            <w:r w:rsidRPr="00AC4931">
              <w:rPr>
                <w:rFonts w:ascii="Arial" w:eastAsia="宋体" w:hAnsi="Arial" w:cs="Arial"/>
                <w:color w:val="000000"/>
                <w:kern w:val="0"/>
                <w:sz w:val="18"/>
                <w:szCs w:val="18"/>
                <w:vertAlign w:val="superscript"/>
              </w:rPr>
              <w:t>2)</w:t>
            </w:r>
          </w:p>
        </w:tc>
        <w:tc>
          <w:tcPr>
            <w:tcW w:w="208" w:type="dxa"/>
            <w:shd w:val="clear" w:color="auto" w:fill="CFF0FC"/>
            <w:tcMar>
              <w:top w:w="15" w:type="dxa"/>
              <w:left w:w="0" w:type="dxa"/>
              <w:bottom w:w="0" w:type="dxa"/>
              <w:right w:w="15" w:type="dxa"/>
            </w:tcMar>
            <w:vAlign w:val="bottom"/>
            <w:hideMark/>
          </w:tcPr>
          <w:p w14:paraId="2147BE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8742F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C5739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87.4</w:t>
            </w:r>
          </w:p>
        </w:tc>
        <w:tc>
          <w:tcPr>
            <w:tcW w:w="191" w:type="dxa"/>
            <w:shd w:val="clear" w:color="auto" w:fill="CFF0FC"/>
            <w:noWrap/>
            <w:tcMar>
              <w:top w:w="15" w:type="dxa"/>
              <w:left w:w="0" w:type="dxa"/>
              <w:bottom w:w="0" w:type="dxa"/>
              <w:right w:w="15" w:type="dxa"/>
            </w:tcMar>
            <w:vAlign w:val="bottom"/>
            <w:hideMark/>
          </w:tcPr>
          <w:p w14:paraId="3958E6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29051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5A515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934906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87.2</w:t>
            </w:r>
          </w:p>
        </w:tc>
        <w:tc>
          <w:tcPr>
            <w:tcW w:w="191" w:type="dxa"/>
            <w:shd w:val="clear" w:color="auto" w:fill="CFF0FC"/>
            <w:noWrap/>
            <w:tcMar>
              <w:top w:w="15" w:type="dxa"/>
              <w:left w:w="0" w:type="dxa"/>
              <w:bottom w:w="0" w:type="dxa"/>
              <w:right w:w="15" w:type="dxa"/>
            </w:tcMar>
            <w:vAlign w:val="bottom"/>
            <w:hideMark/>
          </w:tcPr>
          <w:p w14:paraId="70949F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10A5A0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D1275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082CC9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87.1</w:t>
            </w:r>
          </w:p>
        </w:tc>
        <w:tc>
          <w:tcPr>
            <w:tcW w:w="191" w:type="dxa"/>
            <w:shd w:val="clear" w:color="auto" w:fill="CFF0FC"/>
            <w:noWrap/>
            <w:tcMar>
              <w:top w:w="15" w:type="dxa"/>
              <w:left w:w="0" w:type="dxa"/>
              <w:bottom w:w="0" w:type="dxa"/>
              <w:right w:w="15" w:type="dxa"/>
            </w:tcMar>
            <w:vAlign w:val="bottom"/>
            <w:hideMark/>
          </w:tcPr>
          <w:p w14:paraId="39362C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E64BF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A0442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008963E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87.0</w:t>
            </w:r>
          </w:p>
        </w:tc>
        <w:tc>
          <w:tcPr>
            <w:tcW w:w="191" w:type="dxa"/>
            <w:shd w:val="clear" w:color="auto" w:fill="CFF0FC"/>
            <w:noWrap/>
            <w:tcMar>
              <w:top w:w="15" w:type="dxa"/>
              <w:left w:w="0" w:type="dxa"/>
              <w:bottom w:w="0" w:type="dxa"/>
              <w:right w:w="15" w:type="dxa"/>
            </w:tcMar>
            <w:vAlign w:val="bottom"/>
            <w:hideMark/>
          </w:tcPr>
          <w:p w14:paraId="31C995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1D74F1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A5AD3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97F554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88.2</w:t>
            </w:r>
          </w:p>
        </w:tc>
        <w:tc>
          <w:tcPr>
            <w:tcW w:w="192" w:type="dxa"/>
            <w:shd w:val="clear" w:color="auto" w:fill="CFF0FC"/>
            <w:noWrap/>
            <w:tcMar>
              <w:top w:w="15" w:type="dxa"/>
              <w:left w:w="0" w:type="dxa"/>
              <w:bottom w:w="0" w:type="dxa"/>
              <w:right w:w="15" w:type="dxa"/>
            </w:tcMar>
            <w:vAlign w:val="bottom"/>
            <w:hideMark/>
          </w:tcPr>
          <w:p w14:paraId="24F8B5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59924BD" w14:textId="77777777" w:rsidTr="00AC4931">
        <w:tc>
          <w:tcPr>
            <w:tcW w:w="9225" w:type="dxa"/>
            <w:shd w:val="clear" w:color="auto" w:fill="FFFFFF"/>
            <w:tcMar>
              <w:top w:w="15" w:type="dxa"/>
              <w:left w:w="0" w:type="dxa"/>
              <w:bottom w:w="0" w:type="dxa"/>
              <w:right w:w="15" w:type="dxa"/>
            </w:tcMar>
            <w:hideMark/>
          </w:tcPr>
          <w:p w14:paraId="5CAC8C3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Ratios</w:t>
            </w:r>
          </w:p>
        </w:tc>
        <w:tc>
          <w:tcPr>
            <w:tcW w:w="208" w:type="dxa"/>
            <w:shd w:val="clear" w:color="auto" w:fill="FFFFFF"/>
            <w:tcMar>
              <w:top w:w="15" w:type="dxa"/>
              <w:left w:w="0" w:type="dxa"/>
              <w:bottom w:w="0" w:type="dxa"/>
              <w:right w:w="15" w:type="dxa"/>
            </w:tcMar>
            <w:vAlign w:val="bottom"/>
            <w:hideMark/>
          </w:tcPr>
          <w:p w14:paraId="628AE2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51F68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2102159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8042B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2F2D9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97D7B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1E0044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B48EB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77225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10E48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5BFA79D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32007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ECFFC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C0FFF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CC9BB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2261E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3B70D3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27997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DC01A9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0DC7D0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60302E9" w14:textId="77777777" w:rsidTr="00AC4931">
        <w:tc>
          <w:tcPr>
            <w:tcW w:w="9225" w:type="dxa"/>
            <w:shd w:val="clear" w:color="auto" w:fill="CFF0FC"/>
            <w:tcMar>
              <w:top w:w="15" w:type="dxa"/>
              <w:left w:w="0" w:type="dxa"/>
              <w:bottom w:w="0" w:type="dxa"/>
              <w:right w:w="15" w:type="dxa"/>
            </w:tcMar>
            <w:hideMark/>
          </w:tcPr>
          <w:p w14:paraId="1F234D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Gross margin (%)</w:t>
            </w:r>
          </w:p>
        </w:tc>
        <w:tc>
          <w:tcPr>
            <w:tcW w:w="208" w:type="dxa"/>
            <w:shd w:val="clear" w:color="auto" w:fill="CFF0FC"/>
            <w:tcMar>
              <w:top w:w="15" w:type="dxa"/>
              <w:left w:w="0" w:type="dxa"/>
              <w:bottom w:w="0" w:type="dxa"/>
              <w:right w:w="15" w:type="dxa"/>
            </w:tcMar>
            <w:vAlign w:val="bottom"/>
            <w:hideMark/>
          </w:tcPr>
          <w:p w14:paraId="2856EA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96302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566EC0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16.7</w:t>
            </w:r>
          </w:p>
        </w:tc>
        <w:tc>
          <w:tcPr>
            <w:tcW w:w="191" w:type="dxa"/>
            <w:shd w:val="clear" w:color="auto" w:fill="CFF0FC"/>
            <w:noWrap/>
            <w:tcMar>
              <w:top w:w="15" w:type="dxa"/>
              <w:left w:w="0" w:type="dxa"/>
              <w:bottom w:w="0" w:type="dxa"/>
              <w:right w:w="15" w:type="dxa"/>
            </w:tcMar>
            <w:vAlign w:val="bottom"/>
            <w:hideMark/>
          </w:tcPr>
          <w:p w14:paraId="71DE7B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F4519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8F3EF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124CCE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18.5</w:t>
            </w:r>
          </w:p>
        </w:tc>
        <w:tc>
          <w:tcPr>
            <w:tcW w:w="191" w:type="dxa"/>
            <w:shd w:val="clear" w:color="auto" w:fill="CFF0FC"/>
            <w:noWrap/>
            <w:tcMar>
              <w:top w:w="15" w:type="dxa"/>
              <w:left w:w="0" w:type="dxa"/>
              <w:bottom w:w="0" w:type="dxa"/>
              <w:right w:w="15" w:type="dxa"/>
            </w:tcMar>
            <w:vAlign w:val="bottom"/>
            <w:hideMark/>
          </w:tcPr>
          <w:p w14:paraId="5BD5CE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345D05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FB7AA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417FD2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19.7</w:t>
            </w:r>
          </w:p>
        </w:tc>
        <w:tc>
          <w:tcPr>
            <w:tcW w:w="191" w:type="dxa"/>
            <w:shd w:val="clear" w:color="auto" w:fill="CFF0FC"/>
            <w:noWrap/>
            <w:tcMar>
              <w:top w:w="15" w:type="dxa"/>
              <w:left w:w="0" w:type="dxa"/>
              <w:bottom w:w="0" w:type="dxa"/>
              <w:right w:w="15" w:type="dxa"/>
            </w:tcMar>
            <w:vAlign w:val="bottom"/>
            <w:hideMark/>
          </w:tcPr>
          <w:p w14:paraId="5757B8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5B3DBB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A4718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4492CB3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20.6</w:t>
            </w:r>
          </w:p>
        </w:tc>
        <w:tc>
          <w:tcPr>
            <w:tcW w:w="191" w:type="dxa"/>
            <w:shd w:val="clear" w:color="auto" w:fill="CFF0FC"/>
            <w:noWrap/>
            <w:tcMar>
              <w:top w:w="15" w:type="dxa"/>
              <w:left w:w="0" w:type="dxa"/>
              <w:bottom w:w="0" w:type="dxa"/>
              <w:right w:w="15" w:type="dxa"/>
            </w:tcMar>
            <w:vAlign w:val="bottom"/>
            <w:hideMark/>
          </w:tcPr>
          <w:p w14:paraId="4E8A64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E462C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5364A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1ECC58E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20.6</w:t>
            </w:r>
          </w:p>
        </w:tc>
        <w:tc>
          <w:tcPr>
            <w:tcW w:w="192" w:type="dxa"/>
            <w:shd w:val="clear" w:color="auto" w:fill="CFF0FC"/>
            <w:noWrap/>
            <w:tcMar>
              <w:top w:w="15" w:type="dxa"/>
              <w:left w:w="0" w:type="dxa"/>
              <w:bottom w:w="0" w:type="dxa"/>
              <w:right w:w="15" w:type="dxa"/>
            </w:tcMar>
            <w:vAlign w:val="bottom"/>
            <w:hideMark/>
          </w:tcPr>
          <w:p w14:paraId="207AE7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B238B6C" w14:textId="77777777" w:rsidTr="00AC4931">
        <w:tc>
          <w:tcPr>
            <w:tcW w:w="9225" w:type="dxa"/>
            <w:shd w:val="clear" w:color="auto" w:fill="FFFFFF"/>
            <w:tcMar>
              <w:top w:w="15" w:type="dxa"/>
              <w:left w:w="0" w:type="dxa"/>
              <w:bottom w:w="0" w:type="dxa"/>
              <w:right w:w="15" w:type="dxa"/>
            </w:tcMar>
            <w:hideMark/>
          </w:tcPr>
          <w:p w14:paraId="5C9377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margin (%)</w:t>
            </w:r>
            <w:r w:rsidRPr="00AC4931">
              <w:rPr>
                <w:rFonts w:ascii="Arial" w:eastAsia="宋体" w:hAnsi="Arial" w:cs="Arial"/>
                <w:color w:val="000000"/>
                <w:kern w:val="0"/>
                <w:sz w:val="18"/>
                <w:szCs w:val="18"/>
                <w:vertAlign w:val="superscript"/>
              </w:rPr>
              <w:t>4)</w:t>
            </w:r>
          </w:p>
        </w:tc>
        <w:tc>
          <w:tcPr>
            <w:tcW w:w="208" w:type="dxa"/>
            <w:shd w:val="clear" w:color="auto" w:fill="FFFFFF"/>
            <w:tcMar>
              <w:top w:w="15" w:type="dxa"/>
              <w:left w:w="0" w:type="dxa"/>
              <w:bottom w:w="0" w:type="dxa"/>
              <w:right w:w="15" w:type="dxa"/>
            </w:tcMar>
            <w:vAlign w:val="bottom"/>
            <w:hideMark/>
          </w:tcPr>
          <w:p w14:paraId="205CD8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4F3F0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D5A712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5.1</w:t>
            </w:r>
          </w:p>
        </w:tc>
        <w:tc>
          <w:tcPr>
            <w:tcW w:w="191" w:type="dxa"/>
            <w:shd w:val="clear" w:color="auto" w:fill="FFFFFF"/>
            <w:noWrap/>
            <w:tcMar>
              <w:top w:w="15" w:type="dxa"/>
              <w:left w:w="0" w:type="dxa"/>
              <w:bottom w:w="0" w:type="dxa"/>
              <w:right w:w="15" w:type="dxa"/>
            </w:tcMar>
            <w:vAlign w:val="bottom"/>
            <w:hideMark/>
          </w:tcPr>
          <w:p w14:paraId="51B438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9ECCF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CE153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B5FFF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8.5</w:t>
            </w:r>
          </w:p>
        </w:tc>
        <w:tc>
          <w:tcPr>
            <w:tcW w:w="191" w:type="dxa"/>
            <w:shd w:val="clear" w:color="auto" w:fill="FFFFFF"/>
            <w:noWrap/>
            <w:tcMar>
              <w:top w:w="15" w:type="dxa"/>
              <w:left w:w="0" w:type="dxa"/>
              <w:bottom w:w="0" w:type="dxa"/>
              <w:right w:w="15" w:type="dxa"/>
            </w:tcMar>
            <w:vAlign w:val="bottom"/>
            <w:hideMark/>
          </w:tcPr>
          <w:p w14:paraId="3CE275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6B76F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62A8A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901C4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7.9</w:t>
            </w:r>
          </w:p>
        </w:tc>
        <w:tc>
          <w:tcPr>
            <w:tcW w:w="191" w:type="dxa"/>
            <w:shd w:val="clear" w:color="auto" w:fill="FFFFFF"/>
            <w:noWrap/>
            <w:tcMar>
              <w:top w:w="15" w:type="dxa"/>
              <w:left w:w="0" w:type="dxa"/>
              <w:bottom w:w="0" w:type="dxa"/>
              <w:right w:w="15" w:type="dxa"/>
            </w:tcMar>
            <w:vAlign w:val="bottom"/>
            <w:hideMark/>
          </w:tcPr>
          <w:p w14:paraId="13E676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B5F20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B64D1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5CABE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10.6</w:t>
            </w:r>
          </w:p>
        </w:tc>
        <w:tc>
          <w:tcPr>
            <w:tcW w:w="191" w:type="dxa"/>
            <w:shd w:val="clear" w:color="auto" w:fill="FFFFFF"/>
            <w:noWrap/>
            <w:tcMar>
              <w:top w:w="15" w:type="dxa"/>
              <w:left w:w="0" w:type="dxa"/>
              <w:bottom w:w="0" w:type="dxa"/>
              <w:right w:w="15" w:type="dxa"/>
            </w:tcMar>
            <w:vAlign w:val="bottom"/>
            <w:hideMark/>
          </w:tcPr>
          <w:p w14:paraId="0DFD99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4F82D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FEEF1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1CC44D8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10.5</w:t>
            </w:r>
          </w:p>
        </w:tc>
        <w:tc>
          <w:tcPr>
            <w:tcW w:w="192" w:type="dxa"/>
            <w:shd w:val="clear" w:color="auto" w:fill="FFFFFF"/>
            <w:noWrap/>
            <w:tcMar>
              <w:top w:w="15" w:type="dxa"/>
              <w:left w:w="0" w:type="dxa"/>
              <w:bottom w:w="0" w:type="dxa"/>
              <w:right w:w="15" w:type="dxa"/>
            </w:tcMar>
            <w:vAlign w:val="bottom"/>
            <w:hideMark/>
          </w:tcPr>
          <w:p w14:paraId="31DFA0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ACF0ED8" w14:textId="77777777" w:rsidTr="00AC4931">
        <w:tc>
          <w:tcPr>
            <w:tcW w:w="9225" w:type="dxa"/>
            <w:shd w:val="clear" w:color="auto" w:fill="CFF0FC"/>
            <w:tcMar>
              <w:top w:w="15" w:type="dxa"/>
              <w:left w:w="0" w:type="dxa"/>
              <w:bottom w:w="0" w:type="dxa"/>
              <w:right w:w="15" w:type="dxa"/>
            </w:tcMar>
            <w:hideMark/>
          </w:tcPr>
          <w:p w14:paraId="4DA89D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Pretax margin (%)</w:t>
            </w:r>
            <w:r w:rsidRPr="00AC4931">
              <w:rPr>
                <w:rFonts w:ascii="Arial" w:eastAsia="宋体" w:hAnsi="Arial" w:cs="Arial"/>
                <w:color w:val="000000"/>
                <w:kern w:val="0"/>
                <w:sz w:val="18"/>
                <w:szCs w:val="18"/>
                <w:vertAlign w:val="superscript"/>
              </w:rPr>
              <w:t>4)</w:t>
            </w:r>
          </w:p>
        </w:tc>
        <w:tc>
          <w:tcPr>
            <w:tcW w:w="208" w:type="dxa"/>
            <w:shd w:val="clear" w:color="auto" w:fill="CFF0FC"/>
            <w:tcMar>
              <w:top w:w="15" w:type="dxa"/>
              <w:left w:w="0" w:type="dxa"/>
              <w:bottom w:w="0" w:type="dxa"/>
              <w:right w:w="15" w:type="dxa"/>
            </w:tcMar>
            <w:vAlign w:val="bottom"/>
            <w:hideMark/>
          </w:tcPr>
          <w:p w14:paraId="58A0CE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C14A6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2F33C4F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w:t>
            </w:r>
          </w:p>
        </w:tc>
        <w:tc>
          <w:tcPr>
            <w:tcW w:w="191" w:type="dxa"/>
            <w:shd w:val="clear" w:color="auto" w:fill="CFF0FC"/>
            <w:noWrap/>
            <w:tcMar>
              <w:top w:w="15" w:type="dxa"/>
              <w:left w:w="0" w:type="dxa"/>
              <w:bottom w:w="0" w:type="dxa"/>
              <w:right w:w="15" w:type="dxa"/>
            </w:tcMar>
            <w:vAlign w:val="bottom"/>
            <w:hideMark/>
          </w:tcPr>
          <w:p w14:paraId="701771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4E7953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F7DAD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3378E33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7.6</w:t>
            </w:r>
          </w:p>
        </w:tc>
        <w:tc>
          <w:tcPr>
            <w:tcW w:w="191" w:type="dxa"/>
            <w:shd w:val="clear" w:color="auto" w:fill="CFF0FC"/>
            <w:noWrap/>
            <w:tcMar>
              <w:top w:w="15" w:type="dxa"/>
              <w:left w:w="0" w:type="dxa"/>
              <w:bottom w:w="0" w:type="dxa"/>
              <w:right w:w="15" w:type="dxa"/>
            </w:tcMar>
            <w:vAlign w:val="bottom"/>
            <w:hideMark/>
          </w:tcPr>
          <w:p w14:paraId="3FB207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BD4CF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E32AD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193F7C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7.1</w:t>
            </w:r>
          </w:p>
        </w:tc>
        <w:tc>
          <w:tcPr>
            <w:tcW w:w="191" w:type="dxa"/>
            <w:shd w:val="clear" w:color="auto" w:fill="CFF0FC"/>
            <w:noWrap/>
            <w:tcMar>
              <w:top w:w="15" w:type="dxa"/>
              <w:left w:w="0" w:type="dxa"/>
              <w:bottom w:w="0" w:type="dxa"/>
              <w:right w:w="15" w:type="dxa"/>
            </w:tcMar>
            <w:vAlign w:val="bottom"/>
            <w:hideMark/>
          </w:tcPr>
          <w:p w14:paraId="338ADE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17C2C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3CF13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A2938E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9.7</w:t>
            </w:r>
          </w:p>
        </w:tc>
        <w:tc>
          <w:tcPr>
            <w:tcW w:w="191" w:type="dxa"/>
            <w:shd w:val="clear" w:color="auto" w:fill="CFF0FC"/>
            <w:noWrap/>
            <w:tcMar>
              <w:top w:w="15" w:type="dxa"/>
              <w:left w:w="0" w:type="dxa"/>
              <w:bottom w:w="0" w:type="dxa"/>
              <w:right w:w="15" w:type="dxa"/>
            </w:tcMar>
            <w:vAlign w:val="bottom"/>
            <w:hideMark/>
          </w:tcPr>
          <w:p w14:paraId="1A78DC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9BE20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DF808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2F7681A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9.9</w:t>
            </w:r>
          </w:p>
        </w:tc>
        <w:tc>
          <w:tcPr>
            <w:tcW w:w="192" w:type="dxa"/>
            <w:shd w:val="clear" w:color="auto" w:fill="CFF0FC"/>
            <w:noWrap/>
            <w:tcMar>
              <w:top w:w="15" w:type="dxa"/>
              <w:left w:w="0" w:type="dxa"/>
              <w:bottom w:w="0" w:type="dxa"/>
              <w:right w:w="15" w:type="dxa"/>
            </w:tcMar>
            <w:vAlign w:val="bottom"/>
            <w:hideMark/>
          </w:tcPr>
          <w:p w14:paraId="7058D4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7B0EA5B" w14:textId="77777777" w:rsidTr="00AC4931">
        <w:tc>
          <w:tcPr>
            <w:tcW w:w="9225" w:type="dxa"/>
            <w:shd w:val="clear" w:color="auto" w:fill="FFFFFF"/>
            <w:tcMar>
              <w:top w:w="15" w:type="dxa"/>
              <w:left w:w="0" w:type="dxa"/>
              <w:bottom w:w="0" w:type="dxa"/>
              <w:right w:w="15" w:type="dxa"/>
            </w:tcMar>
            <w:hideMark/>
          </w:tcPr>
          <w:p w14:paraId="14793C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Return on capital employed (%)</w:t>
            </w:r>
            <w:r w:rsidRPr="00AC4931">
              <w:rPr>
                <w:rFonts w:ascii="Arial" w:eastAsia="宋体" w:hAnsi="Arial" w:cs="Arial"/>
                <w:color w:val="000000"/>
                <w:kern w:val="0"/>
                <w:sz w:val="18"/>
                <w:szCs w:val="18"/>
                <w:vertAlign w:val="superscript"/>
              </w:rPr>
              <w:t>7)</w:t>
            </w:r>
          </w:p>
        </w:tc>
        <w:tc>
          <w:tcPr>
            <w:tcW w:w="208" w:type="dxa"/>
            <w:shd w:val="clear" w:color="auto" w:fill="FFFFFF"/>
            <w:tcMar>
              <w:top w:w="15" w:type="dxa"/>
              <w:left w:w="0" w:type="dxa"/>
              <w:bottom w:w="0" w:type="dxa"/>
              <w:right w:w="15" w:type="dxa"/>
            </w:tcMar>
            <w:vAlign w:val="bottom"/>
            <w:hideMark/>
          </w:tcPr>
          <w:p w14:paraId="0A231C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00465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3ADCC1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w:t>
            </w:r>
          </w:p>
        </w:tc>
        <w:tc>
          <w:tcPr>
            <w:tcW w:w="191" w:type="dxa"/>
            <w:shd w:val="clear" w:color="auto" w:fill="FFFFFF"/>
            <w:noWrap/>
            <w:tcMar>
              <w:top w:w="15" w:type="dxa"/>
              <w:left w:w="0" w:type="dxa"/>
              <w:bottom w:w="0" w:type="dxa"/>
              <w:right w:w="15" w:type="dxa"/>
            </w:tcMar>
            <w:vAlign w:val="bottom"/>
            <w:hideMark/>
          </w:tcPr>
          <w:p w14:paraId="7D7BD8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1330E3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59C82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03EAA5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91" w:type="dxa"/>
            <w:shd w:val="clear" w:color="auto" w:fill="FFFFFF"/>
            <w:noWrap/>
            <w:tcMar>
              <w:top w:w="15" w:type="dxa"/>
              <w:left w:w="0" w:type="dxa"/>
              <w:bottom w:w="0" w:type="dxa"/>
              <w:right w:w="15" w:type="dxa"/>
            </w:tcMar>
            <w:vAlign w:val="bottom"/>
            <w:hideMark/>
          </w:tcPr>
          <w:p w14:paraId="2F1ACA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31D41E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1A2CD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DBBE98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w:t>
            </w:r>
          </w:p>
        </w:tc>
        <w:tc>
          <w:tcPr>
            <w:tcW w:w="191" w:type="dxa"/>
            <w:shd w:val="clear" w:color="auto" w:fill="FFFFFF"/>
            <w:noWrap/>
            <w:tcMar>
              <w:top w:w="15" w:type="dxa"/>
              <w:left w:w="0" w:type="dxa"/>
              <w:bottom w:w="0" w:type="dxa"/>
              <w:right w:w="15" w:type="dxa"/>
            </w:tcMar>
            <w:vAlign w:val="bottom"/>
            <w:hideMark/>
          </w:tcPr>
          <w:p w14:paraId="3CFAFB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39893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30" w:type="dxa"/>
            <w:gridSpan w:val="2"/>
            <w:shd w:val="clear" w:color="auto" w:fill="FFFFFF"/>
            <w:tcMar>
              <w:top w:w="15" w:type="dxa"/>
              <w:left w:w="0" w:type="dxa"/>
              <w:bottom w:w="0" w:type="dxa"/>
              <w:right w:w="15" w:type="dxa"/>
            </w:tcMar>
            <w:vAlign w:val="bottom"/>
            <w:hideMark/>
          </w:tcPr>
          <w:p w14:paraId="0F4FEF3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n/a</w:t>
            </w:r>
          </w:p>
        </w:tc>
        <w:tc>
          <w:tcPr>
            <w:tcW w:w="191" w:type="dxa"/>
            <w:shd w:val="clear" w:color="auto" w:fill="FFFFFF"/>
            <w:noWrap/>
            <w:tcMar>
              <w:top w:w="15" w:type="dxa"/>
              <w:left w:w="0" w:type="dxa"/>
              <w:bottom w:w="0" w:type="dxa"/>
              <w:right w:w="15" w:type="dxa"/>
            </w:tcMar>
            <w:vAlign w:val="bottom"/>
            <w:hideMark/>
          </w:tcPr>
          <w:p w14:paraId="0898CF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9537B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30" w:type="dxa"/>
            <w:gridSpan w:val="2"/>
            <w:shd w:val="clear" w:color="auto" w:fill="FFFFFF"/>
            <w:tcMar>
              <w:top w:w="15" w:type="dxa"/>
              <w:left w:w="0" w:type="dxa"/>
              <w:bottom w:w="0" w:type="dxa"/>
              <w:right w:w="15" w:type="dxa"/>
            </w:tcMar>
            <w:vAlign w:val="bottom"/>
            <w:hideMark/>
          </w:tcPr>
          <w:p w14:paraId="42B7BD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n/a</w:t>
            </w:r>
          </w:p>
        </w:tc>
        <w:tc>
          <w:tcPr>
            <w:tcW w:w="192" w:type="dxa"/>
            <w:shd w:val="clear" w:color="auto" w:fill="FFFFFF"/>
            <w:noWrap/>
            <w:tcMar>
              <w:top w:w="15" w:type="dxa"/>
              <w:left w:w="0" w:type="dxa"/>
              <w:bottom w:w="0" w:type="dxa"/>
              <w:right w:w="15" w:type="dxa"/>
            </w:tcMar>
            <w:vAlign w:val="bottom"/>
            <w:hideMark/>
          </w:tcPr>
          <w:p w14:paraId="1E0097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E3560C8" w14:textId="77777777" w:rsidTr="00AC4931">
        <w:tc>
          <w:tcPr>
            <w:tcW w:w="9225" w:type="dxa"/>
            <w:shd w:val="clear" w:color="auto" w:fill="CFF0FC"/>
            <w:tcMar>
              <w:top w:w="15" w:type="dxa"/>
              <w:left w:w="0" w:type="dxa"/>
              <w:bottom w:w="0" w:type="dxa"/>
              <w:right w:w="15" w:type="dxa"/>
            </w:tcMar>
            <w:hideMark/>
          </w:tcPr>
          <w:p w14:paraId="791B63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Return on total equity (%)</w:t>
            </w:r>
            <w:r w:rsidRPr="00AC4931">
              <w:rPr>
                <w:rFonts w:ascii="Arial" w:eastAsia="宋体" w:hAnsi="Arial" w:cs="Arial"/>
                <w:color w:val="000000"/>
                <w:kern w:val="0"/>
                <w:sz w:val="18"/>
                <w:szCs w:val="18"/>
                <w:vertAlign w:val="superscript"/>
              </w:rPr>
              <w:t>4, 7)</w:t>
            </w:r>
          </w:p>
        </w:tc>
        <w:tc>
          <w:tcPr>
            <w:tcW w:w="208" w:type="dxa"/>
            <w:shd w:val="clear" w:color="auto" w:fill="CFF0FC"/>
            <w:tcMar>
              <w:top w:w="15" w:type="dxa"/>
              <w:left w:w="0" w:type="dxa"/>
              <w:bottom w:w="0" w:type="dxa"/>
              <w:right w:w="15" w:type="dxa"/>
            </w:tcMar>
            <w:vAlign w:val="bottom"/>
            <w:hideMark/>
          </w:tcPr>
          <w:p w14:paraId="2AD25D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369AB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7D22CC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w:t>
            </w:r>
          </w:p>
        </w:tc>
        <w:tc>
          <w:tcPr>
            <w:tcW w:w="191" w:type="dxa"/>
            <w:shd w:val="clear" w:color="auto" w:fill="CFF0FC"/>
            <w:noWrap/>
            <w:tcMar>
              <w:top w:w="15" w:type="dxa"/>
              <w:left w:w="0" w:type="dxa"/>
              <w:bottom w:w="0" w:type="dxa"/>
              <w:right w:w="15" w:type="dxa"/>
            </w:tcMar>
            <w:vAlign w:val="bottom"/>
            <w:hideMark/>
          </w:tcPr>
          <w:p w14:paraId="050C28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3E6D4E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2792C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DA5F9F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91" w:type="dxa"/>
            <w:shd w:val="clear" w:color="auto" w:fill="CFF0FC"/>
            <w:noWrap/>
            <w:tcMar>
              <w:top w:w="15" w:type="dxa"/>
              <w:left w:w="0" w:type="dxa"/>
              <w:bottom w:w="0" w:type="dxa"/>
              <w:right w:w="15" w:type="dxa"/>
            </w:tcMar>
            <w:vAlign w:val="bottom"/>
            <w:hideMark/>
          </w:tcPr>
          <w:p w14:paraId="637256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346247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95584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20B7B9F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w:t>
            </w:r>
          </w:p>
        </w:tc>
        <w:tc>
          <w:tcPr>
            <w:tcW w:w="191" w:type="dxa"/>
            <w:shd w:val="clear" w:color="auto" w:fill="CFF0FC"/>
            <w:noWrap/>
            <w:tcMar>
              <w:top w:w="15" w:type="dxa"/>
              <w:left w:w="0" w:type="dxa"/>
              <w:bottom w:w="0" w:type="dxa"/>
              <w:right w:w="15" w:type="dxa"/>
            </w:tcMar>
            <w:vAlign w:val="bottom"/>
            <w:hideMark/>
          </w:tcPr>
          <w:p w14:paraId="436631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4280A7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30" w:type="dxa"/>
            <w:gridSpan w:val="2"/>
            <w:shd w:val="clear" w:color="auto" w:fill="CFF0FC"/>
            <w:tcMar>
              <w:top w:w="15" w:type="dxa"/>
              <w:left w:w="0" w:type="dxa"/>
              <w:bottom w:w="0" w:type="dxa"/>
              <w:right w:w="15" w:type="dxa"/>
            </w:tcMar>
            <w:vAlign w:val="bottom"/>
            <w:hideMark/>
          </w:tcPr>
          <w:p w14:paraId="5CA8EC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n/a</w:t>
            </w:r>
          </w:p>
        </w:tc>
        <w:tc>
          <w:tcPr>
            <w:tcW w:w="191" w:type="dxa"/>
            <w:shd w:val="clear" w:color="auto" w:fill="CFF0FC"/>
            <w:noWrap/>
            <w:tcMar>
              <w:top w:w="15" w:type="dxa"/>
              <w:left w:w="0" w:type="dxa"/>
              <w:bottom w:w="0" w:type="dxa"/>
              <w:right w:w="15" w:type="dxa"/>
            </w:tcMar>
            <w:vAlign w:val="bottom"/>
            <w:hideMark/>
          </w:tcPr>
          <w:p w14:paraId="57886B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79BFA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30" w:type="dxa"/>
            <w:gridSpan w:val="2"/>
            <w:shd w:val="clear" w:color="auto" w:fill="CFF0FC"/>
            <w:tcMar>
              <w:top w:w="15" w:type="dxa"/>
              <w:left w:w="0" w:type="dxa"/>
              <w:bottom w:w="0" w:type="dxa"/>
              <w:right w:w="15" w:type="dxa"/>
            </w:tcMar>
            <w:vAlign w:val="bottom"/>
            <w:hideMark/>
          </w:tcPr>
          <w:p w14:paraId="25E7C8B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n/a</w:t>
            </w:r>
          </w:p>
        </w:tc>
        <w:tc>
          <w:tcPr>
            <w:tcW w:w="192" w:type="dxa"/>
            <w:shd w:val="clear" w:color="auto" w:fill="CFF0FC"/>
            <w:noWrap/>
            <w:tcMar>
              <w:top w:w="15" w:type="dxa"/>
              <w:left w:w="0" w:type="dxa"/>
              <w:bottom w:w="0" w:type="dxa"/>
              <w:right w:w="15" w:type="dxa"/>
            </w:tcMar>
            <w:vAlign w:val="bottom"/>
            <w:hideMark/>
          </w:tcPr>
          <w:p w14:paraId="480BF7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40A25B0" w14:textId="77777777" w:rsidTr="00AC4931">
        <w:tc>
          <w:tcPr>
            <w:tcW w:w="9225" w:type="dxa"/>
            <w:shd w:val="clear" w:color="auto" w:fill="FFFFFF"/>
            <w:tcMar>
              <w:top w:w="15" w:type="dxa"/>
              <w:left w:w="0" w:type="dxa"/>
              <w:bottom w:w="0" w:type="dxa"/>
              <w:right w:w="15" w:type="dxa"/>
            </w:tcMar>
            <w:hideMark/>
          </w:tcPr>
          <w:p w14:paraId="30CE91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Total equity ratio (%)</w:t>
            </w:r>
            <w:r w:rsidRPr="00AC4931">
              <w:rPr>
                <w:rFonts w:ascii="Arial" w:eastAsia="宋体" w:hAnsi="Arial" w:cs="Arial"/>
                <w:color w:val="000000"/>
                <w:kern w:val="0"/>
                <w:sz w:val="18"/>
                <w:szCs w:val="18"/>
                <w:vertAlign w:val="superscript"/>
              </w:rPr>
              <w:t>5)</w:t>
            </w:r>
          </w:p>
        </w:tc>
        <w:tc>
          <w:tcPr>
            <w:tcW w:w="208" w:type="dxa"/>
            <w:shd w:val="clear" w:color="auto" w:fill="FFFFFF"/>
            <w:tcMar>
              <w:top w:w="15" w:type="dxa"/>
              <w:left w:w="0" w:type="dxa"/>
              <w:bottom w:w="0" w:type="dxa"/>
              <w:right w:w="15" w:type="dxa"/>
            </w:tcMar>
            <w:vAlign w:val="bottom"/>
            <w:hideMark/>
          </w:tcPr>
          <w:p w14:paraId="7FA35D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94164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1CAF85D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w:t>
            </w:r>
          </w:p>
        </w:tc>
        <w:tc>
          <w:tcPr>
            <w:tcW w:w="191" w:type="dxa"/>
            <w:shd w:val="clear" w:color="auto" w:fill="FFFFFF"/>
            <w:noWrap/>
            <w:tcMar>
              <w:top w:w="15" w:type="dxa"/>
              <w:left w:w="0" w:type="dxa"/>
              <w:bottom w:w="0" w:type="dxa"/>
              <w:right w:w="15" w:type="dxa"/>
            </w:tcMar>
            <w:vAlign w:val="bottom"/>
            <w:hideMark/>
          </w:tcPr>
          <w:p w14:paraId="14AEC2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F5C2B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DF2A1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03A6C0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w:t>
            </w:r>
          </w:p>
        </w:tc>
        <w:tc>
          <w:tcPr>
            <w:tcW w:w="191" w:type="dxa"/>
            <w:shd w:val="clear" w:color="auto" w:fill="FFFFFF"/>
            <w:noWrap/>
            <w:tcMar>
              <w:top w:w="15" w:type="dxa"/>
              <w:left w:w="0" w:type="dxa"/>
              <w:bottom w:w="0" w:type="dxa"/>
              <w:right w:w="15" w:type="dxa"/>
            </w:tcMar>
            <w:vAlign w:val="bottom"/>
            <w:hideMark/>
          </w:tcPr>
          <w:p w14:paraId="1C4FBA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39A975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4FF56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29A82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w:t>
            </w:r>
          </w:p>
        </w:tc>
        <w:tc>
          <w:tcPr>
            <w:tcW w:w="191" w:type="dxa"/>
            <w:shd w:val="clear" w:color="auto" w:fill="FFFFFF"/>
            <w:noWrap/>
            <w:tcMar>
              <w:top w:w="15" w:type="dxa"/>
              <w:left w:w="0" w:type="dxa"/>
              <w:bottom w:w="0" w:type="dxa"/>
              <w:right w:w="15" w:type="dxa"/>
            </w:tcMar>
            <w:vAlign w:val="bottom"/>
            <w:hideMark/>
          </w:tcPr>
          <w:p w14:paraId="3C8E17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322E851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DB47C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5028709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49</w:t>
            </w:r>
          </w:p>
        </w:tc>
        <w:tc>
          <w:tcPr>
            <w:tcW w:w="191" w:type="dxa"/>
            <w:shd w:val="clear" w:color="auto" w:fill="FFFFFF"/>
            <w:noWrap/>
            <w:tcMar>
              <w:top w:w="15" w:type="dxa"/>
              <w:left w:w="0" w:type="dxa"/>
              <w:bottom w:w="0" w:type="dxa"/>
              <w:right w:w="15" w:type="dxa"/>
            </w:tcMar>
            <w:vAlign w:val="bottom"/>
            <w:hideMark/>
          </w:tcPr>
          <w:p w14:paraId="3A739C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03E56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27D2A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6D38F9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w:t>
            </w:r>
          </w:p>
        </w:tc>
        <w:tc>
          <w:tcPr>
            <w:tcW w:w="192" w:type="dxa"/>
            <w:shd w:val="clear" w:color="auto" w:fill="FFFFFF"/>
            <w:noWrap/>
            <w:tcMar>
              <w:top w:w="15" w:type="dxa"/>
              <w:left w:w="0" w:type="dxa"/>
              <w:bottom w:w="0" w:type="dxa"/>
              <w:right w:w="15" w:type="dxa"/>
            </w:tcMar>
            <w:vAlign w:val="bottom"/>
            <w:hideMark/>
          </w:tcPr>
          <w:p w14:paraId="3D398E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877FD94" w14:textId="77777777" w:rsidTr="00AC4931">
        <w:tc>
          <w:tcPr>
            <w:tcW w:w="9225" w:type="dxa"/>
            <w:shd w:val="clear" w:color="auto" w:fill="CFF0FC"/>
            <w:tcMar>
              <w:top w:w="15" w:type="dxa"/>
              <w:left w:w="0" w:type="dxa"/>
              <w:bottom w:w="0" w:type="dxa"/>
              <w:right w:w="15" w:type="dxa"/>
            </w:tcMar>
            <w:hideMark/>
          </w:tcPr>
          <w:p w14:paraId="7454C2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Days receivables outstanding</w:t>
            </w:r>
          </w:p>
        </w:tc>
        <w:tc>
          <w:tcPr>
            <w:tcW w:w="208" w:type="dxa"/>
            <w:shd w:val="clear" w:color="auto" w:fill="CFF0FC"/>
            <w:tcMar>
              <w:top w:w="15" w:type="dxa"/>
              <w:left w:w="0" w:type="dxa"/>
              <w:bottom w:w="0" w:type="dxa"/>
              <w:right w:w="15" w:type="dxa"/>
            </w:tcMar>
            <w:vAlign w:val="bottom"/>
            <w:hideMark/>
          </w:tcPr>
          <w:p w14:paraId="72C5FC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06DBE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D41EAD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86</w:t>
            </w:r>
          </w:p>
        </w:tc>
        <w:tc>
          <w:tcPr>
            <w:tcW w:w="191" w:type="dxa"/>
            <w:shd w:val="clear" w:color="auto" w:fill="CFF0FC"/>
            <w:noWrap/>
            <w:tcMar>
              <w:top w:w="15" w:type="dxa"/>
              <w:left w:w="0" w:type="dxa"/>
              <w:bottom w:w="0" w:type="dxa"/>
              <w:right w:w="15" w:type="dxa"/>
            </w:tcMar>
            <w:vAlign w:val="bottom"/>
            <w:hideMark/>
          </w:tcPr>
          <w:p w14:paraId="64DB90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5650C5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3A827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14FAC51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70</w:t>
            </w:r>
          </w:p>
        </w:tc>
        <w:tc>
          <w:tcPr>
            <w:tcW w:w="191" w:type="dxa"/>
            <w:shd w:val="clear" w:color="auto" w:fill="CFF0FC"/>
            <w:noWrap/>
            <w:tcMar>
              <w:top w:w="15" w:type="dxa"/>
              <w:left w:w="0" w:type="dxa"/>
              <w:bottom w:w="0" w:type="dxa"/>
              <w:right w:w="15" w:type="dxa"/>
            </w:tcMar>
            <w:vAlign w:val="bottom"/>
            <w:hideMark/>
          </w:tcPr>
          <w:p w14:paraId="736901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1E795F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158CC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3699559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71</w:t>
            </w:r>
          </w:p>
        </w:tc>
        <w:tc>
          <w:tcPr>
            <w:tcW w:w="191" w:type="dxa"/>
            <w:shd w:val="clear" w:color="auto" w:fill="CFF0FC"/>
            <w:noWrap/>
            <w:tcMar>
              <w:top w:w="15" w:type="dxa"/>
              <w:left w:w="0" w:type="dxa"/>
              <w:bottom w:w="0" w:type="dxa"/>
              <w:right w:w="15" w:type="dxa"/>
            </w:tcMar>
            <w:vAlign w:val="bottom"/>
            <w:hideMark/>
          </w:tcPr>
          <w:p w14:paraId="337511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D394C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A461D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3EE42E2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76</w:t>
            </w:r>
          </w:p>
        </w:tc>
        <w:tc>
          <w:tcPr>
            <w:tcW w:w="191" w:type="dxa"/>
            <w:shd w:val="clear" w:color="auto" w:fill="CFF0FC"/>
            <w:noWrap/>
            <w:tcMar>
              <w:top w:w="15" w:type="dxa"/>
              <w:left w:w="0" w:type="dxa"/>
              <w:bottom w:w="0" w:type="dxa"/>
              <w:right w:w="15" w:type="dxa"/>
            </w:tcMar>
            <w:vAlign w:val="bottom"/>
            <w:hideMark/>
          </w:tcPr>
          <w:p w14:paraId="52CB47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5B76DF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A5784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0A7C9AD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70</w:t>
            </w:r>
          </w:p>
        </w:tc>
        <w:tc>
          <w:tcPr>
            <w:tcW w:w="192" w:type="dxa"/>
            <w:shd w:val="clear" w:color="auto" w:fill="CFF0FC"/>
            <w:noWrap/>
            <w:tcMar>
              <w:top w:w="15" w:type="dxa"/>
              <w:left w:w="0" w:type="dxa"/>
              <w:bottom w:w="0" w:type="dxa"/>
              <w:right w:w="15" w:type="dxa"/>
            </w:tcMar>
            <w:vAlign w:val="bottom"/>
            <w:hideMark/>
          </w:tcPr>
          <w:p w14:paraId="694C8A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1859946" w14:textId="77777777" w:rsidTr="00AC4931">
        <w:tc>
          <w:tcPr>
            <w:tcW w:w="9225" w:type="dxa"/>
            <w:shd w:val="clear" w:color="auto" w:fill="FFFFFF"/>
            <w:tcMar>
              <w:top w:w="15" w:type="dxa"/>
              <w:left w:w="0" w:type="dxa"/>
              <w:bottom w:w="0" w:type="dxa"/>
              <w:right w:w="15" w:type="dxa"/>
            </w:tcMar>
            <w:hideMark/>
          </w:tcPr>
          <w:p w14:paraId="6E47E0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Days inventory outstanding</w:t>
            </w:r>
          </w:p>
        </w:tc>
        <w:tc>
          <w:tcPr>
            <w:tcW w:w="208" w:type="dxa"/>
            <w:shd w:val="clear" w:color="auto" w:fill="FFFFFF"/>
            <w:tcMar>
              <w:top w:w="15" w:type="dxa"/>
              <w:left w:w="0" w:type="dxa"/>
              <w:bottom w:w="0" w:type="dxa"/>
              <w:right w:w="15" w:type="dxa"/>
            </w:tcMar>
            <w:vAlign w:val="bottom"/>
            <w:hideMark/>
          </w:tcPr>
          <w:p w14:paraId="567F17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4BB60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0383FB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w:t>
            </w:r>
          </w:p>
        </w:tc>
        <w:tc>
          <w:tcPr>
            <w:tcW w:w="191" w:type="dxa"/>
            <w:shd w:val="clear" w:color="auto" w:fill="FFFFFF"/>
            <w:noWrap/>
            <w:tcMar>
              <w:top w:w="15" w:type="dxa"/>
              <w:left w:w="0" w:type="dxa"/>
              <w:bottom w:w="0" w:type="dxa"/>
              <w:right w:w="15" w:type="dxa"/>
            </w:tcMar>
            <w:vAlign w:val="bottom"/>
            <w:hideMark/>
          </w:tcPr>
          <w:p w14:paraId="794A11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29859A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585D6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A7C319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w:t>
            </w:r>
          </w:p>
        </w:tc>
        <w:tc>
          <w:tcPr>
            <w:tcW w:w="191" w:type="dxa"/>
            <w:shd w:val="clear" w:color="auto" w:fill="FFFFFF"/>
            <w:noWrap/>
            <w:tcMar>
              <w:top w:w="15" w:type="dxa"/>
              <w:left w:w="0" w:type="dxa"/>
              <w:bottom w:w="0" w:type="dxa"/>
              <w:right w:w="15" w:type="dxa"/>
            </w:tcMar>
            <w:vAlign w:val="bottom"/>
            <w:hideMark/>
          </w:tcPr>
          <w:p w14:paraId="0986C5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1246EA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5A693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22875AC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w:t>
            </w:r>
          </w:p>
        </w:tc>
        <w:tc>
          <w:tcPr>
            <w:tcW w:w="191" w:type="dxa"/>
            <w:shd w:val="clear" w:color="auto" w:fill="FFFFFF"/>
            <w:noWrap/>
            <w:tcMar>
              <w:top w:w="15" w:type="dxa"/>
              <w:left w:w="0" w:type="dxa"/>
              <w:bottom w:w="0" w:type="dxa"/>
              <w:right w:w="15" w:type="dxa"/>
            </w:tcMar>
            <w:vAlign w:val="bottom"/>
            <w:hideMark/>
          </w:tcPr>
          <w:p w14:paraId="3DB140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4019D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CF65E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2930D1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w:t>
            </w:r>
          </w:p>
        </w:tc>
        <w:tc>
          <w:tcPr>
            <w:tcW w:w="191" w:type="dxa"/>
            <w:shd w:val="clear" w:color="auto" w:fill="FFFFFF"/>
            <w:noWrap/>
            <w:tcMar>
              <w:top w:w="15" w:type="dxa"/>
              <w:left w:w="0" w:type="dxa"/>
              <w:bottom w:w="0" w:type="dxa"/>
              <w:right w:w="15" w:type="dxa"/>
            </w:tcMar>
            <w:vAlign w:val="bottom"/>
            <w:hideMark/>
          </w:tcPr>
          <w:p w14:paraId="0E6B04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3A9788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2578C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53B09C2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w:t>
            </w:r>
          </w:p>
        </w:tc>
        <w:tc>
          <w:tcPr>
            <w:tcW w:w="192" w:type="dxa"/>
            <w:shd w:val="clear" w:color="auto" w:fill="FFFFFF"/>
            <w:noWrap/>
            <w:tcMar>
              <w:top w:w="15" w:type="dxa"/>
              <w:left w:w="0" w:type="dxa"/>
              <w:bottom w:w="0" w:type="dxa"/>
              <w:right w:w="15" w:type="dxa"/>
            </w:tcMar>
            <w:vAlign w:val="bottom"/>
            <w:hideMark/>
          </w:tcPr>
          <w:p w14:paraId="39648D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47922DB" w14:textId="77777777" w:rsidTr="00AC4931">
        <w:tc>
          <w:tcPr>
            <w:tcW w:w="9225" w:type="dxa"/>
            <w:shd w:val="clear" w:color="auto" w:fill="CFF0FC"/>
            <w:tcMar>
              <w:top w:w="15" w:type="dxa"/>
              <w:left w:w="0" w:type="dxa"/>
              <w:bottom w:w="0" w:type="dxa"/>
              <w:right w:w="15" w:type="dxa"/>
            </w:tcMar>
            <w:hideMark/>
          </w:tcPr>
          <w:p w14:paraId="5D55FE2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Other data</w:t>
            </w:r>
          </w:p>
        </w:tc>
        <w:tc>
          <w:tcPr>
            <w:tcW w:w="208" w:type="dxa"/>
            <w:shd w:val="clear" w:color="auto" w:fill="CFF0FC"/>
            <w:tcMar>
              <w:top w:w="15" w:type="dxa"/>
              <w:left w:w="0" w:type="dxa"/>
              <w:bottom w:w="0" w:type="dxa"/>
              <w:right w:w="15" w:type="dxa"/>
            </w:tcMar>
            <w:vAlign w:val="bottom"/>
            <w:hideMark/>
          </w:tcPr>
          <w:p w14:paraId="4704E5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1F1DB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568EA16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8D307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12C8D3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D678F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49084AB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E261D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7468F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90ECA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77F732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F7166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C7BD3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56372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331B1AB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1DBB4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5498D4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62140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44C6D4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1AE5FF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A729059" w14:textId="77777777" w:rsidTr="00AC4931">
        <w:tc>
          <w:tcPr>
            <w:tcW w:w="9225" w:type="dxa"/>
            <w:shd w:val="clear" w:color="auto" w:fill="FFFFFF"/>
            <w:tcMar>
              <w:top w:w="15" w:type="dxa"/>
              <w:left w:w="0" w:type="dxa"/>
              <w:bottom w:w="0" w:type="dxa"/>
              <w:right w:w="15" w:type="dxa"/>
            </w:tcMar>
            <w:hideMark/>
          </w:tcPr>
          <w:p w14:paraId="363ACF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sales</w:t>
            </w:r>
            <w:r w:rsidRPr="00AC4931">
              <w:rPr>
                <w:rFonts w:ascii="Arial" w:eastAsia="宋体" w:hAnsi="Arial" w:cs="Arial"/>
                <w:color w:val="000000"/>
                <w:kern w:val="0"/>
                <w:sz w:val="18"/>
                <w:szCs w:val="18"/>
                <w:vertAlign w:val="superscript"/>
              </w:rPr>
              <w:t>3)</w:t>
            </w:r>
          </w:p>
        </w:tc>
        <w:tc>
          <w:tcPr>
            <w:tcW w:w="208" w:type="dxa"/>
            <w:shd w:val="clear" w:color="auto" w:fill="FFFFFF"/>
            <w:tcMar>
              <w:top w:w="15" w:type="dxa"/>
              <w:left w:w="0" w:type="dxa"/>
              <w:bottom w:w="0" w:type="dxa"/>
              <w:right w:w="15" w:type="dxa"/>
            </w:tcMar>
            <w:vAlign w:val="bottom"/>
            <w:hideMark/>
          </w:tcPr>
          <w:p w14:paraId="0943A8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39858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067A059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4,824</w:t>
            </w:r>
          </w:p>
        </w:tc>
        <w:tc>
          <w:tcPr>
            <w:tcW w:w="191" w:type="dxa"/>
            <w:shd w:val="clear" w:color="auto" w:fill="FFFFFF"/>
            <w:noWrap/>
            <w:tcMar>
              <w:top w:w="15" w:type="dxa"/>
              <w:left w:w="0" w:type="dxa"/>
              <w:bottom w:w="0" w:type="dxa"/>
              <w:right w:w="15" w:type="dxa"/>
            </w:tcMar>
            <w:vAlign w:val="bottom"/>
            <w:hideMark/>
          </w:tcPr>
          <w:p w14:paraId="12363C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45ADFE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F02C0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7AA20C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5,676</w:t>
            </w:r>
          </w:p>
        </w:tc>
        <w:tc>
          <w:tcPr>
            <w:tcW w:w="191" w:type="dxa"/>
            <w:shd w:val="clear" w:color="auto" w:fill="FFFFFF"/>
            <w:noWrap/>
            <w:tcMar>
              <w:top w:w="15" w:type="dxa"/>
              <w:left w:w="0" w:type="dxa"/>
              <w:bottom w:w="0" w:type="dxa"/>
              <w:right w:w="15" w:type="dxa"/>
            </w:tcMar>
            <w:vAlign w:val="bottom"/>
            <w:hideMark/>
          </w:tcPr>
          <w:p w14:paraId="04B768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B226F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31EBC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0D29EF4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5,699</w:t>
            </w:r>
          </w:p>
        </w:tc>
        <w:tc>
          <w:tcPr>
            <w:tcW w:w="191" w:type="dxa"/>
            <w:shd w:val="clear" w:color="auto" w:fill="FFFFFF"/>
            <w:noWrap/>
            <w:tcMar>
              <w:top w:w="15" w:type="dxa"/>
              <w:left w:w="0" w:type="dxa"/>
              <w:bottom w:w="0" w:type="dxa"/>
              <w:right w:w="15" w:type="dxa"/>
            </w:tcMar>
            <w:vAlign w:val="bottom"/>
            <w:hideMark/>
          </w:tcPr>
          <w:p w14:paraId="1CCC1C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D721C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DB001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4386D3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5,342</w:t>
            </w:r>
          </w:p>
        </w:tc>
        <w:tc>
          <w:tcPr>
            <w:tcW w:w="191" w:type="dxa"/>
            <w:shd w:val="clear" w:color="auto" w:fill="FFFFFF"/>
            <w:noWrap/>
            <w:tcMar>
              <w:top w:w="15" w:type="dxa"/>
              <w:left w:w="0" w:type="dxa"/>
              <w:bottom w:w="0" w:type="dxa"/>
              <w:right w:w="15" w:type="dxa"/>
            </w:tcMar>
            <w:vAlign w:val="bottom"/>
            <w:hideMark/>
          </w:tcPr>
          <w:p w14:paraId="63C1CB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1C9906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59A36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83C320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5,256</w:t>
            </w:r>
          </w:p>
        </w:tc>
        <w:tc>
          <w:tcPr>
            <w:tcW w:w="192" w:type="dxa"/>
            <w:shd w:val="clear" w:color="auto" w:fill="FFFFFF"/>
            <w:noWrap/>
            <w:tcMar>
              <w:top w:w="15" w:type="dxa"/>
              <w:left w:w="0" w:type="dxa"/>
              <w:bottom w:w="0" w:type="dxa"/>
              <w:right w:w="15" w:type="dxa"/>
            </w:tcMar>
            <w:vAlign w:val="bottom"/>
            <w:hideMark/>
          </w:tcPr>
          <w:p w14:paraId="3857C6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5897F11" w14:textId="77777777" w:rsidTr="00AC4931">
        <w:tc>
          <w:tcPr>
            <w:tcW w:w="9225" w:type="dxa"/>
            <w:shd w:val="clear" w:color="auto" w:fill="CFF0FC"/>
            <w:tcMar>
              <w:top w:w="15" w:type="dxa"/>
              <w:left w:w="0" w:type="dxa"/>
              <w:bottom w:w="0" w:type="dxa"/>
              <w:right w:w="15" w:type="dxa"/>
            </w:tcMar>
            <w:hideMark/>
          </w:tcPr>
          <w:p w14:paraId="381873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 sales</w:t>
            </w:r>
          </w:p>
        </w:tc>
        <w:tc>
          <w:tcPr>
            <w:tcW w:w="208" w:type="dxa"/>
            <w:shd w:val="clear" w:color="auto" w:fill="CFF0FC"/>
            <w:tcMar>
              <w:top w:w="15" w:type="dxa"/>
              <w:left w:w="0" w:type="dxa"/>
              <w:bottom w:w="0" w:type="dxa"/>
              <w:right w:w="15" w:type="dxa"/>
            </w:tcMar>
            <w:vAlign w:val="bottom"/>
            <w:hideMark/>
          </w:tcPr>
          <w:p w14:paraId="1D02E0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26348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05E348F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2,623</w:t>
            </w:r>
          </w:p>
        </w:tc>
        <w:tc>
          <w:tcPr>
            <w:tcW w:w="191" w:type="dxa"/>
            <w:shd w:val="clear" w:color="auto" w:fill="CFF0FC"/>
            <w:noWrap/>
            <w:tcMar>
              <w:top w:w="15" w:type="dxa"/>
              <w:left w:w="0" w:type="dxa"/>
              <w:bottom w:w="0" w:type="dxa"/>
              <w:right w:w="15" w:type="dxa"/>
            </w:tcMar>
            <w:vAlign w:val="bottom"/>
            <w:hideMark/>
          </w:tcPr>
          <w:p w14:paraId="7B736D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162B31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207F1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55CBEF5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2,872</w:t>
            </w:r>
          </w:p>
        </w:tc>
        <w:tc>
          <w:tcPr>
            <w:tcW w:w="191" w:type="dxa"/>
            <w:shd w:val="clear" w:color="auto" w:fill="CFF0FC"/>
            <w:noWrap/>
            <w:tcMar>
              <w:top w:w="15" w:type="dxa"/>
              <w:left w:w="0" w:type="dxa"/>
              <w:bottom w:w="0" w:type="dxa"/>
              <w:right w:w="15" w:type="dxa"/>
            </w:tcMar>
            <w:vAlign w:val="bottom"/>
            <w:hideMark/>
          </w:tcPr>
          <w:p w14:paraId="0BA9D3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0D1E93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900A0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580DCA1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2,980</w:t>
            </w:r>
          </w:p>
        </w:tc>
        <w:tc>
          <w:tcPr>
            <w:tcW w:w="191" w:type="dxa"/>
            <w:shd w:val="clear" w:color="auto" w:fill="CFF0FC"/>
            <w:noWrap/>
            <w:tcMar>
              <w:top w:w="15" w:type="dxa"/>
              <w:left w:w="0" w:type="dxa"/>
              <w:bottom w:w="0" w:type="dxa"/>
              <w:right w:w="15" w:type="dxa"/>
            </w:tcMar>
            <w:vAlign w:val="bottom"/>
            <w:hideMark/>
          </w:tcPr>
          <w:p w14:paraId="240EDC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92276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A2634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56CC0F1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2,794</w:t>
            </w:r>
          </w:p>
        </w:tc>
        <w:tc>
          <w:tcPr>
            <w:tcW w:w="191" w:type="dxa"/>
            <w:shd w:val="clear" w:color="auto" w:fill="CFF0FC"/>
            <w:noWrap/>
            <w:tcMar>
              <w:top w:w="15" w:type="dxa"/>
              <w:left w:w="0" w:type="dxa"/>
              <w:bottom w:w="0" w:type="dxa"/>
              <w:right w:w="15" w:type="dxa"/>
            </w:tcMar>
            <w:vAlign w:val="bottom"/>
            <w:hideMark/>
          </w:tcPr>
          <w:p w14:paraId="6D6B30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442069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A8989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97EA44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2,665</w:t>
            </w:r>
          </w:p>
        </w:tc>
        <w:tc>
          <w:tcPr>
            <w:tcW w:w="192" w:type="dxa"/>
            <w:shd w:val="clear" w:color="auto" w:fill="CFF0FC"/>
            <w:noWrap/>
            <w:tcMar>
              <w:top w:w="15" w:type="dxa"/>
              <w:left w:w="0" w:type="dxa"/>
              <w:bottom w:w="0" w:type="dxa"/>
              <w:right w:w="15" w:type="dxa"/>
            </w:tcMar>
            <w:vAlign w:val="bottom"/>
            <w:hideMark/>
          </w:tcPr>
          <w:p w14:paraId="0A71A9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7F130BE" w14:textId="77777777" w:rsidTr="00AC4931">
        <w:tc>
          <w:tcPr>
            <w:tcW w:w="9225" w:type="dxa"/>
            <w:shd w:val="clear" w:color="auto" w:fill="FFFFFF"/>
            <w:tcMar>
              <w:top w:w="15" w:type="dxa"/>
              <w:left w:w="0" w:type="dxa"/>
              <w:bottom w:w="0" w:type="dxa"/>
              <w:right w:w="15" w:type="dxa"/>
            </w:tcMar>
            <w:hideMark/>
          </w:tcPr>
          <w:p w14:paraId="46DC8C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Capital expenditures, net</w:t>
            </w:r>
          </w:p>
        </w:tc>
        <w:tc>
          <w:tcPr>
            <w:tcW w:w="208" w:type="dxa"/>
            <w:shd w:val="clear" w:color="auto" w:fill="FFFFFF"/>
            <w:tcMar>
              <w:top w:w="15" w:type="dxa"/>
              <w:left w:w="0" w:type="dxa"/>
              <w:bottom w:w="0" w:type="dxa"/>
              <w:right w:w="15" w:type="dxa"/>
            </w:tcMar>
            <w:vAlign w:val="bottom"/>
            <w:hideMark/>
          </w:tcPr>
          <w:p w14:paraId="161989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CB401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509FA36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340</w:t>
            </w:r>
          </w:p>
        </w:tc>
        <w:tc>
          <w:tcPr>
            <w:tcW w:w="191" w:type="dxa"/>
            <w:shd w:val="clear" w:color="auto" w:fill="FFFFFF"/>
            <w:noWrap/>
            <w:tcMar>
              <w:top w:w="15" w:type="dxa"/>
              <w:left w:w="0" w:type="dxa"/>
              <w:bottom w:w="0" w:type="dxa"/>
              <w:right w:w="15" w:type="dxa"/>
            </w:tcMar>
            <w:vAlign w:val="bottom"/>
            <w:hideMark/>
          </w:tcPr>
          <w:p w14:paraId="174D5D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E0C77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F55DB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BDAC3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476</w:t>
            </w:r>
          </w:p>
        </w:tc>
        <w:tc>
          <w:tcPr>
            <w:tcW w:w="191" w:type="dxa"/>
            <w:shd w:val="clear" w:color="auto" w:fill="FFFFFF"/>
            <w:noWrap/>
            <w:tcMar>
              <w:top w:w="15" w:type="dxa"/>
              <w:left w:w="0" w:type="dxa"/>
              <w:bottom w:w="0" w:type="dxa"/>
              <w:right w:w="15" w:type="dxa"/>
            </w:tcMar>
            <w:vAlign w:val="bottom"/>
            <w:hideMark/>
          </w:tcPr>
          <w:p w14:paraId="4298BA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783B33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23F56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22F2D98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486</w:t>
            </w:r>
          </w:p>
        </w:tc>
        <w:tc>
          <w:tcPr>
            <w:tcW w:w="191" w:type="dxa"/>
            <w:shd w:val="clear" w:color="auto" w:fill="FFFFFF"/>
            <w:noWrap/>
            <w:tcMar>
              <w:top w:w="15" w:type="dxa"/>
              <w:left w:w="0" w:type="dxa"/>
              <w:bottom w:w="0" w:type="dxa"/>
              <w:right w:w="15" w:type="dxa"/>
            </w:tcMar>
            <w:vAlign w:val="bottom"/>
            <w:hideMark/>
          </w:tcPr>
          <w:p w14:paraId="599114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2DDC70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CD9DA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CB1B64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464</w:t>
            </w:r>
          </w:p>
        </w:tc>
        <w:tc>
          <w:tcPr>
            <w:tcW w:w="191" w:type="dxa"/>
            <w:shd w:val="clear" w:color="auto" w:fill="FFFFFF"/>
            <w:noWrap/>
            <w:tcMar>
              <w:top w:w="15" w:type="dxa"/>
              <w:left w:w="0" w:type="dxa"/>
              <w:bottom w:w="0" w:type="dxa"/>
              <w:right w:w="15" w:type="dxa"/>
            </w:tcMar>
            <w:vAlign w:val="bottom"/>
            <w:hideMark/>
          </w:tcPr>
          <w:p w14:paraId="58A9BF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33562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21891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7398434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398</w:t>
            </w:r>
          </w:p>
        </w:tc>
        <w:tc>
          <w:tcPr>
            <w:tcW w:w="192" w:type="dxa"/>
            <w:shd w:val="clear" w:color="auto" w:fill="FFFFFF"/>
            <w:noWrap/>
            <w:tcMar>
              <w:top w:w="15" w:type="dxa"/>
              <w:left w:w="0" w:type="dxa"/>
              <w:bottom w:w="0" w:type="dxa"/>
              <w:right w:w="15" w:type="dxa"/>
            </w:tcMar>
            <w:vAlign w:val="bottom"/>
            <w:hideMark/>
          </w:tcPr>
          <w:p w14:paraId="3358FD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821C845" w14:textId="77777777" w:rsidTr="00AC4931">
        <w:tc>
          <w:tcPr>
            <w:tcW w:w="9225" w:type="dxa"/>
            <w:shd w:val="clear" w:color="auto" w:fill="CFF0FC"/>
            <w:tcMar>
              <w:top w:w="15" w:type="dxa"/>
              <w:left w:w="0" w:type="dxa"/>
              <w:bottom w:w="0" w:type="dxa"/>
              <w:right w:w="15" w:type="dxa"/>
            </w:tcMar>
            <w:hideMark/>
          </w:tcPr>
          <w:p w14:paraId="7AE7D2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cash provided by operating activities</w:t>
            </w:r>
            <w:r w:rsidRPr="00AC4931">
              <w:rPr>
                <w:rFonts w:ascii="Arial" w:eastAsia="宋体" w:hAnsi="Arial" w:cs="Arial"/>
                <w:color w:val="000000"/>
                <w:kern w:val="0"/>
                <w:sz w:val="18"/>
                <w:szCs w:val="18"/>
                <w:vertAlign w:val="superscript"/>
              </w:rPr>
              <w:t>1)</w:t>
            </w:r>
          </w:p>
        </w:tc>
        <w:tc>
          <w:tcPr>
            <w:tcW w:w="208" w:type="dxa"/>
            <w:shd w:val="clear" w:color="auto" w:fill="CFF0FC"/>
            <w:tcMar>
              <w:top w:w="15" w:type="dxa"/>
              <w:left w:w="0" w:type="dxa"/>
              <w:bottom w:w="0" w:type="dxa"/>
              <w:right w:w="15" w:type="dxa"/>
            </w:tcMar>
            <w:vAlign w:val="bottom"/>
            <w:hideMark/>
          </w:tcPr>
          <w:p w14:paraId="2A7E6F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F8214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4C5C3F8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849</w:t>
            </w:r>
          </w:p>
        </w:tc>
        <w:tc>
          <w:tcPr>
            <w:tcW w:w="191" w:type="dxa"/>
            <w:shd w:val="clear" w:color="auto" w:fill="CFF0FC"/>
            <w:noWrap/>
            <w:tcMar>
              <w:top w:w="15" w:type="dxa"/>
              <w:left w:w="0" w:type="dxa"/>
              <w:bottom w:w="0" w:type="dxa"/>
              <w:right w:w="15" w:type="dxa"/>
            </w:tcMar>
            <w:vAlign w:val="bottom"/>
            <w:hideMark/>
          </w:tcPr>
          <w:p w14:paraId="09FE7F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0379C0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0CE5C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37D1F2D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641</w:t>
            </w:r>
          </w:p>
        </w:tc>
        <w:tc>
          <w:tcPr>
            <w:tcW w:w="191" w:type="dxa"/>
            <w:shd w:val="clear" w:color="auto" w:fill="CFF0FC"/>
            <w:noWrap/>
            <w:tcMar>
              <w:top w:w="15" w:type="dxa"/>
              <w:left w:w="0" w:type="dxa"/>
              <w:bottom w:w="0" w:type="dxa"/>
              <w:right w:w="15" w:type="dxa"/>
            </w:tcMar>
            <w:vAlign w:val="bottom"/>
            <w:hideMark/>
          </w:tcPr>
          <w:p w14:paraId="0C5DB3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01C441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10849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15F033D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591</w:t>
            </w:r>
          </w:p>
        </w:tc>
        <w:tc>
          <w:tcPr>
            <w:tcW w:w="191" w:type="dxa"/>
            <w:shd w:val="clear" w:color="auto" w:fill="CFF0FC"/>
            <w:noWrap/>
            <w:tcMar>
              <w:top w:w="15" w:type="dxa"/>
              <w:left w:w="0" w:type="dxa"/>
              <w:bottom w:w="0" w:type="dxa"/>
              <w:right w:w="15" w:type="dxa"/>
            </w:tcMar>
            <w:vAlign w:val="bottom"/>
            <w:hideMark/>
          </w:tcPr>
          <w:p w14:paraId="3B0274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83E72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EBCAA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66E28AA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936</w:t>
            </w:r>
          </w:p>
        </w:tc>
        <w:tc>
          <w:tcPr>
            <w:tcW w:w="191" w:type="dxa"/>
            <w:shd w:val="clear" w:color="auto" w:fill="CFF0FC"/>
            <w:noWrap/>
            <w:tcMar>
              <w:top w:w="15" w:type="dxa"/>
              <w:left w:w="0" w:type="dxa"/>
              <w:bottom w:w="0" w:type="dxa"/>
              <w:right w:w="15" w:type="dxa"/>
            </w:tcMar>
            <w:vAlign w:val="bottom"/>
            <w:hideMark/>
          </w:tcPr>
          <w:p w14:paraId="1BED58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B744B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78D9C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4EBD3CD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868</w:t>
            </w:r>
          </w:p>
        </w:tc>
        <w:tc>
          <w:tcPr>
            <w:tcW w:w="192" w:type="dxa"/>
            <w:shd w:val="clear" w:color="auto" w:fill="CFF0FC"/>
            <w:noWrap/>
            <w:tcMar>
              <w:top w:w="15" w:type="dxa"/>
              <w:left w:w="0" w:type="dxa"/>
              <w:bottom w:w="0" w:type="dxa"/>
              <w:right w:w="15" w:type="dxa"/>
            </w:tcMar>
            <w:vAlign w:val="bottom"/>
            <w:hideMark/>
          </w:tcPr>
          <w:p w14:paraId="4CD526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92CB904" w14:textId="77777777" w:rsidTr="00AC4931">
        <w:tc>
          <w:tcPr>
            <w:tcW w:w="9225" w:type="dxa"/>
            <w:shd w:val="clear" w:color="auto" w:fill="FFFFFF"/>
            <w:tcMar>
              <w:top w:w="15" w:type="dxa"/>
              <w:left w:w="0" w:type="dxa"/>
              <w:bottom w:w="0" w:type="dxa"/>
              <w:right w:w="15" w:type="dxa"/>
            </w:tcMar>
            <w:hideMark/>
          </w:tcPr>
          <w:p w14:paraId="330CC9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cash used in investing activities</w:t>
            </w:r>
            <w:r w:rsidRPr="00AC4931">
              <w:rPr>
                <w:rFonts w:ascii="Arial" w:eastAsia="宋体" w:hAnsi="Arial" w:cs="Arial"/>
                <w:color w:val="000000"/>
                <w:kern w:val="0"/>
                <w:sz w:val="18"/>
                <w:szCs w:val="18"/>
                <w:vertAlign w:val="superscript"/>
              </w:rPr>
              <w:t>1)</w:t>
            </w:r>
          </w:p>
        </w:tc>
        <w:tc>
          <w:tcPr>
            <w:tcW w:w="208" w:type="dxa"/>
            <w:shd w:val="clear" w:color="auto" w:fill="FFFFFF"/>
            <w:tcMar>
              <w:top w:w="15" w:type="dxa"/>
              <w:left w:w="0" w:type="dxa"/>
              <w:bottom w:w="0" w:type="dxa"/>
              <w:right w:w="15" w:type="dxa"/>
            </w:tcMar>
            <w:vAlign w:val="bottom"/>
            <w:hideMark/>
          </w:tcPr>
          <w:p w14:paraId="0C8B89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01CDC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E349D5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(340</w:t>
            </w:r>
          </w:p>
        </w:tc>
        <w:tc>
          <w:tcPr>
            <w:tcW w:w="191" w:type="dxa"/>
            <w:shd w:val="clear" w:color="auto" w:fill="FFFFFF"/>
            <w:noWrap/>
            <w:tcMar>
              <w:top w:w="15" w:type="dxa"/>
              <w:left w:w="0" w:type="dxa"/>
              <w:bottom w:w="0" w:type="dxa"/>
              <w:right w:w="15" w:type="dxa"/>
            </w:tcMar>
            <w:vAlign w:val="bottom"/>
            <w:hideMark/>
          </w:tcPr>
          <w:p w14:paraId="538539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8" w:type="dxa"/>
            <w:shd w:val="clear" w:color="auto" w:fill="FFFFFF"/>
            <w:tcMar>
              <w:top w:w="15" w:type="dxa"/>
              <w:left w:w="0" w:type="dxa"/>
              <w:bottom w:w="0" w:type="dxa"/>
              <w:right w:w="15" w:type="dxa"/>
            </w:tcMar>
            <w:vAlign w:val="bottom"/>
            <w:hideMark/>
          </w:tcPr>
          <w:p w14:paraId="38F1FE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6BE56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F0209A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(476</w:t>
            </w:r>
          </w:p>
        </w:tc>
        <w:tc>
          <w:tcPr>
            <w:tcW w:w="191" w:type="dxa"/>
            <w:shd w:val="clear" w:color="auto" w:fill="FFFFFF"/>
            <w:noWrap/>
            <w:tcMar>
              <w:top w:w="15" w:type="dxa"/>
              <w:left w:w="0" w:type="dxa"/>
              <w:bottom w:w="0" w:type="dxa"/>
              <w:right w:w="15" w:type="dxa"/>
            </w:tcMar>
            <w:vAlign w:val="bottom"/>
            <w:hideMark/>
          </w:tcPr>
          <w:p w14:paraId="4C3986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8" w:type="dxa"/>
            <w:shd w:val="clear" w:color="auto" w:fill="FFFFFF"/>
            <w:tcMar>
              <w:top w:w="15" w:type="dxa"/>
              <w:left w:w="0" w:type="dxa"/>
              <w:bottom w:w="0" w:type="dxa"/>
              <w:right w:w="15" w:type="dxa"/>
            </w:tcMar>
            <w:vAlign w:val="bottom"/>
            <w:hideMark/>
          </w:tcPr>
          <w:p w14:paraId="55FC75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13A1D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D921EF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(628</w:t>
            </w:r>
          </w:p>
        </w:tc>
        <w:tc>
          <w:tcPr>
            <w:tcW w:w="191" w:type="dxa"/>
            <w:shd w:val="clear" w:color="auto" w:fill="FFFFFF"/>
            <w:noWrap/>
            <w:tcMar>
              <w:top w:w="15" w:type="dxa"/>
              <w:left w:w="0" w:type="dxa"/>
              <w:bottom w:w="0" w:type="dxa"/>
              <w:right w:w="15" w:type="dxa"/>
            </w:tcMar>
            <w:vAlign w:val="bottom"/>
            <w:hideMark/>
          </w:tcPr>
          <w:p w14:paraId="29B9BE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8" w:type="dxa"/>
            <w:shd w:val="clear" w:color="auto" w:fill="FFFFFF"/>
            <w:tcMar>
              <w:top w:w="15" w:type="dxa"/>
              <w:left w:w="0" w:type="dxa"/>
              <w:bottom w:w="0" w:type="dxa"/>
              <w:right w:w="15" w:type="dxa"/>
            </w:tcMar>
            <w:vAlign w:val="bottom"/>
            <w:hideMark/>
          </w:tcPr>
          <w:p w14:paraId="55DD2B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0DFDA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6DD2C0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(697</w:t>
            </w:r>
          </w:p>
        </w:tc>
        <w:tc>
          <w:tcPr>
            <w:tcW w:w="191" w:type="dxa"/>
            <w:shd w:val="clear" w:color="auto" w:fill="FFFFFF"/>
            <w:noWrap/>
            <w:tcMar>
              <w:top w:w="15" w:type="dxa"/>
              <w:left w:w="0" w:type="dxa"/>
              <w:bottom w:w="0" w:type="dxa"/>
              <w:right w:w="15" w:type="dxa"/>
            </w:tcMar>
            <w:vAlign w:val="bottom"/>
            <w:hideMark/>
          </w:tcPr>
          <w:p w14:paraId="2DEEE2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8" w:type="dxa"/>
            <w:shd w:val="clear" w:color="auto" w:fill="FFFFFF"/>
            <w:tcMar>
              <w:top w:w="15" w:type="dxa"/>
              <w:left w:w="0" w:type="dxa"/>
              <w:bottom w:w="0" w:type="dxa"/>
              <w:right w:w="15" w:type="dxa"/>
            </w:tcMar>
            <w:vAlign w:val="bottom"/>
            <w:hideMark/>
          </w:tcPr>
          <w:p w14:paraId="4066FB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9D168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019546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(726</w:t>
            </w:r>
          </w:p>
        </w:tc>
        <w:tc>
          <w:tcPr>
            <w:tcW w:w="192" w:type="dxa"/>
            <w:shd w:val="clear" w:color="auto" w:fill="FFFFFF"/>
            <w:noWrap/>
            <w:tcMar>
              <w:top w:w="15" w:type="dxa"/>
              <w:left w:w="0" w:type="dxa"/>
              <w:bottom w:w="0" w:type="dxa"/>
              <w:right w:w="15" w:type="dxa"/>
            </w:tcMar>
            <w:vAlign w:val="bottom"/>
            <w:hideMark/>
          </w:tcPr>
          <w:p w14:paraId="56CE08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D83267C" w14:textId="77777777" w:rsidTr="00AC4931">
        <w:tc>
          <w:tcPr>
            <w:tcW w:w="9225" w:type="dxa"/>
            <w:shd w:val="clear" w:color="auto" w:fill="CFF0FC"/>
            <w:tcMar>
              <w:top w:w="15" w:type="dxa"/>
              <w:left w:w="0" w:type="dxa"/>
              <w:bottom w:w="0" w:type="dxa"/>
              <w:right w:w="15" w:type="dxa"/>
            </w:tcMar>
            <w:hideMark/>
          </w:tcPr>
          <w:p w14:paraId="03C28E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cash (used in) provided by financing activities</w:t>
            </w:r>
            <w:r w:rsidRPr="00AC4931">
              <w:rPr>
                <w:rFonts w:ascii="Arial" w:eastAsia="宋体" w:hAnsi="Arial" w:cs="Arial"/>
                <w:color w:val="000000"/>
                <w:kern w:val="0"/>
                <w:sz w:val="18"/>
                <w:szCs w:val="18"/>
                <w:vertAlign w:val="superscript"/>
              </w:rPr>
              <w:t>1)</w:t>
            </w:r>
          </w:p>
        </w:tc>
        <w:tc>
          <w:tcPr>
            <w:tcW w:w="208" w:type="dxa"/>
            <w:shd w:val="clear" w:color="auto" w:fill="CFF0FC"/>
            <w:tcMar>
              <w:top w:w="15" w:type="dxa"/>
              <w:left w:w="0" w:type="dxa"/>
              <w:bottom w:w="0" w:type="dxa"/>
              <w:right w:w="15" w:type="dxa"/>
            </w:tcMar>
            <w:vAlign w:val="bottom"/>
            <w:hideMark/>
          </w:tcPr>
          <w:p w14:paraId="59EDC2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15A6B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54EB982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160</w:t>
            </w:r>
          </w:p>
        </w:tc>
        <w:tc>
          <w:tcPr>
            <w:tcW w:w="191" w:type="dxa"/>
            <w:shd w:val="clear" w:color="auto" w:fill="CFF0FC"/>
            <w:noWrap/>
            <w:tcMar>
              <w:top w:w="15" w:type="dxa"/>
              <w:left w:w="0" w:type="dxa"/>
              <w:bottom w:w="0" w:type="dxa"/>
              <w:right w:w="15" w:type="dxa"/>
            </w:tcMar>
            <w:vAlign w:val="bottom"/>
            <w:hideMark/>
          </w:tcPr>
          <w:p w14:paraId="6D37D7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1251FA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DFA33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328B367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(338</w:t>
            </w:r>
          </w:p>
        </w:tc>
        <w:tc>
          <w:tcPr>
            <w:tcW w:w="191" w:type="dxa"/>
            <w:shd w:val="clear" w:color="auto" w:fill="CFF0FC"/>
            <w:noWrap/>
            <w:tcMar>
              <w:top w:w="15" w:type="dxa"/>
              <w:left w:w="0" w:type="dxa"/>
              <w:bottom w:w="0" w:type="dxa"/>
              <w:right w:w="15" w:type="dxa"/>
            </w:tcMar>
            <w:vAlign w:val="bottom"/>
            <w:hideMark/>
          </w:tcPr>
          <w:p w14:paraId="21B484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8" w:type="dxa"/>
            <w:shd w:val="clear" w:color="auto" w:fill="CFF0FC"/>
            <w:tcMar>
              <w:top w:w="15" w:type="dxa"/>
              <w:left w:w="0" w:type="dxa"/>
              <w:bottom w:w="0" w:type="dxa"/>
              <w:right w:w="15" w:type="dxa"/>
            </w:tcMar>
            <w:vAlign w:val="bottom"/>
            <w:hideMark/>
          </w:tcPr>
          <w:p w14:paraId="2542D7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05DCF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79DC2D8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(245</w:t>
            </w:r>
          </w:p>
        </w:tc>
        <w:tc>
          <w:tcPr>
            <w:tcW w:w="191" w:type="dxa"/>
            <w:shd w:val="clear" w:color="auto" w:fill="CFF0FC"/>
            <w:noWrap/>
            <w:tcMar>
              <w:top w:w="15" w:type="dxa"/>
              <w:left w:w="0" w:type="dxa"/>
              <w:bottom w:w="0" w:type="dxa"/>
              <w:right w:w="15" w:type="dxa"/>
            </w:tcMar>
            <w:vAlign w:val="bottom"/>
            <w:hideMark/>
          </w:tcPr>
          <w:p w14:paraId="0ECBD3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8" w:type="dxa"/>
            <w:shd w:val="clear" w:color="auto" w:fill="CFF0FC"/>
            <w:tcMar>
              <w:top w:w="15" w:type="dxa"/>
              <w:left w:w="0" w:type="dxa"/>
              <w:bottom w:w="0" w:type="dxa"/>
              <w:right w:w="15" w:type="dxa"/>
            </w:tcMar>
            <w:vAlign w:val="bottom"/>
            <w:hideMark/>
          </w:tcPr>
          <w:p w14:paraId="3C7D19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64770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1DC42D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(566</w:t>
            </w:r>
          </w:p>
        </w:tc>
        <w:tc>
          <w:tcPr>
            <w:tcW w:w="191" w:type="dxa"/>
            <w:shd w:val="clear" w:color="auto" w:fill="CFF0FC"/>
            <w:noWrap/>
            <w:tcMar>
              <w:top w:w="15" w:type="dxa"/>
              <w:left w:w="0" w:type="dxa"/>
              <w:bottom w:w="0" w:type="dxa"/>
              <w:right w:w="15" w:type="dxa"/>
            </w:tcMar>
            <w:vAlign w:val="bottom"/>
            <w:hideMark/>
          </w:tcPr>
          <w:p w14:paraId="0A200A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8" w:type="dxa"/>
            <w:shd w:val="clear" w:color="auto" w:fill="CFF0FC"/>
            <w:tcMar>
              <w:top w:w="15" w:type="dxa"/>
              <w:left w:w="0" w:type="dxa"/>
              <w:bottom w:w="0" w:type="dxa"/>
              <w:right w:w="15" w:type="dxa"/>
            </w:tcMar>
            <w:vAlign w:val="bottom"/>
            <w:hideMark/>
          </w:tcPr>
          <w:p w14:paraId="0A49E3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FB277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CFF0FC"/>
            <w:noWrap/>
            <w:tcMar>
              <w:top w:w="15" w:type="dxa"/>
              <w:left w:w="0" w:type="dxa"/>
              <w:bottom w:w="0" w:type="dxa"/>
              <w:right w:w="15" w:type="dxa"/>
            </w:tcMar>
            <w:vAlign w:val="bottom"/>
            <w:hideMark/>
          </w:tcPr>
          <w:p w14:paraId="0CA5A2D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(200</w:t>
            </w:r>
          </w:p>
        </w:tc>
        <w:tc>
          <w:tcPr>
            <w:tcW w:w="192" w:type="dxa"/>
            <w:shd w:val="clear" w:color="auto" w:fill="CFF0FC"/>
            <w:noWrap/>
            <w:tcMar>
              <w:top w:w="15" w:type="dxa"/>
              <w:left w:w="0" w:type="dxa"/>
              <w:bottom w:w="0" w:type="dxa"/>
              <w:right w:w="15" w:type="dxa"/>
            </w:tcMar>
            <w:vAlign w:val="bottom"/>
            <w:hideMark/>
          </w:tcPr>
          <w:p w14:paraId="496472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55BE987" w14:textId="77777777" w:rsidTr="00AC4931">
        <w:tc>
          <w:tcPr>
            <w:tcW w:w="9225" w:type="dxa"/>
            <w:shd w:val="clear" w:color="auto" w:fill="FFFFFF"/>
            <w:tcMar>
              <w:top w:w="15" w:type="dxa"/>
              <w:left w:w="0" w:type="dxa"/>
              <w:bottom w:w="0" w:type="dxa"/>
              <w:right w:w="15" w:type="dxa"/>
            </w:tcMar>
            <w:hideMark/>
          </w:tcPr>
          <w:p w14:paraId="1B6823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Number of employees, December 31</w:t>
            </w:r>
          </w:p>
        </w:tc>
        <w:tc>
          <w:tcPr>
            <w:tcW w:w="208" w:type="dxa"/>
            <w:shd w:val="clear" w:color="auto" w:fill="FFFFFF"/>
            <w:tcMar>
              <w:top w:w="15" w:type="dxa"/>
              <w:left w:w="0" w:type="dxa"/>
              <w:bottom w:w="0" w:type="dxa"/>
              <w:right w:w="15" w:type="dxa"/>
            </w:tcMar>
            <w:vAlign w:val="bottom"/>
            <w:hideMark/>
          </w:tcPr>
          <w:p w14:paraId="05206E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831E5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D39EEE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61,000</w:t>
            </w:r>
          </w:p>
        </w:tc>
        <w:tc>
          <w:tcPr>
            <w:tcW w:w="191" w:type="dxa"/>
            <w:shd w:val="clear" w:color="auto" w:fill="FFFFFF"/>
            <w:noWrap/>
            <w:tcMar>
              <w:top w:w="15" w:type="dxa"/>
              <w:left w:w="0" w:type="dxa"/>
              <w:bottom w:w="0" w:type="dxa"/>
              <w:right w:w="15" w:type="dxa"/>
            </w:tcMar>
            <w:vAlign w:val="bottom"/>
            <w:hideMark/>
          </w:tcPr>
          <w:p w14:paraId="728E78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5EA5E8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DC475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14E8C21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58,900</w:t>
            </w:r>
          </w:p>
        </w:tc>
        <w:tc>
          <w:tcPr>
            <w:tcW w:w="191" w:type="dxa"/>
            <w:shd w:val="clear" w:color="auto" w:fill="FFFFFF"/>
            <w:noWrap/>
            <w:tcMar>
              <w:top w:w="15" w:type="dxa"/>
              <w:left w:w="0" w:type="dxa"/>
              <w:bottom w:w="0" w:type="dxa"/>
              <w:right w:w="15" w:type="dxa"/>
            </w:tcMar>
            <w:vAlign w:val="bottom"/>
            <w:hideMark/>
          </w:tcPr>
          <w:p w14:paraId="406BE8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06B0C9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73305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0B5BFAE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57,700</w:t>
            </w:r>
          </w:p>
        </w:tc>
        <w:tc>
          <w:tcPr>
            <w:tcW w:w="191" w:type="dxa"/>
            <w:shd w:val="clear" w:color="auto" w:fill="FFFFFF"/>
            <w:noWrap/>
            <w:tcMar>
              <w:top w:w="15" w:type="dxa"/>
              <w:left w:w="0" w:type="dxa"/>
              <w:bottom w:w="0" w:type="dxa"/>
              <w:right w:w="15" w:type="dxa"/>
            </w:tcMar>
            <w:vAlign w:val="bottom"/>
            <w:hideMark/>
          </w:tcPr>
          <w:p w14:paraId="62B452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3AD913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4CA58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51B4A01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56,700</w:t>
            </w:r>
          </w:p>
        </w:tc>
        <w:tc>
          <w:tcPr>
            <w:tcW w:w="191" w:type="dxa"/>
            <w:shd w:val="clear" w:color="auto" w:fill="FFFFFF"/>
            <w:noWrap/>
            <w:tcMar>
              <w:top w:w="15" w:type="dxa"/>
              <w:left w:w="0" w:type="dxa"/>
              <w:bottom w:w="0" w:type="dxa"/>
              <w:right w:w="15" w:type="dxa"/>
            </w:tcMar>
            <w:vAlign w:val="bottom"/>
            <w:hideMark/>
          </w:tcPr>
          <w:p w14:paraId="196DB3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209A49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A14DF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6DBFB5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55,800</w:t>
            </w:r>
          </w:p>
        </w:tc>
        <w:tc>
          <w:tcPr>
            <w:tcW w:w="192" w:type="dxa"/>
            <w:shd w:val="clear" w:color="auto" w:fill="FFFFFF"/>
            <w:noWrap/>
            <w:tcMar>
              <w:top w:w="15" w:type="dxa"/>
              <w:left w:w="0" w:type="dxa"/>
              <w:bottom w:w="0" w:type="dxa"/>
              <w:right w:w="15" w:type="dxa"/>
            </w:tcMar>
            <w:vAlign w:val="bottom"/>
            <w:hideMark/>
          </w:tcPr>
          <w:p w14:paraId="6EAD31C9"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321A9D1C"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0CB91F28" w14:textId="77777777" w:rsidTr="00AC4931">
        <w:tc>
          <w:tcPr>
            <w:tcW w:w="919" w:type="dxa"/>
            <w:noWrap/>
            <w:hideMark/>
          </w:tcPr>
          <w:p w14:paraId="420A166F" w14:textId="77777777" w:rsidR="00AC4931" w:rsidRPr="00AC4931" w:rsidRDefault="00AC4931" w:rsidP="00AC4931">
            <w:pPr>
              <w:widowControl/>
              <w:rPr>
                <w:rFonts w:ascii="Arial" w:eastAsia="宋体" w:hAnsi="Arial" w:cs="Arial" w:hint="eastAsia"/>
                <w:kern w:val="0"/>
                <w:sz w:val="18"/>
                <w:szCs w:val="18"/>
              </w:rPr>
            </w:pPr>
            <w:r w:rsidRPr="00AC4931">
              <w:rPr>
                <w:rFonts w:ascii="Arial" w:eastAsia="宋体" w:hAnsi="Arial" w:cs="Arial"/>
                <w:kern w:val="0"/>
                <w:sz w:val="18"/>
                <w:szCs w:val="18"/>
                <w:vertAlign w:val="superscript"/>
              </w:rPr>
              <w:t>1)</w:t>
            </w:r>
          </w:p>
        </w:tc>
        <w:tc>
          <w:tcPr>
            <w:tcW w:w="0" w:type="auto"/>
            <w:hideMark/>
          </w:tcPr>
          <w:p w14:paraId="180B834F"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6"/>
                <w:szCs w:val="16"/>
              </w:rPr>
              <w:t>Including Discontinued Operations for comparable years 2016-2018.</w:t>
            </w:r>
          </w:p>
        </w:tc>
      </w:tr>
      <w:tr w:rsidR="00AC4931" w:rsidRPr="00AC4931" w14:paraId="52C09401" w14:textId="77777777" w:rsidTr="00AC4931">
        <w:tc>
          <w:tcPr>
            <w:tcW w:w="919" w:type="dxa"/>
            <w:noWrap/>
            <w:hideMark/>
          </w:tcPr>
          <w:p w14:paraId="34ECF083"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vertAlign w:val="superscript"/>
              </w:rPr>
              <w:t>2)</w:t>
            </w:r>
          </w:p>
        </w:tc>
        <w:tc>
          <w:tcPr>
            <w:tcW w:w="0" w:type="auto"/>
            <w:hideMark/>
          </w:tcPr>
          <w:p w14:paraId="00D3A72A"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6"/>
                <w:szCs w:val="16"/>
              </w:rPr>
              <w:t>At year end, excluding dilution and net of treasury shares.</w:t>
            </w:r>
          </w:p>
        </w:tc>
      </w:tr>
    </w:tbl>
    <w:p w14:paraId="40FAC87A"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4F4AD585" w14:textId="77777777" w:rsidTr="00AC4931">
        <w:tc>
          <w:tcPr>
            <w:tcW w:w="919" w:type="dxa"/>
            <w:noWrap/>
            <w:hideMark/>
          </w:tcPr>
          <w:p w14:paraId="6FE9B4A7"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vertAlign w:val="superscript"/>
              </w:rPr>
              <w:t>3)</w:t>
            </w:r>
          </w:p>
        </w:tc>
        <w:tc>
          <w:tcPr>
            <w:tcW w:w="0" w:type="auto"/>
            <w:hideMark/>
          </w:tcPr>
          <w:p w14:paraId="73C45DAE"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6"/>
                <w:szCs w:val="16"/>
              </w:rPr>
              <w:t>Including steering wheels, inflators and initiators.</w:t>
            </w:r>
          </w:p>
        </w:tc>
      </w:tr>
      <w:tr w:rsidR="00AC4931" w:rsidRPr="00AC4931" w14:paraId="410DF0E8" w14:textId="77777777" w:rsidTr="00AC4931">
        <w:tc>
          <w:tcPr>
            <w:tcW w:w="919" w:type="dxa"/>
            <w:noWrap/>
            <w:hideMark/>
          </w:tcPr>
          <w:p w14:paraId="04EE2C28"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vertAlign w:val="superscript"/>
              </w:rPr>
              <w:t>4)</w:t>
            </w:r>
          </w:p>
        </w:tc>
        <w:tc>
          <w:tcPr>
            <w:tcW w:w="0" w:type="auto"/>
            <w:hideMark/>
          </w:tcPr>
          <w:p w14:paraId="4020B008"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6"/>
                <w:szCs w:val="16"/>
              </w:rPr>
              <w:t>Including antitrust provision expense of $210 million in 2018.</w:t>
            </w:r>
          </w:p>
        </w:tc>
      </w:tr>
    </w:tbl>
    <w:p w14:paraId="4EDFD17E"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258B937B" w14:textId="77777777" w:rsidTr="00AC4931">
        <w:tc>
          <w:tcPr>
            <w:tcW w:w="919" w:type="dxa"/>
            <w:noWrap/>
            <w:hideMark/>
          </w:tcPr>
          <w:p w14:paraId="7B74A71C"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vertAlign w:val="superscript"/>
              </w:rPr>
              <w:t>5)</w:t>
            </w:r>
          </w:p>
        </w:tc>
        <w:tc>
          <w:tcPr>
            <w:tcW w:w="0" w:type="auto"/>
            <w:hideMark/>
          </w:tcPr>
          <w:p w14:paraId="453BE34B"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6"/>
                <w:szCs w:val="16"/>
              </w:rPr>
              <w:t>Impacted by the distribution of Veoneer on June 29, 2018 of approximately $2 billion recorded as a reduction of equity.</w:t>
            </w:r>
          </w:p>
        </w:tc>
      </w:tr>
      <w:tr w:rsidR="00AC4931" w:rsidRPr="00AC4931" w14:paraId="2A80C0B5" w14:textId="77777777" w:rsidTr="00AC4931">
        <w:tc>
          <w:tcPr>
            <w:tcW w:w="919" w:type="dxa"/>
            <w:noWrap/>
            <w:hideMark/>
          </w:tcPr>
          <w:p w14:paraId="76A5AA59"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vertAlign w:val="superscript"/>
              </w:rPr>
              <w:t>6)</w:t>
            </w:r>
          </w:p>
        </w:tc>
        <w:tc>
          <w:tcPr>
            <w:tcW w:w="0" w:type="auto"/>
            <w:hideMark/>
          </w:tcPr>
          <w:p w14:paraId="4C852246"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6"/>
                <w:szCs w:val="16"/>
              </w:rPr>
              <w:t>The increase in debt in 2018 is primarily driven by our capitalization of Veoneer of approximately $1 billion prior to the distribution to the shareholders.</w:t>
            </w:r>
          </w:p>
        </w:tc>
      </w:tr>
    </w:tbl>
    <w:p w14:paraId="286D9B19"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3345190B" w14:textId="77777777" w:rsidTr="00AC4931">
        <w:tc>
          <w:tcPr>
            <w:tcW w:w="919" w:type="dxa"/>
            <w:noWrap/>
            <w:hideMark/>
          </w:tcPr>
          <w:p w14:paraId="0FE3E288"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vertAlign w:val="superscript"/>
              </w:rPr>
              <w:lastRenderedPageBreak/>
              <w:t>7)</w:t>
            </w:r>
          </w:p>
        </w:tc>
        <w:tc>
          <w:tcPr>
            <w:tcW w:w="0" w:type="auto"/>
            <w:hideMark/>
          </w:tcPr>
          <w:p w14:paraId="347623B8"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6"/>
                <w:szCs w:val="16"/>
              </w:rPr>
              <w:t>The Company has decided not to recalculate prior periods since the distribution of Veoneer had a significant impact on total equity and capital employed making the comparison less meaningful.</w:t>
            </w:r>
          </w:p>
        </w:tc>
      </w:tr>
      <w:tr w:rsidR="00AC4931" w:rsidRPr="00AC4931" w14:paraId="2350294D" w14:textId="77777777" w:rsidTr="00AC4931">
        <w:tc>
          <w:tcPr>
            <w:tcW w:w="919" w:type="dxa"/>
            <w:noWrap/>
            <w:hideMark/>
          </w:tcPr>
          <w:p w14:paraId="7CDE949B"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vertAlign w:val="superscript"/>
              </w:rPr>
              <w:t>8)</w:t>
            </w:r>
          </w:p>
        </w:tc>
        <w:tc>
          <w:tcPr>
            <w:tcW w:w="0" w:type="auto"/>
            <w:hideMark/>
          </w:tcPr>
          <w:p w14:paraId="01F807CE"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6"/>
                <w:szCs w:val="16"/>
              </w:rPr>
              <w:t>See section Non-U.S. GAAP Performance Measures in Item 7.</w:t>
            </w:r>
          </w:p>
        </w:tc>
      </w:tr>
    </w:tbl>
    <w:p w14:paraId="554D430B" w14:textId="77777777" w:rsidR="00AC4931" w:rsidRPr="00AC4931" w:rsidRDefault="00AC4931" w:rsidP="00AC4931">
      <w:pPr>
        <w:widowControl/>
        <w:rPr>
          <w:rFonts w:ascii="微软雅黑" w:eastAsia="微软雅黑" w:hAnsi="微软雅黑" w:cs="宋体"/>
          <w:color w:val="000000"/>
          <w:kern w:val="0"/>
          <w:sz w:val="16"/>
          <w:szCs w:val="16"/>
        </w:rPr>
      </w:pPr>
      <w:r w:rsidRPr="00AC4931">
        <w:rPr>
          <w:rFonts w:ascii="微软雅黑" w:eastAsia="微软雅黑" w:hAnsi="微软雅黑" w:cs="宋体" w:hint="eastAsia"/>
          <w:color w:val="000000"/>
          <w:kern w:val="0"/>
          <w:sz w:val="16"/>
          <w:szCs w:val="16"/>
        </w:rPr>
        <w:t> </w:t>
      </w:r>
    </w:p>
    <w:p w14:paraId="1011E633"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28</w:t>
      </w:r>
    </w:p>
    <w:p w14:paraId="19B8E6E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57F047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4DBD75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0E1440E"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FB13EBC">
          <v:rect id="_x0000_i1055" style="width:0;height:1.5pt" o:hralign="center" o:hrstd="t" o:hrnoshade="t" o:hr="t" fillcolor="black" stroked="f"/>
        </w:pict>
      </w:r>
    </w:p>
    <w:p w14:paraId="2CFC94F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0EAC2C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9405032"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35175A4"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571AE892" w14:textId="77777777" w:rsidR="00AC4931" w:rsidRPr="00AC4931" w:rsidRDefault="00AC4931" w:rsidP="00AC4931">
      <w:pPr>
        <w:widowControl/>
        <w:rPr>
          <w:rFonts w:ascii="Arial" w:eastAsia="宋体" w:hAnsi="Arial" w:cs="Arial"/>
          <w:b/>
          <w:bCs/>
          <w:color w:val="000000"/>
          <w:kern w:val="0"/>
          <w:sz w:val="22"/>
        </w:rPr>
      </w:pPr>
      <w:r w:rsidRPr="00AC4931">
        <w:rPr>
          <w:rFonts w:ascii="Arial" w:eastAsia="宋体" w:hAnsi="Arial" w:cs="Arial"/>
          <w:b/>
          <w:bCs/>
          <w:color w:val="000000"/>
          <w:kern w:val="0"/>
          <w:sz w:val="22"/>
        </w:rPr>
        <w:t>Item 7. Management’s Discussion and Analysis of Financial Condition and Results of Operations</w:t>
      </w:r>
    </w:p>
    <w:p w14:paraId="3E591AA1"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Important Trends</w:t>
      </w:r>
    </w:p>
    <w:p w14:paraId="7B5F7A6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discussions and analysis in this section are focused on the Company’s results of operations for the year ended December 31, 2020 compared to the year ended December 31, 2019. Discussions of our results of operations for the year ended December 31, 2019 compared to the year ended December 31, 2018 can be found in Part II, Item 7. Management's Discussion and Analysis of Financial Condition and Results of Operations in our Form 10-K for the year ended December 31, 2019, which was filed with the United States Securities and Exchange Commission on February 21, 2020.</w:t>
      </w:r>
    </w:p>
    <w:p w14:paraId="18E80BE0"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Autoliv, Inc. (the “Company”) provides automotive safety systems to the automotive industry with a broad range of product offerings, primarily passive safety systems. In the two-year period ended December 31, 2020, a number of factors have influenced the Company’s results of operations. The most notable factors have been:</w:t>
      </w: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4F0AB1A9" w14:textId="77777777" w:rsidTr="00AC4931">
        <w:tc>
          <w:tcPr>
            <w:tcW w:w="919" w:type="dxa"/>
            <w:noWrap/>
            <w:hideMark/>
          </w:tcPr>
          <w:p w14:paraId="191C626D"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70F89F19"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0CFC886F"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Substantial decline in global light vehicle production</w:t>
            </w:r>
          </w:p>
        </w:tc>
      </w:tr>
      <w:tr w:rsidR="00AC4931" w:rsidRPr="00AC4931" w14:paraId="20CE7449" w14:textId="77777777" w:rsidTr="00AC4931">
        <w:tc>
          <w:tcPr>
            <w:tcW w:w="919" w:type="dxa"/>
            <w:noWrap/>
            <w:hideMark/>
          </w:tcPr>
          <w:p w14:paraId="684E8818"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27C7E98C"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3B5757C2"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COVID-19 pandemic</w:t>
            </w:r>
          </w:p>
        </w:tc>
      </w:tr>
    </w:tbl>
    <w:p w14:paraId="2B4FE0F3"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1C8654C2" w14:textId="77777777" w:rsidTr="00AC4931">
        <w:tc>
          <w:tcPr>
            <w:tcW w:w="919" w:type="dxa"/>
            <w:noWrap/>
            <w:hideMark/>
          </w:tcPr>
          <w:p w14:paraId="3275883F"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61F894AE"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186CAF1B"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Growth of safety content per vehicle</w:t>
            </w:r>
          </w:p>
        </w:tc>
      </w:tr>
      <w:tr w:rsidR="00AC4931" w:rsidRPr="00AC4931" w14:paraId="15749E8D" w14:textId="77777777" w:rsidTr="00AC4931">
        <w:tc>
          <w:tcPr>
            <w:tcW w:w="919" w:type="dxa"/>
            <w:noWrap/>
            <w:hideMark/>
          </w:tcPr>
          <w:p w14:paraId="686E67EC"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6E95B394"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001735B9"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High order intake share maintained</w:t>
            </w:r>
          </w:p>
        </w:tc>
      </w:tr>
    </w:tbl>
    <w:p w14:paraId="35F33E5F"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22B0F766" w14:textId="77777777" w:rsidTr="00AC4931">
        <w:tc>
          <w:tcPr>
            <w:tcW w:w="919" w:type="dxa"/>
            <w:noWrap/>
            <w:hideMark/>
          </w:tcPr>
          <w:p w14:paraId="4FAC9E04"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2C36EF79"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528DBDA3"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Strategic initiatives</w:t>
            </w:r>
          </w:p>
        </w:tc>
      </w:tr>
      <w:tr w:rsidR="00AC4931" w:rsidRPr="00AC4931" w14:paraId="05B33E2A" w14:textId="77777777" w:rsidTr="00AC4931">
        <w:tc>
          <w:tcPr>
            <w:tcW w:w="919" w:type="dxa"/>
            <w:noWrap/>
            <w:hideMark/>
          </w:tcPr>
          <w:p w14:paraId="7A0FCE15"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4B61E727"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05ED8FD3"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Continued focus on operational excellence and quality</w:t>
            </w:r>
          </w:p>
        </w:tc>
      </w:tr>
    </w:tbl>
    <w:p w14:paraId="486480B0"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541"/>
        <w:gridCol w:w="200"/>
        <w:gridCol w:w="1448"/>
        <w:gridCol w:w="199"/>
        <w:gridCol w:w="312"/>
        <w:gridCol w:w="199"/>
        <w:gridCol w:w="1492"/>
        <w:gridCol w:w="199"/>
        <w:gridCol w:w="502"/>
        <w:gridCol w:w="199"/>
        <w:gridCol w:w="1448"/>
        <w:gridCol w:w="199"/>
        <w:gridCol w:w="312"/>
        <w:gridCol w:w="199"/>
        <w:gridCol w:w="1463"/>
        <w:gridCol w:w="199"/>
        <w:gridCol w:w="503"/>
      </w:tblGrid>
      <w:tr w:rsidR="00AC4931" w:rsidRPr="00AC4931" w14:paraId="0B046594" w14:textId="77777777" w:rsidTr="00AC4931">
        <w:tc>
          <w:tcPr>
            <w:tcW w:w="11516" w:type="dxa"/>
            <w:shd w:val="clear" w:color="auto" w:fill="FFFFFF"/>
            <w:tcMar>
              <w:top w:w="15" w:type="dxa"/>
              <w:left w:w="0" w:type="dxa"/>
              <w:bottom w:w="0" w:type="dxa"/>
              <w:right w:w="15" w:type="dxa"/>
            </w:tcMar>
            <w:vAlign w:val="bottom"/>
            <w:hideMark/>
          </w:tcPr>
          <w:p w14:paraId="52A9B8F4" w14:textId="77777777" w:rsidR="00AC4931" w:rsidRPr="00AC4931" w:rsidRDefault="00AC4931" w:rsidP="00AC4931">
            <w:pPr>
              <w:widowControl/>
              <w:jc w:val="center"/>
              <w:rPr>
                <w:rFonts w:ascii="Arial" w:eastAsia="宋体" w:hAnsi="Arial" w:cs="Arial" w:hint="eastAsia"/>
                <w:kern w:val="0"/>
                <w:sz w:val="20"/>
                <w:szCs w:val="20"/>
              </w:rPr>
            </w:pPr>
            <w:r w:rsidRPr="00AC4931">
              <w:rPr>
                <w:rFonts w:ascii="Arial" w:eastAsia="宋体" w:hAnsi="Arial" w:cs="Arial"/>
                <w:kern w:val="0"/>
                <w:sz w:val="20"/>
                <w:szCs w:val="20"/>
              </w:rPr>
              <w:t> </w:t>
            </w:r>
          </w:p>
        </w:tc>
        <w:tc>
          <w:tcPr>
            <w:tcW w:w="3818" w:type="dxa"/>
            <w:gridSpan w:val="6"/>
            <w:tcBorders>
              <w:bottom w:val="single" w:sz="6" w:space="0" w:color="000000"/>
            </w:tcBorders>
            <w:shd w:val="clear" w:color="auto" w:fill="FFFFFF"/>
            <w:tcMar>
              <w:top w:w="15" w:type="dxa"/>
              <w:left w:w="0" w:type="dxa"/>
              <w:bottom w:w="0" w:type="dxa"/>
              <w:right w:w="15" w:type="dxa"/>
            </w:tcMar>
            <w:vAlign w:val="bottom"/>
            <w:hideMark/>
          </w:tcPr>
          <w:p w14:paraId="54293A6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r w:rsidRPr="00AC4931">
              <w:rPr>
                <w:rFonts w:ascii="Arial" w:eastAsia="宋体" w:hAnsi="Arial" w:cs="Arial"/>
                <w:b/>
                <w:bCs/>
                <w:color w:val="000000"/>
                <w:kern w:val="0"/>
                <w:sz w:val="18"/>
                <w:szCs w:val="18"/>
                <w:vertAlign w:val="superscript"/>
              </w:rPr>
              <w:t>1)</w:t>
            </w:r>
          </w:p>
        </w:tc>
        <w:tc>
          <w:tcPr>
            <w:tcW w:w="191" w:type="dxa"/>
            <w:shd w:val="clear" w:color="auto" w:fill="FFFFFF"/>
            <w:noWrap/>
            <w:tcMar>
              <w:top w:w="15" w:type="dxa"/>
              <w:left w:w="0" w:type="dxa"/>
              <w:bottom w:w="0" w:type="dxa"/>
              <w:right w:w="15" w:type="dxa"/>
            </w:tcMar>
            <w:vAlign w:val="bottom"/>
            <w:hideMark/>
          </w:tcPr>
          <w:p w14:paraId="4CB1C852"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501" w:type="dxa"/>
            <w:shd w:val="clear" w:color="auto" w:fill="FFFFFF"/>
            <w:tcMar>
              <w:top w:w="15" w:type="dxa"/>
              <w:left w:w="0" w:type="dxa"/>
              <w:bottom w:w="0" w:type="dxa"/>
              <w:right w:w="15" w:type="dxa"/>
            </w:tcMar>
            <w:vAlign w:val="bottom"/>
            <w:hideMark/>
          </w:tcPr>
          <w:p w14:paraId="5B5EE24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789" w:type="dxa"/>
            <w:gridSpan w:val="6"/>
            <w:tcBorders>
              <w:bottom w:val="single" w:sz="6" w:space="0" w:color="000000"/>
            </w:tcBorders>
            <w:shd w:val="clear" w:color="auto" w:fill="FFFFFF"/>
            <w:tcMar>
              <w:top w:w="15" w:type="dxa"/>
              <w:left w:w="0" w:type="dxa"/>
              <w:bottom w:w="0" w:type="dxa"/>
              <w:right w:w="15" w:type="dxa"/>
            </w:tcMar>
            <w:vAlign w:val="bottom"/>
            <w:hideMark/>
          </w:tcPr>
          <w:p w14:paraId="621ACA1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r w:rsidRPr="00AC4931">
              <w:rPr>
                <w:rFonts w:ascii="Arial" w:eastAsia="宋体" w:hAnsi="Arial" w:cs="Arial"/>
                <w:b/>
                <w:bCs/>
                <w:color w:val="000000"/>
                <w:kern w:val="0"/>
                <w:sz w:val="18"/>
                <w:szCs w:val="18"/>
                <w:vertAlign w:val="superscript"/>
              </w:rPr>
              <w:t>1)</w:t>
            </w:r>
          </w:p>
        </w:tc>
        <w:tc>
          <w:tcPr>
            <w:tcW w:w="191" w:type="dxa"/>
            <w:shd w:val="clear" w:color="auto" w:fill="FFFFFF"/>
            <w:noWrap/>
            <w:tcMar>
              <w:top w:w="15" w:type="dxa"/>
              <w:left w:w="0" w:type="dxa"/>
              <w:bottom w:w="0" w:type="dxa"/>
              <w:right w:w="15" w:type="dxa"/>
            </w:tcMar>
            <w:vAlign w:val="bottom"/>
            <w:hideMark/>
          </w:tcPr>
          <w:p w14:paraId="38C83644"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502" w:type="dxa"/>
            <w:shd w:val="clear" w:color="auto" w:fill="FFFFFF"/>
            <w:tcMar>
              <w:top w:w="15" w:type="dxa"/>
              <w:left w:w="0" w:type="dxa"/>
              <w:bottom w:w="0" w:type="dxa"/>
              <w:right w:w="15" w:type="dxa"/>
            </w:tcMar>
            <w:vAlign w:val="bottom"/>
            <w:hideMark/>
          </w:tcPr>
          <w:p w14:paraId="73D69AF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547ED101" w14:textId="77777777" w:rsidTr="00AC4931">
        <w:tc>
          <w:tcPr>
            <w:tcW w:w="11516" w:type="dxa"/>
            <w:shd w:val="clear" w:color="auto" w:fill="FFFFFF"/>
            <w:tcMar>
              <w:top w:w="15" w:type="dxa"/>
              <w:left w:w="0" w:type="dxa"/>
              <w:bottom w:w="0" w:type="dxa"/>
              <w:right w:w="15" w:type="dxa"/>
            </w:tcMar>
            <w:vAlign w:val="bottom"/>
            <w:hideMark/>
          </w:tcPr>
          <w:p w14:paraId="42B9A2E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YEARS ENDED DEC. 31 (DOLLARS IN MILLIONS, EXCEPT EPS)</w:t>
            </w:r>
          </w:p>
        </w:tc>
        <w:tc>
          <w:tcPr>
            <w:tcW w:w="163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6AA497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Reported</w:t>
            </w:r>
          </w:p>
        </w:tc>
        <w:tc>
          <w:tcPr>
            <w:tcW w:w="191" w:type="dxa"/>
            <w:shd w:val="clear" w:color="auto" w:fill="FFFFFF"/>
            <w:noWrap/>
            <w:tcMar>
              <w:top w:w="15" w:type="dxa"/>
              <w:left w:w="0" w:type="dxa"/>
              <w:bottom w:w="0" w:type="dxa"/>
              <w:right w:w="15" w:type="dxa"/>
            </w:tcMar>
            <w:vAlign w:val="bottom"/>
            <w:hideMark/>
          </w:tcPr>
          <w:p w14:paraId="2DD1F94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6B5513D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3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9E6693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change</w:t>
            </w:r>
          </w:p>
        </w:tc>
        <w:tc>
          <w:tcPr>
            <w:tcW w:w="191" w:type="dxa"/>
            <w:shd w:val="clear" w:color="auto" w:fill="FFFFFF"/>
            <w:noWrap/>
            <w:tcMar>
              <w:top w:w="15" w:type="dxa"/>
              <w:left w:w="0" w:type="dxa"/>
              <w:bottom w:w="0" w:type="dxa"/>
              <w:right w:w="15" w:type="dxa"/>
            </w:tcMar>
            <w:vAlign w:val="bottom"/>
            <w:hideMark/>
          </w:tcPr>
          <w:p w14:paraId="575FE5B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501" w:type="dxa"/>
            <w:shd w:val="clear" w:color="auto" w:fill="FFFFFF"/>
            <w:tcMar>
              <w:top w:w="15" w:type="dxa"/>
              <w:left w:w="0" w:type="dxa"/>
              <w:bottom w:w="0" w:type="dxa"/>
              <w:right w:w="15" w:type="dxa"/>
            </w:tcMar>
            <w:vAlign w:val="bottom"/>
            <w:hideMark/>
          </w:tcPr>
          <w:p w14:paraId="14FC327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3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28AD5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Reported</w:t>
            </w:r>
          </w:p>
        </w:tc>
        <w:tc>
          <w:tcPr>
            <w:tcW w:w="191" w:type="dxa"/>
            <w:shd w:val="clear" w:color="auto" w:fill="FFFFFF"/>
            <w:noWrap/>
            <w:tcMar>
              <w:top w:w="15" w:type="dxa"/>
              <w:left w:w="0" w:type="dxa"/>
              <w:bottom w:w="0" w:type="dxa"/>
              <w:right w:w="15" w:type="dxa"/>
            </w:tcMar>
            <w:vAlign w:val="bottom"/>
            <w:hideMark/>
          </w:tcPr>
          <w:p w14:paraId="758DA4B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55F5B5D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07"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E4E929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change</w:t>
            </w:r>
          </w:p>
        </w:tc>
        <w:tc>
          <w:tcPr>
            <w:tcW w:w="191" w:type="dxa"/>
            <w:shd w:val="clear" w:color="auto" w:fill="FFFFFF"/>
            <w:noWrap/>
            <w:tcMar>
              <w:top w:w="15" w:type="dxa"/>
              <w:left w:w="0" w:type="dxa"/>
              <w:bottom w:w="0" w:type="dxa"/>
              <w:right w:w="15" w:type="dxa"/>
            </w:tcMar>
            <w:vAlign w:val="bottom"/>
            <w:hideMark/>
          </w:tcPr>
          <w:p w14:paraId="375B54C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502" w:type="dxa"/>
            <w:shd w:val="clear" w:color="auto" w:fill="FFFFFF"/>
            <w:tcMar>
              <w:top w:w="15" w:type="dxa"/>
              <w:left w:w="0" w:type="dxa"/>
              <w:bottom w:w="0" w:type="dxa"/>
              <w:right w:w="15" w:type="dxa"/>
            </w:tcMar>
            <w:vAlign w:val="bottom"/>
            <w:hideMark/>
          </w:tcPr>
          <w:p w14:paraId="45CFEB3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DA184D9" w14:textId="77777777" w:rsidTr="00AC4931">
        <w:tc>
          <w:tcPr>
            <w:tcW w:w="11516" w:type="dxa"/>
            <w:shd w:val="clear" w:color="auto" w:fill="CFF0FC"/>
            <w:tcMar>
              <w:top w:w="15" w:type="dxa"/>
              <w:left w:w="0" w:type="dxa"/>
              <w:bottom w:w="0" w:type="dxa"/>
              <w:right w:w="15" w:type="dxa"/>
            </w:tcMar>
            <w:hideMark/>
          </w:tcPr>
          <w:p w14:paraId="2024E6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Global light vehicle production (in thousands)</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29E81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tcBorders>
              <w:top w:val="single" w:sz="6" w:space="0" w:color="000000"/>
            </w:tcBorders>
            <w:shd w:val="clear" w:color="auto" w:fill="CFF0FC"/>
            <w:noWrap/>
            <w:tcMar>
              <w:top w:w="15" w:type="dxa"/>
              <w:left w:w="0" w:type="dxa"/>
              <w:bottom w:w="0" w:type="dxa"/>
              <w:right w:w="15" w:type="dxa"/>
            </w:tcMar>
            <w:vAlign w:val="bottom"/>
            <w:hideMark/>
          </w:tcPr>
          <w:p w14:paraId="55E34CF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71,573</w:t>
            </w:r>
          </w:p>
        </w:tc>
        <w:tc>
          <w:tcPr>
            <w:tcW w:w="191" w:type="dxa"/>
            <w:shd w:val="clear" w:color="auto" w:fill="CFF0FC"/>
            <w:noWrap/>
            <w:tcMar>
              <w:top w:w="15" w:type="dxa"/>
              <w:left w:w="0" w:type="dxa"/>
              <w:bottom w:w="0" w:type="dxa"/>
              <w:right w:w="15" w:type="dxa"/>
            </w:tcMar>
            <w:vAlign w:val="bottom"/>
            <w:hideMark/>
          </w:tcPr>
          <w:p w14:paraId="0C0D0A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6B5ACD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5892C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tcBorders>
              <w:top w:val="single" w:sz="6" w:space="0" w:color="000000"/>
            </w:tcBorders>
            <w:shd w:val="clear" w:color="auto" w:fill="CFF0FC"/>
            <w:noWrap/>
            <w:tcMar>
              <w:top w:w="15" w:type="dxa"/>
              <w:left w:w="0" w:type="dxa"/>
              <w:bottom w:w="0" w:type="dxa"/>
              <w:right w:w="15" w:type="dxa"/>
            </w:tcMar>
            <w:vAlign w:val="bottom"/>
            <w:hideMark/>
          </w:tcPr>
          <w:p w14:paraId="4A8DE3C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w:t>
            </w:r>
          </w:p>
        </w:tc>
        <w:tc>
          <w:tcPr>
            <w:tcW w:w="191" w:type="dxa"/>
            <w:shd w:val="clear" w:color="auto" w:fill="CFF0FC"/>
            <w:noWrap/>
            <w:tcMar>
              <w:top w:w="15" w:type="dxa"/>
              <w:left w:w="0" w:type="dxa"/>
              <w:bottom w:w="0" w:type="dxa"/>
              <w:right w:w="15" w:type="dxa"/>
            </w:tcMar>
            <w:vAlign w:val="bottom"/>
            <w:hideMark/>
          </w:tcPr>
          <w:p w14:paraId="40692F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501" w:type="dxa"/>
            <w:shd w:val="clear" w:color="auto" w:fill="CFF0FC"/>
            <w:tcMar>
              <w:top w:w="15" w:type="dxa"/>
              <w:left w:w="0" w:type="dxa"/>
              <w:bottom w:w="0" w:type="dxa"/>
              <w:right w:w="15" w:type="dxa"/>
            </w:tcMar>
            <w:vAlign w:val="bottom"/>
            <w:hideMark/>
          </w:tcPr>
          <w:p w14:paraId="1E5F71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E83F2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tcBorders>
              <w:top w:val="single" w:sz="6" w:space="0" w:color="000000"/>
            </w:tcBorders>
            <w:shd w:val="clear" w:color="auto" w:fill="CFF0FC"/>
            <w:noWrap/>
            <w:tcMar>
              <w:top w:w="15" w:type="dxa"/>
              <w:left w:w="0" w:type="dxa"/>
              <w:bottom w:w="0" w:type="dxa"/>
              <w:right w:w="15" w:type="dxa"/>
            </w:tcMar>
            <w:vAlign w:val="bottom"/>
            <w:hideMark/>
          </w:tcPr>
          <w:p w14:paraId="36F642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85,862</w:t>
            </w:r>
          </w:p>
        </w:tc>
        <w:tc>
          <w:tcPr>
            <w:tcW w:w="191" w:type="dxa"/>
            <w:shd w:val="clear" w:color="auto" w:fill="CFF0FC"/>
            <w:noWrap/>
            <w:tcMar>
              <w:top w:w="15" w:type="dxa"/>
              <w:left w:w="0" w:type="dxa"/>
              <w:bottom w:w="0" w:type="dxa"/>
              <w:right w:w="15" w:type="dxa"/>
            </w:tcMar>
            <w:vAlign w:val="bottom"/>
            <w:hideMark/>
          </w:tcPr>
          <w:p w14:paraId="20655C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6B88EC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EF480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0" w:type="dxa"/>
            <w:tcBorders>
              <w:top w:val="single" w:sz="6" w:space="0" w:color="000000"/>
            </w:tcBorders>
            <w:shd w:val="clear" w:color="auto" w:fill="CFF0FC"/>
            <w:noWrap/>
            <w:tcMar>
              <w:top w:w="15" w:type="dxa"/>
              <w:left w:w="0" w:type="dxa"/>
              <w:bottom w:w="0" w:type="dxa"/>
              <w:right w:w="15" w:type="dxa"/>
            </w:tcMar>
            <w:vAlign w:val="bottom"/>
            <w:hideMark/>
          </w:tcPr>
          <w:p w14:paraId="04F6805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w:t>
            </w:r>
          </w:p>
        </w:tc>
        <w:tc>
          <w:tcPr>
            <w:tcW w:w="191" w:type="dxa"/>
            <w:shd w:val="clear" w:color="auto" w:fill="CFF0FC"/>
            <w:noWrap/>
            <w:tcMar>
              <w:top w:w="15" w:type="dxa"/>
              <w:left w:w="0" w:type="dxa"/>
              <w:bottom w:w="0" w:type="dxa"/>
              <w:right w:w="15" w:type="dxa"/>
            </w:tcMar>
            <w:vAlign w:val="bottom"/>
            <w:hideMark/>
          </w:tcPr>
          <w:p w14:paraId="7FA769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502" w:type="dxa"/>
            <w:shd w:val="clear" w:color="auto" w:fill="CFF0FC"/>
            <w:tcMar>
              <w:top w:w="15" w:type="dxa"/>
              <w:left w:w="0" w:type="dxa"/>
              <w:bottom w:w="0" w:type="dxa"/>
              <w:right w:w="15" w:type="dxa"/>
            </w:tcMar>
            <w:vAlign w:val="bottom"/>
            <w:hideMark/>
          </w:tcPr>
          <w:p w14:paraId="548E99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6B6A7CA" w14:textId="77777777" w:rsidTr="00AC4931">
        <w:tc>
          <w:tcPr>
            <w:tcW w:w="11516" w:type="dxa"/>
            <w:shd w:val="clear" w:color="auto" w:fill="FFFFFF"/>
            <w:tcMar>
              <w:top w:w="15" w:type="dxa"/>
              <w:left w:w="0" w:type="dxa"/>
              <w:bottom w:w="0" w:type="dxa"/>
              <w:right w:w="15" w:type="dxa"/>
            </w:tcMar>
            <w:hideMark/>
          </w:tcPr>
          <w:p w14:paraId="387282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Consolidated net sales</w:t>
            </w:r>
          </w:p>
        </w:tc>
        <w:tc>
          <w:tcPr>
            <w:tcW w:w="191" w:type="dxa"/>
            <w:shd w:val="clear" w:color="auto" w:fill="FFFFFF"/>
            <w:noWrap/>
            <w:tcMar>
              <w:top w:w="15" w:type="dxa"/>
              <w:left w:w="0" w:type="dxa"/>
              <w:bottom w:w="0" w:type="dxa"/>
              <w:right w:w="15" w:type="dxa"/>
            </w:tcMar>
            <w:vAlign w:val="bottom"/>
            <w:hideMark/>
          </w:tcPr>
          <w:p w14:paraId="1BFBB0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29" w:type="dxa"/>
            <w:shd w:val="clear" w:color="auto" w:fill="FFFFFF"/>
            <w:noWrap/>
            <w:tcMar>
              <w:top w:w="15" w:type="dxa"/>
              <w:left w:w="0" w:type="dxa"/>
              <w:bottom w:w="0" w:type="dxa"/>
              <w:right w:w="15" w:type="dxa"/>
            </w:tcMar>
            <w:vAlign w:val="bottom"/>
            <w:hideMark/>
          </w:tcPr>
          <w:p w14:paraId="21A2DA3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7,447</w:t>
            </w:r>
          </w:p>
        </w:tc>
        <w:tc>
          <w:tcPr>
            <w:tcW w:w="191" w:type="dxa"/>
            <w:shd w:val="clear" w:color="auto" w:fill="FFFFFF"/>
            <w:noWrap/>
            <w:tcMar>
              <w:top w:w="15" w:type="dxa"/>
              <w:left w:w="0" w:type="dxa"/>
              <w:bottom w:w="0" w:type="dxa"/>
              <w:right w:w="15" w:type="dxa"/>
            </w:tcMar>
            <w:vAlign w:val="bottom"/>
            <w:hideMark/>
          </w:tcPr>
          <w:p w14:paraId="7F9AFD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77FBD8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3BA72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FFFFFF"/>
            <w:noWrap/>
            <w:tcMar>
              <w:top w:w="15" w:type="dxa"/>
              <w:left w:w="0" w:type="dxa"/>
              <w:bottom w:w="0" w:type="dxa"/>
              <w:right w:w="15" w:type="dxa"/>
            </w:tcMar>
            <w:vAlign w:val="bottom"/>
            <w:hideMark/>
          </w:tcPr>
          <w:p w14:paraId="72CA030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w:t>
            </w:r>
          </w:p>
        </w:tc>
        <w:tc>
          <w:tcPr>
            <w:tcW w:w="191" w:type="dxa"/>
            <w:shd w:val="clear" w:color="auto" w:fill="FFFFFF"/>
            <w:noWrap/>
            <w:tcMar>
              <w:top w:w="15" w:type="dxa"/>
              <w:left w:w="0" w:type="dxa"/>
              <w:bottom w:w="0" w:type="dxa"/>
              <w:right w:w="15" w:type="dxa"/>
            </w:tcMar>
            <w:vAlign w:val="bottom"/>
            <w:hideMark/>
          </w:tcPr>
          <w:p w14:paraId="4AE257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501" w:type="dxa"/>
            <w:shd w:val="clear" w:color="auto" w:fill="FFFFFF"/>
            <w:tcMar>
              <w:top w:w="15" w:type="dxa"/>
              <w:left w:w="0" w:type="dxa"/>
              <w:bottom w:w="0" w:type="dxa"/>
              <w:right w:w="15" w:type="dxa"/>
            </w:tcMar>
            <w:vAlign w:val="bottom"/>
            <w:hideMark/>
          </w:tcPr>
          <w:p w14:paraId="6851A8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1FAAE0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29" w:type="dxa"/>
            <w:shd w:val="clear" w:color="auto" w:fill="FFFFFF"/>
            <w:noWrap/>
            <w:tcMar>
              <w:top w:w="15" w:type="dxa"/>
              <w:left w:w="0" w:type="dxa"/>
              <w:bottom w:w="0" w:type="dxa"/>
              <w:right w:w="15" w:type="dxa"/>
            </w:tcMar>
            <w:vAlign w:val="bottom"/>
            <w:hideMark/>
          </w:tcPr>
          <w:p w14:paraId="7963826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8,548</w:t>
            </w:r>
          </w:p>
        </w:tc>
        <w:tc>
          <w:tcPr>
            <w:tcW w:w="191" w:type="dxa"/>
            <w:shd w:val="clear" w:color="auto" w:fill="FFFFFF"/>
            <w:noWrap/>
            <w:tcMar>
              <w:top w:w="15" w:type="dxa"/>
              <w:left w:w="0" w:type="dxa"/>
              <w:bottom w:w="0" w:type="dxa"/>
              <w:right w:w="15" w:type="dxa"/>
            </w:tcMar>
            <w:vAlign w:val="bottom"/>
            <w:hideMark/>
          </w:tcPr>
          <w:p w14:paraId="798DD3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10ADB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885D7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0" w:type="dxa"/>
            <w:shd w:val="clear" w:color="auto" w:fill="FFFFFF"/>
            <w:noWrap/>
            <w:tcMar>
              <w:top w:w="15" w:type="dxa"/>
              <w:left w:w="0" w:type="dxa"/>
              <w:bottom w:w="0" w:type="dxa"/>
              <w:right w:w="15" w:type="dxa"/>
            </w:tcMar>
            <w:vAlign w:val="bottom"/>
            <w:hideMark/>
          </w:tcPr>
          <w:p w14:paraId="31A9717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w:t>
            </w:r>
          </w:p>
        </w:tc>
        <w:tc>
          <w:tcPr>
            <w:tcW w:w="191" w:type="dxa"/>
            <w:shd w:val="clear" w:color="auto" w:fill="FFFFFF"/>
            <w:noWrap/>
            <w:tcMar>
              <w:top w:w="15" w:type="dxa"/>
              <w:left w:w="0" w:type="dxa"/>
              <w:bottom w:w="0" w:type="dxa"/>
              <w:right w:w="15" w:type="dxa"/>
            </w:tcMar>
            <w:vAlign w:val="bottom"/>
            <w:hideMark/>
          </w:tcPr>
          <w:p w14:paraId="4C73AB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502" w:type="dxa"/>
            <w:shd w:val="clear" w:color="auto" w:fill="FFFFFF"/>
            <w:tcMar>
              <w:top w:w="15" w:type="dxa"/>
              <w:left w:w="0" w:type="dxa"/>
              <w:bottom w:w="0" w:type="dxa"/>
              <w:right w:w="15" w:type="dxa"/>
            </w:tcMar>
            <w:vAlign w:val="bottom"/>
            <w:hideMark/>
          </w:tcPr>
          <w:p w14:paraId="0C82F3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F4D1E7C" w14:textId="77777777" w:rsidTr="00AC4931">
        <w:tc>
          <w:tcPr>
            <w:tcW w:w="11516" w:type="dxa"/>
            <w:shd w:val="clear" w:color="auto" w:fill="CFF0FC"/>
            <w:tcMar>
              <w:top w:w="15" w:type="dxa"/>
              <w:left w:w="0" w:type="dxa"/>
              <w:bottom w:w="0" w:type="dxa"/>
              <w:right w:w="15" w:type="dxa"/>
            </w:tcMar>
            <w:hideMark/>
          </w:tcPr>
          <w:p w14:paraId="784F9F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income</w:t>
            </w:r>
            <w:r w:rsidRPr="00AC4931">
              <w:rPr>
                <w:rFonts w:ascii="Arial" w:eastAsia="宋体" w:hAnsi="Arial" w:cs="Arial"/>
                <w:color w:val="000000"/>
                <w:kern w:val="0"/>
                <w:sz w:val="18"/>
                <w:szCs w:val="18"/>
                <w:vertAlign w:val="superscript"/>
              </w:rPr>
              <w:t>3)</w:t>
            </w:r>
          </w:p>
        </w:tc>
        <w:tc>
          <w:tcPr>
            <w:tcW w:w="191" w:type="dxa"/>
            <w:shd w:val="clear" w:color="auto" w:fill="CFF0FC"/>
            <w:noWrap/>
            <w:tcMar>
              <w:top w:w="15" w:type="dxa"/>
              <w:left w:w="0" w:type="dxa"/>
              <w:bottom w:w="0" w:type="dxa"/>
              <w:right w:w="15" w:type="dxa"/>
            </w:tcMar>
            <w:vAlign w:val="bottom"/>
            <w:hideMark/>
          </w:tcPr>
          <w:p w14:paraId="21AA27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CFF0FC"/>
            <w:noWrap/>
            <w:tcMar>
              <w:top w:w="15" w:type="dxa"/>
              <w:left w:w="0" w:type="dxa"/>
              <w:bottom w:w="0" w:type="dxa"/>
              <w:right w:w="15" w:type="dxa"/>
            </w:tcMar>
            <w:vAlign w:val="bottom"/>
            <w:hideMark/>
          </w:tcPr>
          <w:p w14:paraId="17CC0CE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382</w:t>
            </w:r>
          </w:p>
        </w:tc>
        <w:tc>
          <w:tcPr>
            <w:tcW w:w="191" w:type="dxa"/>
            <w:shd w:val="clear" w:color="auto" w:fill="CFF0FC"/>
            <w:noWrap/>
            <w:tcMar>
              <w:top w:w="15" w:type="dxa"/>
              <w:left w:w="0" w:type="dxa"/>
              <w:bottom w:w="0" w:type="dxa"/>
              <w:right w:w="15" w:type="dxa"/>
            </w:tcMar>
            <w:vAlign w:val="bottom"/>
            <w:hideMark/>
          </w:tcPr>
          <w:p w14:paraId="0A1853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623D0F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B7BA2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CFF0FC"/>
            <w:noWrap/>
            <w:tcMar>
              <w:top w:w="15" w:type="dxa"/>
              <w:left w:w="0" w:type="dxa"/>
              <w:bottom w:w="0" w:type="dxa"/>
              <w:right w:w="15" w:type="dxa"/>
            </w:tcMar>
            <w:vAlign w:val="bottom"/>
            <w:hideMark/>
          </w:tcPr>
          <w:p w14:paraId="310AD7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w:t>
            </w:r>
          </w:p>
        </w:tc>
        <w:tc>
          <w:tcPr>
            <w:tcW w:w="191" w:type="dxa"/>
            <w:shd w:val="clear" w:color="auto" w:fill="CFF0FC"/>
            <w:noWrap/>
            <w:tcMar>
              <w:top w:w="15" w:type="dxa"/>
              <w:left w:w="0" w:type="dxa"/>
              <w:bottom w:w="0" w:type="dxa"/>
              <w:right w:w="15" w:type="dxa"/>
            </w:tcMar>
            <w:vAlign w:val="bottom"/>
            <w:hideMark/>
          </w:tcPr>
          <w:p w14:paraId="07F244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501" w:type="dxa"/>
            <w:shd w:val="clear" w:color="auto" w:fill="CFF0FC"/>
            <w:tcMar>
              <w:top w:w="15" w:type="dxa"/>
              <w:left w:w="0" w:type="dxa"/>
              <w:bottom w:w="0" w:type="dxa"/>
              <w:right w:w="15" w:type="dxa"/>
            </w:tcMar>
            <w:vAlign w:val="bottom"/>
            <w:hideMark/>
          </w:tcPr>
          <w:p w14:paraId="744407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70DF1C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CFF0FC"/>
            <w:noWrap/>
            <w:tcMar>
              <w:top w:w="15" w:type="dxa"/>
              <w:left w:w="0" w:type="dxa"/>
              <w:bottom w:w="0" w:type="dxa"/>
              <w:right w:w="15" w:type="dxa"/>
            </w:tcMar>
            <w:vAlign w:val="bottom"/>
            <w:hideMark/>
          </w:tcPr>
          <w:p w14:paraId="3A6568A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726</w:t>
            </w:r>
          </w:p>
        </w:tc>
        <w:tc>
          <w:tcPr>
            <w:tcW w:w="191" w:type="dxa"/>
            <w:shd w:val="clear" w:color="auto" w:fill="CFF0FC"/>
            <w:noWrap/>
            <w:tcMar>
              <w:top w:w="15" w:type="dxa"/>
              <w:left w:w="0" w:type="dxa"/>
              <w:bottom w:w="0" w:type="dxa"/>
              <w:right w:w="15" w:type="dxa"/>
            </w:tcMar>
            <w:vAlign w:val="bottom"/>
            <w:hideMark/>
          </w:tcPr>
          <w:p w14:paraId="5F6D47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E5742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4A7BD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0" w:type="dxa"/>
            <w:shd w:val="clear" w:color="auto" w:fill="CFF0FC"/>
            <w:noWrap/>
            <w:tcMar>
              <w:top w:w="15" w:type="dxa"/>
              <w:left w:w="0" w:type="dxa"/>
              <w:bottom w:w="0" w:type="dxa"/>
              <w:right w:w="15" w:type="dxa"/>
            </w:tcMar>
            <w:vAlign w:val="bottom"/>
            <w:hideMark/>
          </w:tcPr>
          <w:p w14:paraId="6210441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w:t>
            </w:r>
          </w:p>
        </w:tc>
        <w:tc>
          <w:tcPr>
            <w:tcW w:w="191" w:type="dxa"/>
            <w:shd w:val="clear" w:color="auto" w:fill="CFF0FC"/>
            <w:noWrap/>
            <w:tcMar>
              <w:top w:w="15" w:type="dxa"/>
              <w:left w:w="0" w:type="dxa"/>
              <w:bottom w:w="0" w:type="dxa"/>
              <w:right w:w="15" w:type="dxa"/>
            </w:tcMar>
            <w:vAlign w:val="bottom"/>
            <w:hideMark/>
          </w:tcPr>
          <w:p w14:paraId="251095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502" w:type="dxa"/>
            <w:shd w:val="clear" w:color="auto" w:fill="CFF0FC"/>
            <w:tcMar>
              <w:top w:w="15" w:type="dxa"/>
              <w:left w:w="0" w:type="dxa"/>
              <w:bottom w:w="0" w:type="dxa"/>
              <w:right w:w="15" w:type="dxa"/>
            </w:tcMar>
            <w:vAlign w:val="bottom"/>
            <w:hideMark/>
          </w:tcPr>
          <w:p w14:paraId="0832C8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F567F5A" w14:textId="77777777" w:rsidTr="00AC4931">
        <w:tc>
          <w:tcPr>
            <w:tcW w:w="11516" w:type="dxa"/>
            <w:shd w:val="clear" w:color="auto" w:fill="FFFFFF"/>
            <w:tcMar>
              <w:top w:w="15" w:type="dxa"/>
              <w:left w:w="0" w:type="dxa"/>
              <w:bottom w:w="0" w:type="dxa"/>
              <w:right w:w="15" w:type="dxa"/>
            </w:tcMar>
            <w:hideMark/>
          </w:tcPr>
          <w:p w14:paraId="6C974A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margin, %</w:t>
            </w:r>
            <w:r w:rsidRPr="00AC4931">
              <w:rPr>
                <w:rFonts w:ascii="Arial" w:eastAsia="宋体" w:hAnsi="Arial" w:cs="Arial"/>
                <w:color w:val="000000"/>
                <w:kern w:val="0"/>
                <w:sz w:val="18"/>
                <w:szCs w:val="18"/>
                <w:vertAlign w:val="superscript"/>
              </w:rPr>
              <w:t>3)</w:t>
            </w:r>
          </w:p>
        </w:tc>
        <w:tc>
          <w:tcPr>
            <w:tcW w:w="191" w:type="dxa"/>
            <w:shd w:val="clear" w:color="auto" w:fill="FFFFFF"/>
            <w:noWrap/>
            <w:tcMar>
              <w:top w:w="15" w:type="dxa"/>
              <w:left w:w="0" w:type="dxa"/>
              <w:bottom w:w="0" w:type="dxa"/>
              <w:right w:w="15" w:type="dxa"/>
            </w:tcMar>
            <w:vAlign w:val="bottom"/>
            <w:hideMark/>
          </w:tcPr>
          <w:p w14:paraId="03168B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FFFFFF"/>
            <w:noWrap/>
            <w:tcMar>
              <w:top w:w="15" w:type="dxa"/>
              <w:left w:w="0" w:type="dxa"/>
              <w:bottom w:w="0" w:type="dxa"/>
              <w:right w:w="15" w:type="dxa"/>
            </w:tcMar>
            <w:vAlign w:val="bottom"/>
            <w:hideMark/>
          </w:tcPr>
          <w:p w14:paraId="13001F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5.1</w:t>
            </w:r>
          </w:p>
        </w:tc>
        <w:tc>
          <w:tcPr>
            <w:tcW w:w="191" w:type="dxa"/>
            <w:shd w:val="clear" w:color="auto" w:fill="FFFFFF"/>
            <w:noWrap/>
            <w:tcMar>
              <w:top w:w="15" w:type="dxa"/>
              <w:left w:w="0" w:type="dxa"/>
              <w:bottom w:w="0" w:type="dxa"/>
              <w:right w:w="15" w:type="dxa"/>
            </w:tcMar>
            <w:vAlign w:val="bottom"/>
            <w:hideMark/>
          </w:tcPr>
          <w:p w14:paraId="06B830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631B30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51B39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FFFFFF"/>
            <w:noWrap/>
            <w:tcMar>
              <w:top w:w="15" w:type="dxa"/>
              <w:left w:w="0" w:type="dxa"/>
              <w:bottom w:w="0" w:type="dxa"/>
              <w:right w:w="15" w:type="dxa"/>
            </w:tcMar>
            <w:vAlign w:val="bottom"/>
            <w:hideMark/>
          </w:tcPr>
          <w:p w14:paraId="2078C10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w:t>
            </w:r>
          </w:p>
        </w:tc>
        <w:tc>
          <w:tcPr>
            <w:tcW w:w="191" w:type="dxa"/>
            <w:shd w:val="clear" w:color="auto" w:fill="FFFFFF"/>
            <w:noWrap/>
            <w:tcMar>
              <w:top w:w="15" w:type="dxa"/>
              <w:left w:w="0" w:type="dxa"/>
              <w:bottom w:w="0" w:type="dxa"/>
              <w:right w:w="15" w:type="dxa"/>
            </w:tcMar>
            <w:vAlign w:val="bottom"/>
            <w:hideMark/>
          </w:tcPr>
          <w:p w14:paraId="539317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501" w:type="dxa"/>
            <w:shd w:val="clear" w:color="auto" w:fill="FFFFFF"/>
            <w:tcMar>
              <w:top w:w="15" w:type="dxa"/>
              <w:left w:w="0" w:type="dxa"/>
              <w:bottom w:w="0" w:type="dxa"/>
              <w:right w:w="15" w:type="dxa"/>
            </w:tcMar>
            <w:vAlign w:val="bottom"/>
            <w:hideMark/>
          </w:tcPr>
          <w:p w14:paraId="4D01BB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pp</w:t>
            </w:r>
          </w:p>
        </w:tc>
        <w:tc>
          <w:tcPr>
            <w:tcW w:w="191" w:type="dxa"/>
            <w:shd w:val="clear" w:color="auto" w:fill="FFFFFF"/>
            <w:noWrap/>
            <w:tcMar>
              <w:top w:w="15" w:type="dxa"/>
              <w:left w:w="0" w:type="dxa"/>
              <w:bottom w:w="0" w:type="dxa"/>
              <w:right w:w="15" w:type="dxa"/>
            </w:tcMar>
            <w:vAlign w:val="bottom"/>
            <w:hideMark/>
          </w:tcPr>
          <w:p w14:paraId="567C0B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FFFFFF"/>
            <w:noWrap/>
            <w:tcMar>
              <w:top w:w="15" w:type="dxa"/>
              <w:left w:w="0" w:type="dxa"/>
              <w:bottom w:w="0" w:type="dxa"/>
              <w:right w:w="15" w:type="dxa"/>
            </w:tcMar>
            <w:vAlign w:val="bottom"/>
            <w:hideMark/>
          </w:tcPr>
          <w:p w14:paraId="6FD548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8.5</w:t>
            </w:r>
          </w:p>
        </w:tc>
        <w:tc>
          <w:tcPr>
            <w:tcW w:w="191" w:type="dxa"/>
            <w:shd w:val="clear" w:color="auto" w:fill="FFFFFF"/>
            <w:noWrap/>
            <w:tcMar>
              <w:top w:w="15" w:type="dxa"/>
              <w:left w:w="0" w:type="dxa"/>
              <w:bottom w:w="0" w:type="dxa"/>
              <w:right w:w="15" w:type="dxa"/>
            </w:tcMar>
            <w:vAlign w:val="bottom"/>
            <w:hideMark/>
          </w:tcPr>
          <w:p w14:paraId="644428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5D4ED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4B216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0" w:type="dxa"/>
            <w:shd w:val="clear" w:color="auto" w:fill="FFFFFF"/>
            <w:noWrap/>
            <w:tcMar>
              <w:top w:w="15" w:type="dxa"/>
              <w:left w:w="0" w:type="dxa"/>
              <w:bottom w:w="0" w:type="dxa"/>
              <w:right w:w="15" w:type="dxa"/>
            </w:tcMar>
            <w:vAlign w:val="bottom"/>
            <w:hideMark/>
          </w:tcPr>
          <w:p w14:paraId="6F0F48B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91" w:type="dxa"/>
            <w:shd w:val="clear" w:color="auto" w:fill="FFFFFF"/>
            <w:noWrap/>
            <w:tcMar>
              <w:top w:w="15" w:type="dxa"/>
              <w:left w:w="0" w:type="dxa"/>
              <w:bottom w:w="0" w:type="dxa"/>
              <w:right w:w="15" w:type="dxa"/>
            </w:tcMar>
            <w:vAlign w:val="bottom"/>
            <w:hideMark/>
          </w:tcPr>
          <w:p w14:paraId="38666B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502" w:type="dxa"/>
            <w:shd w:val="clear" w:color="auto" w:fill="FFFFFF"/>
            <w:tcMar>
              <w:top w:w="15" w:type="dxa"/>
              <w:left w:w="0" w:type="dxa"/>
              <w:bottom w:w="0" w:type="dxa"/>
              <w:right w:w="15" w:type="dxa"/>
            </w:tcMar>
            <w:vAlign w:val="bottom"/>
            <w:hideMark/>
          </w:tcPr>
          <w:p w14:paraId="4C3F9C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pp</w:t>
            </w:r>
          </w:p>
        </w:tc>
      </w:tr>
      <w:tr w:rsidR="00AC4931" w:rsidRPr="00AC4931" w14:paraId="3A085210" w14:textId="77777777" w:rsidTr="00AC4931">
        <w:tc>
          <w:tcPr>
            <w:tcW w:w="11516" w:type="dxa"/>
            <w:shd w:val="clear" w:color="auto" w:fill="CFF0FC"/>
            <w:tcMar>
              <w:top w:w="15" w:type="dxa"/>
              <w:left w:w="0" w:type="dxa"/>
              <w:bottom w:w="0" w:type="dxa"/>
              <w:right w:w="15" w:type="dxa"/>
            </w:tcMar>
            <w:hideMark/>
          </w:tcPr>
          <w:p w14:paraId="74606A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 attributable to controlling interest</w:t>
            </w:r>
            <w:r w:rsidRPr="00AC4931">
              <w:rPr>
                <w:rFonts w:ascii="Arial" w:eastAsia="宋体" w:hAnsi="Arial" w:cs="Arial"/>
                <w:color w:val="000000"/>
                <w:kern w:val="0"/>
                <w:sz w:val="18"/>
                <w:szCs w:val="18"/>
                <w:vertAlign w:val="superscript"/>
              </w:rPr>
              <w:t>3)</w:t>
            </w:r>
          </w:p>
        </w:tc>
        <w:tc>
          <w:tcPr>
            <w:tcW w:w="191" w:type="dxa"/>
            <w:shd w:val="clear" w:color="auto" w:fill="CFF0FC"/>
            <w:noWrap/>
            <w:tcMar>
              <w:top w:w="15" w:type="dxa"/>
              <w:left w:w="0" w:type="dxa"/>
              <w:bottom w:w="0" w:type="dxa"/>
              <w:right w:w="15" w:type="dxa"/>
            </w:tcMar>
            <w:vAlign w:val="bottom"/>
            <w:hideMark/>
          </w:tcPr>
          <w:p w14:paraId="31EFE7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CFF0FC"/>
            <w:noWrap/>
            <w:tcMar>
              <w:top w:w="15" w:type="dxa"/>
              <w:left w:w="0" w:type="dxa"/>
              <w:bottom w:w="0" w:type="dxa"/>
              <w:right w:w="15" w:type="dxa"/>
            </w:tcMar>
            <w:vAlign w:val="bottom"/>
            <w:hideMark/>
          </w:tcPr>
          <w:p w14:paraId="5B9C0C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187</w:t>
            </w:r>
          </w:p>
        </w:tc>
        <w:tc>
          <w:tcPr>
            <w:tcW w:w="191" w:type="dxa"/>
            <w:shd w:val="clear" w:color="auto" w:fill="CFF0FC"/>
            <w:noWrap/>
            <w:tcMar>
              <w:top w:w="15" w:type="dxa"/>
              <w:left w:w="0" w:type="dxa"/>
              <w:bottom w:w="0" w:type="dxa"/>
              <w:right w:w="15" w:type="dxa"/>
            </w:tcMar>
            <w:vAlign w:val="bottom"/>
            <w:hideMark/>
          </w:tcPr>
          <w:p w14:paraId="0C85FB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0B0596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0587B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CFF0FC"/>
            <w:noWrap/>
            <w:tcMar>
              <w:top w:w="15" w:type="dxa"/>
              <w:left w:w="0" w:type="dxa"/>
              <w:bottom w:w="0" w:type="dxa"/>
              <w:right w:w="15" w:type="dxa"/>
            </w:tcMar>
            <w:vAlign w:val="bottom"/>
            <w:hideMark/>
          </w:tcPr>
          <w:p w14:paraId="0D89C71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(60</w:t>
            </w:r>
          </w:p>
        </w:tc>
        <w:tc>
          <w:tcPr>
            <w:tcW w:w="191" w:type="dxa"/>
            <w:shd w:val="clear" w:color="auto" w:fill="CFF0FC"/>
            <w:noWrap/>
            <w:tcMar>
              <w:top w:w="15" w:type="dxa"/>
              <w:left w:w="0" w:type="dxa"/>
              <w:bottom w:w="0" w:type="dxa"/>
              <w:right w:w="15" w:type="dxa"/>
            </w:tcMar>
            <w:vAlign w:val="bottom"/>
            <w:hideMark/>
          </w:tcPr>
          <w:p w14:paraId="79A78D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501" w:type="dxa"/>
            <w:shd w:val="clear" w:color="auto" w:fill="CFF0FC"/>
            <w:tcMar>
              <w:top w:w="15" w:type="dxa"/>
              <w:left w:w="0" w:type="dxa"/>
              <w:bottom w:w="0" w:type="dxa"/>
              <w:right w:w="15" w:type="dxa"/>
            </w:tcMar>
            <w:vAlign w:val="bottom"/>
            <w:hideMark/>
          </w:tcPr>
          <w:p w14:paraId="2BF03B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3A233B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CFF0FC"/>
            <w:noWrap/>
            <w:tcMar>
              <w:top w:w="15" w:type="dxa"/>
              <w:left w:w="0" w:type="dxa"/>
              <w:bottom w:w="0" w:type="dxa"/>
              <w:right w:w="15" w:type="dxa"/>
            </w:tcMar>
            <w:vAlign w:val="bottom"/>
            <w:hideMark/>
          </w:tcPr>
          <w:p w14:paraId="74A5E55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462</w:t>
            </w:r>
          </w:p>
        </w:tc>
        <w:tc>
          <w:tcPr>
            <w:tcW w:w="191" w:type="dxa"/>
            <w:shd w:val="clear" w:color="auto" w:fill="CFF0FC"/>
            <w:noWrap/>
            <w:tcMar>
              <w:top w:w="15" w:type="dxa"/>
              <w:left w:w="0" w:type="dxa"/>
              <w:bottom w:w="0" w:type="dxa"/>
              <w:right w:w="15" w:type="dxa"/>
            </w:tcMar>
            <w:vAlign w:val="bottom"/>
            <w:hideMark/>
          </w:tcPr>
          <w:p w14:paraId="1B5D01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59FED2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FE7E6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0" w:type="dxa"/>
            <w:shd w:val="clear" w:color="auto" w:fill="CFF0FC"/>
            <w:noWrap/>
            <w:tcMar>
              <w:top w:w="15" w:type="dxa"/>
              <w:left w:w="0" w:type="dxa"/>
              <w:bottom w:w="0" w:type="dxa"/>
              <w:right w:w="15" w:type="dxa"/>
            </w:tcMar>
            <w:vAlign w:val="bottom"/>
            <w:hideMark/>
          </w:tcPr>
          <w:p w14:paraId="1E947C0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91" w:type="dxa"/>
            <w:shd w:val="clear" w:color="auto" w:fill="CFF0FC"/>
            <w:noWrap/>
            <w:tcMar>
              <w:top w:w="15" w:type="dxa"/>
              <w:left w:w="0" w:type="dxa"/>
              <w:bottom w:w="0" w:type="dxa"/>
              <w:right w:w="15" w:type="dxa"/>
            </w:tcMar>
            <w:vAlign w:val="bottom"/>
            <w:hideMark/>
          </w:tcPr>
          <w:p w14:paraId="4167F5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502" w:type="dxa"/>
            <w:shd w:val="clear" w:color="auto" w:fill="CFF0FC"/>
            <w:tcMar>
              <w:top w:w="15" w:type="dxa"/>
              <w:left w:w="0" w:type="dxa"/>
              <w:bottom w:w="0" w:type="dxa"/>
              <w:right w:w="15" w:type="dxa"/>
            </w:tcMar>
            <w:vAlign w:val="bottom"/>
            <w:hideMark/>
          </w:tcPr>
          <w:p w14:paraId="4C38CC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725DBA9" w14:textId="77777777" w:rsidTr="00AC4931">
        <w:tc>
          <w:tcPr>
            <w:tcW w:w="11516" w:type="dxa"/>
            <w:shd w:val="clear" w:color="auto" w:fill="FFFFFF"/>
            <w:tcMar>
              <w:top w:w="15" w:type="dxa"/>
              <w:left w:w="0" w:type="dxa"/>
              <w:bottom w:w="0" w:type="dxa"/>
              <w:right w:w="15" w:type="dxa"/>
            </w:tcMar>
            <w:hideMark/>
          </w:tcPr>
          <w:p w14:paraId="6C40F4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Earnings per share</w:t>
            </w:r>
            <w:r w:rsidRPr="00AC4931">
              <w:rPr>
                <w:rFonts w:ascii="Arial" w:eastAsia="宋体" w:hAnsi="Arial" w:cs="Arial"/>
                <w:color w:val="000000"/>
                <w:kern w:val="0"/>
                <w:sz w:val="18"/>
                <w:szCs w:val="18"/>
                <w:vertAlign w:val="superscript"/>
              </w:rPr>
              <w:t>2)</w:t>
            </w:r>
          </w:p>
        </w:tc>
        <w:tc>
          <w:tcPr>
            <w:tcW w:w="191" w:type="dxa"/>
            <w:shd w:val="clear" w:color="auto" w:fill="FFFFFF"/>
            <w:noWrap/>
            <w:tcMar>
              <w:top w:w="15" w:type="dxa"/>
              <w:left w:w="0" w:type="dxa"/>
              <w:bottom w:w="0" w:type="dxa"/>
              <w:right w:w="15" w:type="dxa"/>
            </w:tcMar>
            <w:vAlign w:val="bottom"/>
            <w:hideMark/>
          </w:tcPr>
          <w:p w14:paraId="12E042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FFFFFF"/>
            <w:noWrap/>
            <w:tcMar>
              <w:top w:w="15" w:type="dxa"/>
              <w:left w:w="0" w:type="dxa"/>
              <w:bottom w:w="0" w:type="dxa"/>
              <w:right w:w="15" w:type="dxa"/>
            </w:tcMar>
            <w:vAlign w:val="bottom"/>
            <w:hideMark/>
          </w:tcPr>
          <w:p w14:paraId="40674BA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w:t>
            </w:r>
          </w:p>
        </w:tc>
        <w:tc>
          <w:tcPr>
            <w:tcW w:w="191" w:type="dxa"/>
            <w:shd w:val="clear" w:color="auto" w:fill="FFFFFF"/>
            <w:noWrap/>
            <w:tcMar>
              <w:top w:w="15" w:type="dxa"/>
              <w:left w:w="0" w:type="dxa"/>
              <w:bottom w:w="0" w:type="dxa"/>
              <w:right w:w="15" w:type="dxa"/>
            </w:tcMar>
            <w:vAlign w:val="bottom"/>
            <w:hideMark/>
          </w:tcPr>
          <w:p w14:paraId="55CD69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4449EA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2B7E3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FFFFFF"/>
            <w:noWrap/>
            <w:tcMar>
              <w:top w:w="15" w:type="dxa"/>
              <w:left w:w="0" w:type="dxa"/>
              <w:bottom w:w="0" w:type="dxa"/>
              <w:right w:w="15" w:type="dxa"/>
            </w:tcMar>
            <w:vAlign w:val="bottom"/>
            <w:hideMark/>
          </w:tcPr>
          <w:p w14:paraId="43B12BC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(60</w:t>
            </w:r>
          </w:p>
        </w:tc>
        <w:tc>
          <w:tcPr>
            <w:tcW w:w="191" w:type="dxa"/>
            <w:shd w:val="clear" w:color="auto" w:fill="FFFFFF"/>
            <w:noWrap/>
            <w:tcMar>
              <w:top w:w="15" w:type="dxa"/>
              <w:left w:w="0" w:type="dxa"/>
              <w:bottom w:w="0" w:type="dxa"/>
              <w:right w:w="15" w:type="dxa"/>
            </w:tcMar>
            <w:vAlign w:val="bottom"/>
            <w:hideMark/>
          </w:tcPr>
          <w:p w14:paraId="7EEA7D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501" w:type="dxa"/>
            <w:shd w:val="clear" w:color="auto" w:fill="FFFFFF"/>
            <w:tcMar>
              <w:top w:w="15" w:type="dxa"/>
              <w:left w:w="0" w:type="dxa"/>
              <w:bottom w:w="0" w:type="dxa"/>
              <w:right w:w="15" w:type="dxa"/>
            </w:tcMar>
            <w:vAlign w:val="bottom"/>
            <w:hideMark/>
          </w:tcPr>
          <w:p w14:paraId="04CCB8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3CE184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FFFFFF"/>
            <w:noWrap/>
            <w:tcMar>
              <w:top w:w="15" w:type="dxa"/>
              <w:left w:w="0" w:type="dxa"/>
              <w:bottom w:w="0" w:type="dxa"/>
              <w:right w:w="15" w:type="dxa"/>
            </w:tcMar>
            <w:vAlign w:val="bottom"/>
            <w:hideMark/>
          </w:tcPr>
          <w:p w14:paraId="329A4F0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5.29</w:t>
            </w:r>
          </w:p>
        </w:tc>
        <w:tc>
          <w:tcPr>
            <w:tcW w:w="191" w:type="dxa"/>
            <w:shd w:val="clear" w:color="auto" w:fill="FFFFFF"/>
            <w:noWrap/>
            <w:tcMar>
              <w:top w:w="15" w:type="dxa"/>
              <w:left w:w="0" w:type="dxa"/>
              <w:bottom w:w="0" w:type="dxa"/>
              <w:right w:w="15" w:type="dxa"/>
            </w:tcMar>
            <w:vAlign w:val="bottom"/>
            <w:hideMark/>
          </w:tcPr>
          <w:p w14:paraId="64D6B4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1BE8E6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0E68C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0" w:type="dxa"/>
            <w:shd w:val="clear" w:color="auto" w:fill="FFFFFF"/>
            <w:noWrap/>
            <w:tcMar>
              <w:top w:w="15" w:type="dxa"/>
              <w:left w:w="0" w:type="dxa"/>
              <w:bottom w:w="0" w:type="dxa"/>
              <w:right w:w="15" w:type="dxa"/>
            </w:tcMar>
            <w:vAlign w:val="bottom"/>
            <w:hideMark/>
          </w:tcPr>
          <w:p w14:paraId="37AC152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91" w:type="dxa"/>
            <w:shd w:val="clear" w:color="auto" w:fill="FFFFFF"/>
            <w:noWrap/>
            <w:tcMar>
              <w:top w:w="15" w:type="dxa"/>
              <w:left w:w="0" w:type="dxa"/>
              <w:bottom w:w="0" w:type="dxa"/>
              <w:right w:w="15" w:type="dxa"/>
            </w:tcMar>
            <w:vAlign w:val="bottom"/>
            <w:hideMark/>
          </w:tcPr>
          <w:p w14:paraId="5FB38D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502" w:type="dxa"/>
            <w:shd w:val="clear" w:color="auto" w:fill="FFFFFF"/>
            <w:tcMar>
              <w:top w:w="15" w:type="dxa"/>
              <w:left w:w="0" w:type="dxa"/>
              <w:bottom w:w="0" w:type="dxa"/>
              <w:right w:w="15" w:type="dxa"/>
            </w:tcMar>
            <w:vAlign w:val="bottom"/>
            <w:hideMark/>
          </w:tcPr>
          <w:p w14:paraId="06481A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6B6D2AF" w14:textId="77777777" w:rsidTr="00AC4931">
        <w:tc>
          <w:tcPr>
            <w:tcW w:w="11516" w:type="dxa"/>
            <w:shd w:val="clear" w:color="auto" w:fill="CFF0FC"/>
            <w:tcMar>
              <w:top w:w="15" w:type="dxa"/>
              <w:left w:w="0" w:type="dxa"/>
              <w:bottom w:w="0" w:type="dxa"/>
              <w:right w:w="15" w:type="dxa"/>
            </w:tcMar>
            <w:hideMark/>
          </w:tcPr>
          <w:p w14:paraId="226894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cash provided by operating activities</w:t>
            </w:r>
            <w:r w:rsidRPr="00AC4931">
              <w:rPr>
                <w:rFonts w:ascii="Arial" w:eastAsia="宋体" w:hAnsi="Arial" w:cs="Arial"/>
                <w:color w:val="000000"/>
                <w:kern w:val="0"/>
                <w:sz w:val="18"/>
                <w:szCs w:val="18"/>
                <w:vertAlign w:val="superscript"/>
              </w:rPr>
              <w:t>3)</w:t>
            </w:r>
          </w:p>
        </w:tc>
        <w:tc>
          <w:tcPr>
            <w:tcW w:w="191" w:type="dxa"/>
            <w:shd w:val="clear" w:color="auto" w:fill="CFF0FC"/>
            <w:noWrap/>
            <w:tcMar>
              <w:top w:w="15" w:type="dxa"/>
              <w:left w:w="0" w:type="dxa"/>
              <w:bottom w:w="0" w:type="dxa"/>
              <w:right w:w="15" w:type="dxa"/>
            </w:tcMar>
            <w:vAlign w:val="bottom"/>
            <w:hideMark/>
          </w:tcPr>
          <w:p w14:paraId="210840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CFF0FC"/>
            <w:noWrap/>
            <w:tcMar>
              <w:top w:w="15" w:type="dxa"/>
              <w:left w:w="0" w:type="dxa"/>
              <w:bottom w:w="0" w:type="dxa"/>
              <w:right w:w="15" w:type="dxa"/>
            </w:tcMar>
            <w:vAlign w:val="bottom"/>
            <w:hideMark/>
          </w:tcPr>
          <w:p w14:paraId="54A5587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849</w:t>
            </w:r>
          </w:p>
        </w:tc>
        <w:tc>
          <w:tcPr>
            <w:tcW w:w="191" w:type="dxa"/>
            <w:shd w:val="clear" w:color="auto" w:fill="CFF0FC"/>
            <w:noWrap/>
            <w:tcMar>
              <w:top w:w="15" w:type="dxa"/>
              <w:left w:w="0" w:type="dxa"/>
              <w:bottom w:w="0" w:type="dxa"/>
              <w:right w:w="15" w:type="dxa"/>
            </w:tcMar>
            <w:vAlign w:val="bottom"/>
            <w:hideMark/>
          </w:tcPr>
          <w:p w14:paraId="66402C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6F009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1A075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CFF0FC"/>
            <w:noWrap/>
            <w:tcMar>
              <w:top w:w="15" w:type="dxa"/>
              <w:left w:w="0" w:type="dxa"/>
              <w:bottom w:w="0" w:type="dxa"/>
              <w:right w:w="15" w:type="dxa"/>
            </w:tcMar>
            <w:vAlign w:val="bottom"/>
            <w:hideMark/>
          </w:tcPr>
          <w:p w14:paraId="03CC977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w:t>
            </w:r>
          </w:p>
        </w:tc>
        <w:tc>
          <w:tcPr>
            <w:tcW w:w="191" w:type="dxa"/>
            <w:shd w:val="clear" w:color="auto" w:fill="CFF0FC"/>
            <w:noWrap/>
            <w:tcMar>
              <w:top w:w="15" w:type="dxa"/>
              <w:left w:w="0" w:type="dxa"/>
              <w:bottom w:w="0" w:type="dxa"/>
              <w:right w:w="15" w:type="dxa"/>
            </w:tcMar>
            <w:vAlign w:val="bottom"/>
            <w:hideMark/>
          </w:tcPr>
          <w:p w14:paraId="5ADBC0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501" w:type="dxa"/>
            <w:shd w:val="clear" w:color="auto" w:fill="CFF0FC"/>
            <w:tcMar>
              <w:top w:w="15" w:type="dxa"/>
              <w:left w:w="0" w:type="dxa"/>
              <w:bottom w:w="0" w:type="dxa"/>
              <w:right w:w="15" w:type="dxa"/>
            </w:tcMar>
            <w:vAlign w:val="bottom"/>
            <w:hideMark/>
          </w:tcPr>
          <w:p w14:paraId="3B7393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5BFA99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CFF0FC"/>
            <w:noWrap/>
            <w:tcMar>
              <w:top w:w="15" w:type="dxa"/>
              <w:left w:w="0" w:type="dxa"/>
              <w:bottom w:w="0" w:type="dxa"/>
              <w:right w:w="15" w:type="dxa"/>
            </w:tcMar>
            <w:vAlign w:val="bottom"/>
            <w:hideMark/>
          </w:tcPr>
          <w:p w14:paraId="37EB6EB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641</w:t>
            </w:r>
          </w:p>
        </w:tc>
        <w:tc>
          <w:tcPr>
            <w:tcW w:w="191" w:type="dxa"/>
            <w:shd w:val="clear" w:color="auto" w:fill="CFF0FC"/>
            <w:noWrap/>
            <w:tcMar>
              <w:top w:w="15" w:type="dxa"/>
              <w:left w:w="0" w:type="dxa"/>
              <w:bottom w:w="0" w:type="dxa"/>
              <w:right w:w="15" w:type="dxa"/>
            </w:tcMar>
            <w:vAlign w:val="bottom"/>
            <w:hideMark/>
          </w:tcPr>
          <w:p w14:paraId="5E035E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24CAC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28211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0" w:type="dxa"/>
            <w:shd w:val="clear" w:color="auto" w:fill="CFF0FC"/>
            <w:noWrap/>
            <w:tcMar>
              <w:top w:w="15" w:type="dxa"/>
              <w:left w:w="0" w:type="dxa"/>
              <w:bottom w:w="0" w:type="dxa"/>
              <w:right w:w="15" w:type="dxa"/>
            </w:tcMar>
            <w:vAlign w:val="bottom"/>
            <w:hideMark/>
          </w:tcPr>
          <w:p w14:paraId="22E255A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w:t>
            </w:r>
          </w:p>
        </w:tc>
        <w:tc>
          <w:tcPr>
            <w:tcW w:w="191" w:type="dxa"/>
            <w:shd w:val="clear" w:color="auto" w:fill="CFF0FC"/>
            <w:noWrap/>
            <w:tcMar>
              <w:top w:w="15" w:type="dxa"/>
              <w:left w:w="0" w:type="dxa"/>
              <w:bottom w:w="0" w:type="dxa"/>
              <w:right w:w="15" w:type="dxa"/>
            </w:tcMar>
            <w:vAlign w:val="bottom"/>
            <w:hideMark/>
          </w:tcPr>
          <w:p w14:paraId="5FFD2B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502" w:type="dxa"/>
            <w:shd w:val="clear" w:color="auto" w:fill="CFF0FC"/>
            <w:tcMar>
              <w:top w:w="15" w:type="dxa"/>
              <w:left w:w="0" w:type="dxa"/>
              <w:bottom w:w="0" w:type="dxa"/>
              <w:right w:w="15" w:type="dxa"/>
            </w:tcMar>
            <w:vAlign w:val="bottom"/>
            <w:hideMark/>
          </w:tcPr>
          <w:p w14:paraId="0E8A32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962D54C" w14:textId="77777777" w:rsidTr="00AC4931">
        <w:tc>
          <w:tcPr>
            <w:tcW w:w="11516" w:type="dxa"/>
            <w:shd w:val="clear" w:color="auto" w:fill="FFFFFF"/>
            <w:tcMar>
              <w:top w:w="15" w:type="dxa"/>
              <w:left w:w="0" w:type="dxa"/>
              <w:bottom w:w="0" w:type="dxa"/>
              <w:right w:w="15" w:type="dxa"/>
            </w:tcMar>
            <w:hideMark/>
          </w:tcPr>
          <w:p w14:paraId="0EBD73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Return on capital employed, %</w:t>
            </w:r>
          </w:p>
        </w:tc>
        <w:tc>
          <w:tcPr>
            <w:tcW w:w="191" w:type="dxa"/>
            <w:shd w:val="clear" w:color="auto" w:fill="FFFFFF"/>
            <w:noWrap/>
            <w:tcMar>
              <w:top w:w="15" w:type="dxa"/>
              <w:left w:w="0" w:type="dxa"/>
              <w:bottom w:w="0" w:type="dxa"/>
              <w:right w:w="15" w:type="dxa"/>
            </w:tcMar>
            <w:vAlign w:val="bottom"/>
            <w:hideMark/>
          </w:tcPr>
          <w:p w14:paraId="14F437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FFFFFF"/>
            <w:noWrap/>
            <w:tcMar>
              <w:top w:w="15" w:type="dxa"/>
              <w:left w:w="0" w:type="dxa"/>
              <w:bottom w:w="0" w:type="dxa"/>
              <w:right w:w="15" w:type="dxa"/>
            </w:tcMar>
            <w:vAlign w:val="bottom"/>
            <w:hideMark/>
          </w:tcPr>
          <w:p w14:paraId="780DB18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10.4</w:t>
            </w:r>
          </w:p>
        </w:tc>
        <w:tc>
          <w:tcPr>
            <w:tcW w:w="191" w:type="dxa"/>
            <w:shd w:val="clear" w:color="auto" w:fill="FFFFFF"/>
            <w:noWrap/>
            <w:tcMar>
              <w:top w:w="15" w:type="dxa"/>
              <w:left w:w="0" w:type="dxa"/>
              <w:bottom w:w="0" w:type="dxa"/>
              <w:right w:w="15" w:type="dxa"/>
            </w:tcMar>
            <w:vAlign w:val="bottom"/>
            <w:hideMark/>
          </w:tcPr>
          <w:p w14:paraId="405F69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75659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6C5AF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FFFFFF"/>
            <w:noWrap/>
            <w:tcMar>
              <w:top w:w="15" w:type="dxa"/>
              <w:left w:w="0" w:type="dxa"/>
              <w:bottom w:w="0" w:type="dxa"/>
              <w:right w:w="15" w:type="dxa"/>
            </w:tcMar>
            <w:vAlign w:val="bottom"/>
            <w:hideMark/>
          </w:tcPr>
          <w:p w14:paraId="58FC9E2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(9.3</w:t>
            </w:r>
          </w:p>
        </w:tc>
        <w:tc>
          <w:tcPr>
            <w:tcW w:w="191" w:type="dxa"/>
            <w:shd w:val="clear" w:color="auto" w:fill="FFFFFF"/>
            <w:noWrap/>
            <w:tcMar>
              <w:top w:w="15" w:type="dxa"/>
              <w:left w:w="0" w:type="dxa"/>
              <w:bottom w:w="0" w:type="dxa"/>
              <w:right w:w="15" w:type="dxa"/>
            </w:tcMar>
            <w:vAlign w:val="bottom"/>
            <w:hideMark/>
          </w:tcPr>
          <w:p w14:paraId="6E4B14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501" w:type="dxa"/>
            <w:shd w:val="clear" w:color="auto" w:fill="FFFFFF"/>
            <w:tcMar>
              <w:top w:w="15" w:type="dxa"/>
              <w:left w:w="0" w:type="dxa"/>
              <w:bottom w:w="0" w:type="dxa"/>
              <w:right w:w="15" w:type="dxa"/>
            </w:tcMar>
            <w:vAlign w:val="bottom"/>
            <w:hideMark/>
          </w:tcPr>
          <w:p w14:paraId="514E37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pp</w:t>
            </w:r>
          </w:p>
        </w:tc>
        <w:tc>
          <w:tcPr>
            <w:tcW w:w="191" w:type="dxa"/>
            <w:shd w:val="clear" w:color="auto" w:fill="FFFFFF"/>
            <w:noWrap/>
            <w:tcMar>
              <w:top w:w="15" w:type="dxa"/>
              <w:left w:w="0" w:type="dxa"/>
              <w:bottom w:w="0" w:type="dxa"/>
              <w:right w:w="15" w:type="dxa"/>
            </w:tcMar>
            <w:vAlign w:val="bottom"/>
            <w:hideMark/>
          </w:tcPr>
          <w:p w14:paraId="40A1F9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29" w:type="dxa"/>
            <w:shd w:val="clear" w:color="auto" w:fill="FFFFFF"/>
            <w:noWrap/>
            <w:tcMar>
              <w:top w:w="15" w:type="dxa"/>
              <w:left w:w="0" w:type="dxa"/>
              <w:bottom w:w="0" w:type="dxa"/>
              <w:right w:w="15" w:type="dxa"/>
            </w:tcMar>
            <w:vAlign w:val="bottom"/>
            <w:hideMark/>
          </w:tcPr>
          <w:p w14:paraId="20F9541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19.7</w:t>
            </w:r>
          </w:p>
        </w:tc>
        <w:tc>
          <w:tcPr>
            <w:tcW w:w="191" w:type="dxa"/>
            <w:shd w:val="clear" w:color="auto" w:fill="FFFFFF"/>
            <w:noWrap/>
            <w:tcMar>
              <w:top w:w="15" w:type="dxa"/>
              <w:left w:w="0" w:type="dxa"/>
              <w:bottom w:w="0" w:type="dxa"/>
              <w:right w:w="15" w:type="dxa"/>
            </w:tcMar>
            <w:vAlign w:val="bottom"/>
            <w:hideMark/>
          </w:tcPr>
          <w:p w14:paraId="181CB5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05F54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43E00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0" w:type="dxa"/>
            <w:shd w:val="clear" w:color="auto" w:fill="FFFFFF"/>
            <w:noWrap/>
            <w:tcMar>
              <w:top w:w="15" w:type="dxa"/>
              <w:left w:w="0" w:type="dxa"/>
              <w:bottom w:w="0" w:type="dxa"/>
              <w:right w:w="15" w:type="dxa"/>
            </w:tcMar>
            <w:vAlign w:val="bottom"/>
            <w:hideMark/>
          </w:tcPr>
          <w:p w14:paraId="5992C83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w:t>
            </w:r>
          </w:p>
        </w:tc>
        <w:tc>
          <w:tcPr>
            <w:tcW w:w="191" w:type="dxa"/>
            <w:shd w:val="clear" w:color="auto" w:fill="FFFFFF"/>
            <w:noWrap/>
            <w:tcMar>
              <w:top w:w="15" w:type="dxa"/>
              <w:left w:w="0" w:type="dxa"/>
              <w:bottom w:w="0" w:type="dxa"/>
              <w:right w:w="15" w:type="dxa"/>
            </w:tcMar>
            <w:vAlign w:val="bottom"/>
            <w:hideMark/>
          </w:tcPr>
          <w:p w14:paraId="6F185D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502" w:type="dxa"/>
            <w:shd w:val="clear" w:color="auto" w:fill="FFFFFF"/>
            <w:tcMar>
              <w:top w:w="15" w:type="dxa"/>
              <w:left w:w="0" w:type="dxa"/>
              <w:bottom w:w="0" w:type="dxa"/>
              <w:right w:w="15" w:type="dxa"/>
            </w:tcMar>
            <w:vAlign w:val="bottom"/>
            <w:hideMark/>
          </w:tcPr>
          <w:p w14:paraId="14BB1D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pp</w:t>
            </w:r>
          </w:p>
        </w:tc>
      </w:tr>
    </w:tbl>
    <w:p w14:paraId="0F9DB441" w14:textId="77777777" w:rsidR="00AC4931" w:rsidRPr="00AC4931" w:rsidRDefault="00AC4931" w:rsidP="00AC4931">
      <w:pPr>
        <w:widowControl/>
        <w:ind w:left="919" w:hanging="546"/>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049356DB" w14:textId="77777777" w:rsidTr="00AC4931">
        <w:tc>
          <w:tcPr>
            <w:tcW w:w="919" w:type="dxa"/>
            <w:noWrap/>
            <w:hideMark/>
          </w:tcPr>
          <w:p w14:paraId="3018EDD1"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47683A5A"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Reported figures impacted by costs for capacity alignments, antitrust related matters and for 2019 by separation costs. See section Items affecting comparability and Notes 3, 12 and 18 to the Consolidated Financial Statements included herein.</w:t>
            </w:r>
          </w:p>
        </w:tc>
      </w:tr>
      <w:tr w:rsidR="00AC4931" w:rsidRPr="00AC4931" w14:paraId="214A5E6D" w14:textId="77777777" w:rsidTr="00AC4931">
        <w:tc>
          <w:tcPr>
            <w:tcW w:w="919" w:type="dxa"/>
            <w:noWrap/>
            <w:hideMark/>
          </w:tcPr>
          <w:p w14:paraId="2377BFF7"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w:t>
            </w:r>
          </w:p>
        </w:tc>
        <w:tc>
          <w:tcPr>
            <w:tcW w:w="0" w:type="auto"/>
            <w:hideMark/>
          </w:tcPr>
          <w:p w14:paraId="440C273E"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Assuming dilution and net of treasury shares.</w:t>
            </w:r>
          </w:p>
        </w:tc>
      </w:tr>
    </w:tbl>
    <w:p w14:paraId="3D153A77"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3A569DDE" w14:textId="77777777" w:rsidTr="00AC4931">
        <w:tc>
          <w:tcPr>
            <w:tcW w:w="919" w:type="dxa"/>
            <w:noWrap/>
            <w:hideMark/>
          </w:tcPr>
          <w:p w14:paraId="7270A9EA"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3)</w:t>
            </w:r>
          </w:p>
        </w:tc>
        <w:tc>
          <w:tcPr>
            <w:tcW w:w="0" w:type="auto"/>
            <w:hideMark/>
          </w:tcPr>
          <w:p w14:paraId="6733692C"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Including EC antitrust payment of $203 million in 2019.</w:t>
            </w:r>
          </w:p>
        </w:tc>
      </w:tr>
    </w:tbl>
    <w:p w14:paraId="27F3222B" w14:textId="77777777" w:rsidR="00AC4931" w:rsidRPr="00AC4931" w:rsidRDefault="00AC4931" w:rsidP="00AC4931">
      <w:pPr>
        <w:widowControl/>
        <w:ind w:left="919" w:hanging="546"/>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3572A144" w14:textId="77777777" w:rsidR="00AC4931" w:rsidRPr="00AC4931" w:rsidRDefault="00AC4931" w:rsidP="00AC4931">
      <w:pPr>
        <w:widowControl/>
        <w:spacing w:before="12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COVID-19 PANDEMIC</w:t>
      </w:r>
    </w:p>
    <w:p w14:paraId="09A178C9"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COVID-19 pandemic had a substantial impact on our operations in the first half year of 2020. In the first quarter the impact was focused on China, where most of our customers’ plants were closed for several weeks in February and operated at low levels in March. In Europe and North America, sales declined substantially in the second half of March as the pandemic led to customer plant closures. A large number of customer plants were closed in April and parts of May, followed by a ramp-up in June. The decline in global LVP and the slow and volatile restart and ramp-up had a significant impact on our sales and profitability in the first six months of 2020. In the second half of the year, we managed to achieve improvements in sales, profitability and cash flow as our cost reduction initiatives and positive sales development more than offset the 0.4% global LVP year over year decline in the second half of the year. According to IHS Markit, global light vehicle production declined by 17% in 2020 vs. 2019.</w:t>
      </w:r>
    </w:p>
    <w:p w14:paraId="12A36AA6"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There were a number of liquidity and management actions undertaken to manage this challenging period. During the first six months of 2020, Autoliv undertook a number of actions to support employee health and safety, corporate liquidity, cash flow, and profitability. Actions included introducing a Smart Start Playbook for safe re-start and ramp-up, investing in employee safety equipment, and re-designing production lines and work places as necessary. Other initiatives included drawing on our Revolving Credit Facility (which is now fully repaid), withdrawing full year guidance (now provided again), extensive use of furloughing, reducing headcount, sharply reducing capital expenditures, close monitoring of working capital, reducing or suspending discretionary spending, and accelerating cost savings initiatives, cancelling the dividend and suspending future dividends, although the Board of Directors will review such suspension on a quarterly basis. Direct COVID-19 related costs, such as personal protective equipment, temporary supplier support, and premium freight was around $10 million in the second quarter, around $5 million in the third quarter and around $5 million in the fourth quarter. Support from governments in connection with furloughing, short-term work weeks, and other similar activities was around $25 million in the second quarter, around $10 million in the third quarter, and around $2 million in the fourth quarter.</w:t>
      </w:r>
    </w:p>
    <w:p w14:paraId="223F1B8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all regions, the automotive industry, including Autoliv, is in different stages of ramp-up of operations. Visibility and predictability of customer demand has improved but is still limited, particularly regarding the sustainability of current demand levels, including the effects on LVP of inventory build-ups, government vehicle subsidies, and the risks of another wave of COVID-19 infections in one or more of the regions where we operate or have customers or suppliers. Although we are not directly affected by current semiconductor supply issues highlighted in December 2020 and January and early February 2021 by several OEMs, it could potentially have a negative impact on LVP in the first half of 2021. We believe some of the production that might be lost in the first half of the year could be recovered in the second</w:t>
      </w:r>
    </w:p>
    <w:p w14:paraId="6A10C15E"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29</w:t>
      </w:r>
    </w:p>
    <w:p w14:paraId="1FD7287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C39081F"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2F9566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2741EF5"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DC08AB7">
          <v:rect id="_x0000_i1056" style="width:0;height:1.5pt" o:hralign="center" o:hrstd="t" o:hrnoshade="t" o:hr="t" fillcolor="black" stroked="f"/>
        </w:pict>
      </w:r>
    </w:p>
    <w:p w14:paraId="7BD474A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08CB1E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09155B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29217CE" w14:textId="77777777" w:rsidR="00AC4931" w:rsidRPr="00AC4931" w:rsidRDefault="00AC4931" w:rsidP="00AC4931">
      <w:pPr>
        <w:widowControl/>
        <w:spacing w:before="24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half of the year. While we continue to focus on health and safety and cost optimization, we are adjusting our production in coordination with our customers and suppliers.</w:t>
      </w:r>
    </w:p>
    <w:p w14:paraId="69A8413B" w14:textId="77777777" w:rsidR="00AC4931" w:rsidRPr="00AC4931" w:rsidRDefault="00AC4931" w:rsidP="00AC4931">
      <w:pPr>
        <w:widowControl/>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t> </w:t>
      </w:r>
    </w:p>
    <w:p w14:paraId="76DB56F6" w14:textId="77777777" w:rsidR="00AC4931" w:rsidRPr="00AC4931" w:rsidRDefault="00AC4931" w:rsidP="00AC4931">
      <w:pPr>
        <w:widowControl/>
        <w:spacing w:before="1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GROWTH IMPACTED BY LIGHT VEHICLE PRODUCTION, SAFETY CONTENT PER VEHICLE AND HIGH ORDER INTAKE</w:t>
      </w:r>
    </w:p>
    <w:p w14:paraId="57A41619"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4CF0AB4D"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The most important driver for Autoliv’s sales is the light vehicle production (LVP). During the past ten years LVP has shown year-over-year growth with the exception of the past three years. During 2020 we experienced deterioration of market conditions as a consequence of the COVID-19 pandemic, resulting in declines of LVP in all regions. The most significant decline in LVP, came in Americas and Europe declining more than 20% with Asia declining more than 10%. Full-year 2020 global LVP declined by around 17%. This came after a 6% decline in 2019.</w:t>
      </w:r>
    </w:p>
    <w:p w14:paraId="47E88A3B"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2242"/>
        <w:gridCol w:w="3140"/>
        <w:gridCol w:w="199"/>
        <w:gridCol w:w="2212"/>
        <w:gridCol w:w="199"/>
        <w:gridCol w:w="377"/>
        <w:gridCol w:w="199"/>
        <w:gridCol w:w="1728"/>
        <w:gridCol w:w="199"/>
        <w:gridCol w:w="377"/>
        <w:gridCol w:w="199"/>
        <w:gridCol w:w="1698"/>
        <w:gridCol w:w="199"/>
        <w:gridCol w:w="377"/>
        <w:gridCol w:w="199"/>
        <w:gridCol w:w="1742"/>
        <w:gridCol w:w="199"/>
        <w:gridCol w:w="377"/>
        <w:gridCol w:w="199"/>
        <w:gridCol w:w="1698"/>
        <w:gridCol w:w="199"/>
        <w:gridCol w:w="377"/>
        <w:gridCol w:w="199"/>
        <w:gridCol w:w="1845"/>
        <w:gridCol w:w="235"/>
      </w:tblGrid>
      <w:tr w:rsidR="00AC4931" w:rsidRPr="00AC4931" w14:paraId="2E0F4522" w14:textId="77777777" w:rsidTr="00AC4931">
        <w:tc>
          <w:tcPr>
            <w:tcW w:w="7833" w:type="dxa"/>
            <w:gridSpan w:val="4"/>
            <w:shd w:val="clear" w:color="auto" w:fill="FFFFFF"/>
            <w:tcMar>
              <w:top w:w="15" w:type="dxa"/>
              <w:left w:w="0" w:type="dxa"/>
              <w:bottom w:w="0" w:type="dxa"/>
              <w:right w:w="15" w:type="dxa"/>
            </w:tcMar>
            <w:vAlign w:val="bottom"/>
            <w:hideMark/>
          </w:tcPr>
          <w:p w14:paraId="3F0BCA6E" w14:textId="77777777" w:rsidR="00AC4931" w:rsidRPr="00AC4931" w:rsidRDefault="00AC4931" w:rsidP="00AC4931">
            <w:pPr>
              <w:widowControl/>
              <w:jc w:val="left"/>
              <w:rPr>
                <w:rFonts w:ascii="Arial" w:eastAsia="宋体" w:hAnsi="Arial" w:cs="Arial" w:hint="eastAsia"/>
                <w:b/>
                <w:bCs/>
                <w:color w:val="000000"/>
                <w:kern w:val="0"/>
                <w:sz w:val="20"/>
                <w:szCs w:val="20"/>
              </w:rPr>
            </w:pPr>
            <w:r w:rsidRPr="00AC4931">
              <w:rPr>
                <w:rFonts w:ascii="Arial" w:eastAsia="宋体" w:hAnsi="Arial" w:cs="Arial"/>
                <w:b/>
                <w:bCs/>
                <w:color w:val="000000"/>
                <w:kern w:val="0"/>
                <w:sz w:val="20"/>
                <w:szCs w:val="20"/>
              </w:rPr>
              <w:t>Light Vehicle Production</w:t>
            </w:r>
            <w:r w:rsidRPr="00AC4931">
              <w:rPr>
                <w:rFonts w:ascii="Arial" w:eastAsia="宋体" w:hAnsi="Arial" w:cs="Arial"/>
                <w:b/>
                <w:bCs/>
                <w:color w:val="000000"/>
                <w:kern w:val="0"/>
                <w:sz w:val="18"/>
                <w:szCs w:val="18"/>
                <w:vertAlign w:val="superscript"/>
              </w:rPr>
              <w:t>1)</w:t>
            </w:r>
          </w:p>
        </w:tc>
        <w:tc>
          <w:tcPr>
            <w:tcW w:w="191" w:type="dxa"/>
            <w:shd w:val="clear" w:color="auto" w:fill="FFFFFF"/>
            <w:noWrap/>
            <w:tcMar>
              <w:top w:w="15" w:type="dxa"/>
              <w:left w:w="0" w:type="dxa"/>
              <w:bottom w:w="0" w:type="dxa"/>
              <w:right w:w="15" w:type="dxa"/>
            </w:tcMar>
            <w:vAlign w:val="bottom"/>
            <w:hideMark/>
          </w:tcPr>
          <w:p w14:paraId="4261C55D"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81" w:type="dxa"/>
            <w:shd w:val="clear" w:color="auto" w:fill="FFFFFF"/>
            <w:tcMar>
              <w:top w:w="15" w:type="dxa"/>
              <w:left w:w="0" w:type="dxa"/>
              <w:bottom w:w="0" w:type="dxa"/>
              <w:right w:w="15" w:type="dxa"/>
            </w:tcMar>
            <w:vAlign w:val="bottom"/>
            <w:hideMark/>
          </w:tcPr>
          <w:p w14:paraId="3BDD4DBD"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3FC140B"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683" w:type="dxa"/>
            <w:shd w:val="clear" w:color="auto" w:fill="FFFFFF"/>
            <w:noWrap/>
            <w:tcMar>
              <w:top w:w="15" w:type="dxa"/>
              <w:left w:w="0" w:type="dxa"/>
              <w:bottom w:w="0" w:type="dxa"/>
              <w:right w:w="15" w:type="dxa"/>
            </w:tcMar>
            <w:vAlign w:val="bottom"/>
            <w:hideMark/>
          </w:tcPr>
          <w:p w14:paraId="6899AF4D"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AE71DD9"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81" w:type="dxa"/>
            <w:shd w:val="clear" w:color="auto" w:fill="FFFFFF"/>
            <w:tcMar>
              <w:top w:w="15" w:type="dxa"/>
              <w:left w:w="0" w:type="dxa"/>
              <w:bottom w:w="0" w:type="dxa"/>
              <w:right w:w="15" w:type="dxa"/>
            </w:tcMar>
            <w:vAlign w:val="bottom"/>
            <w:hideMark/>
          </w:tcPr>
          <w:p w14:paraId="3F70F7DB"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BE1674B"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683" w:type="dxa"/>
            <w:shd w:val="clear" w:color="auto" w:fill="FFFFFF"/>
            <w:noWrap/>
            <w:tcMar>
              <w:top w:w="15" w:type="dxa"/>
              <w:left w:w="0" w:type="dxa"/>
              <w:bottom w:w="0" w:type="dxa"/>
              <w:right w:w="15" w:type="dxa"/>
            </w:tcMar>
            <w:vAlign w:val="bottom"/>
            <w:hideMark/>
          </w:tcPr>
          <w:p w14:paraId="4144A72D"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1CE37CD"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81" w:type="dxa"/>
            <w:shd w:val="clear" w:color="auto" w:fill="FFFFFF"/>
            <w:tcMar>
              <w:top w:w="15" w:type="dxa"/>
              <w:left w:w="0" w:type="dxa"/>
              <w:bottom w:w="0" w:type="dxa"/>
              <w:right w:w="15" w:type="dxa"/>
            </w:tcMar>
            <w:vAlign w:val="bottom"/>
            <w:hideMark/>
          </w:tcPr>
          <w:p w14:paraId="5F3F6DC4"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F62DE2F"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683" w:type="dxa"/>
            <w:shd w:val="clear" w:color="auto" w:fill="FFFFFF"/>
            <w:noWrap/>
            <w:tcMar>
              <w:top w:w="15" w:type="dxa"/>
              <w:left w:w="0" w:type="dxa"/>
              <w:bottom w:w="0" w:type="dxa"/>
              <w:right w:w="15" w:type="dxa"/>
            </w:tcMar>
            <w:vAlign w:val="bottom"/>
            <w:hideMark/>
          </w:tcPr>
          <w:p w14:paraId="2EF283B9"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8B41119"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81" w:type="dxa"/>
            <w:shd w:val="clear" w:color="auto" w:fill="FFFFFF"/>
            <w:tcMar>
              <w:top w:w="15" w:type="dxa"/>
              <w:left w:w="0" w:type="dxa"/>
              <w:bottom w:w="0" w:type="dxa"/>
              <w:right w:w="15" w:type="dxa"/>
            </w:tcMar>
            <w:vAlign w:val="bottom"/>
            <w:hideMark/>
          </w:tcPr>
          <w:p w14:paraId="1F00AB19"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7B0AEB4"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683" w:type="dxa"/>
            <w:shd w:val="clear" w:color="auto" w:fill="FFFFFF"/>
            <w:noWrap/>
            <w:tcMar>
              <w:top w:w="15" w:type="dxa"/>
              <w:left w:w="0" w:type="dxa"/>
              <w:bottom w:w="0" w:type="dxa"/>
              <w:right w:w="15" w:type="dxa"/>
            </w:tcMar>
            <w:vAlign w:val="bottom"/>
            <w:hideMark/>
          </w:tcPr>
          <w:p w14:paraId="502B1A50"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09D50B2"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81" w:type="dxa"/>
            <w:shd w:val="clear" w:color="auto" w:fill="FFFFFF"/>
            <w:tcMar>
              <w:top w:w="15" w:type="dxa"/>
              <w:left w:w="0" w:type="dxa"/>
              <w:bottom w:w="0" w:type="dxa"/>
              <w:right w:w="15" w:type="dxa"/>
            </w:tcMar>
            <w:vAlign w:val="bottom"/>
            <w:hideMark/>
          </w:tcPr>
          <w:p w14:paraId="4E2D8A24"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41959E0"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683" w:type="dxa"/>
            <w:shd w:val="clear" w:color="auto" w:fill="FFFFFF"/>
            <w:noWrap/>
            <w:tcMar>
              <w:top w:w="15" w:type="dxa"/>
              <w:left w:w="0" w:type="dxa"/>
              <w:bottom w:w="0" w:type="dxa"/>
              <w:right w:w="15" w:type="dxa"/>
            </w:tcMar>
            <w:vAlign w:val="bottom"/>
            <w:hideMark/>
          </w:tcPr>
          <w:p w14:paraId="1B99B534"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222" w:type="dxa"/>
            <w:shd w:val="clear" w:color="auto" w:fill="FFFFFF"/>
            <w:noWrap/>
            <w:tcMar>
              <w:top w:w="15" w:type="dxa"/>
              <w:left w:w="0" w:type="dxa"/>
              <w:bottom w:w="0" w:type="dxa"/>
              <w:right w:w="15" w:type="dxa"/>
            </w:tcMar>
            <w:vAlign w:val="bottom"/>
            <w:hideMark/>
          </w:tcPr>
          <w:p w14:paraId="72C942A9"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r w:rsidR="00AC4931" w:rsidRPr="00AC4931" w14:paraId="269D11A1" w14:textId="77777777" w:rsidTr="00AC4931">
        <w:tc>
          <w:tcPr>
            <w:tcW w:w="2260" w:type="dxa"/>
            <w:shd w:val="clear" w:color="auto" w:fill="FFFFFF"/>
            <w:tcMar>
              <w:top w:w="15" w:type="dxa"/>
              <w:left w:w="0" w:type="dxa"/>
              <w:bottom w:w="0" w:type="dxa"/>
              <w:right w:w="15" w:type="dxa"/>
            </w:tcMar>
            <w:vAlign w:val="center"/>
            <w:hideMark/>
          </w:tcPr>
          <w:p w14:paraId="1ADBE70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3155" w:type="dxa"/>
            <w:shd w:val="clear" w:color="auto" w:fill="FFFFFF"/>
            <w:tcMar>
              <w:top w:w="15" w:type="dxa"/>
              <w:left w:w="0" w:type="dxa"/>
              <w:bottom w:w="0" w:type="dxa"/>
              <w:right w:w="15" w:type="dxa"/>
            </w:tcMar>
            <w:vAlign w:val="center"/>
            <w:hideMark/>
          </w:tcPr>
          <w:p w14:paraId="013A711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4894" w:type="dxa"/>
            <w:gridSpan w:val="6"/>
            <w:tcBorders>
              <w:bottom w:val="single" w:sz="6" w:space="0" w:color="000000"/>
            </w:tcBorders>
            <w:shd w:val="clear" w:color="auto" w:fill="FFFFFF"/>
            <w:tcMar>
              <w:top w:w="15" w:type="dxa"/>
              <w:left w:w="0" w:type="dxa"/>
              <w:bottom w:w="0" w:type="dxa"/>
              <w:right w:w="15" w:type="dxa"/>
            </w:tcMar>
            <w:vAlign w:val="center"/>
            <w:hideMark/>
          </w:tcPr>
          <w:p w14:paraId="3A11B47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center"/>
            <w:hideMark/>
          </w:tcPr>
          <w:p w14:paraId="5444C75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81" w:type="dxa"/>
            <w:shd w:val="clear" w:color="auto" w:fill="FFFFFF"/>
            <w:tcMar>
              <w:top w:w="15" w:type="dxa"/>
              <w:left w:w="0" w:type="dxa"/>
              <w:bottom w:w="0" w:type="dxa"/>
              <w:right w:w="15" w:type="dxa"/>
            </w:tcMar>
            <w:vAlign w:val="center"/>
            <w:hideMark/>
          </w:tcPr>
          <w:p w14:paraId="6D9F596C"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4395" w:type="dxa"/>
            <w:gridSpan w:val="6"/>
            <w:tcBorders>
              <w:bottom w:val="single" w:sz="6" w:space="0" w:color="000000"/>
            </w:tcBorders>
            <w:shd w:val="clear" w:color="auto" w:fill="FFFFFF"/>
            <w:tcMar>
              <w:top w:w="15" w:type="dxa"/>
              <w:left w:w="0" w:type="dxa"/>
              <w:bottom w:w="0" w:type="dxa"/>
              <w:right w:w="15" w:type="dxa"/>
            </w:tcMar>
            <w:vAlign w:val="center"/>
            <w:hideMark/>
          </w:tcPr>
          <w:p w14:paraId="15366CC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1" w:type="dxa"/>
            <w:shd w:val="clear" w:color="auto" w:fill="FFFFFF"/>
            <w:noWrap/>
            <w:tcMar>
              <w:top w:w="15" w:type="dxa"/>
              <w:left w:w="0" w:type="dxa"/>
              <w:bottom w:w="0" w:type="dxa"/>
              <w:right w:w="15" w:type="dxa"/>
            </w:tcMar>
            <w:vAlign w:val="center"/>
            <w:hideMark/>
          </w:tcPr>
          <w:p w14:paraId="63F7374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81" w:type="dxa"/>
            <w:shd w:val="clear" w:color="auto" w:fill="FFFFFF"/>
            <w:tcMar>
              <w:top w:w="15" w:type="dxa"/>
              <w:left w:w="0" w:type="dxa"/>
              <w:bottom w:w="0" w:type="dxa"/>
              <w:right w:w="15" w:type="dxa"/>
            </w:tcMar>
            <w:vAlign w:val="center"/>
            <w:hideMark/>
          </w:tcPr>
          <w:p w14:paraId="1E11633C"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4395" w:type="dxa"/>
            <w:gridSpan w:val="6"/>
            <w:tcBorders>
              <w:bottom w:val="single" w:sz="6" w:space="0" w:color="000000"/>
            </w:tcBorders>
            <w:shd w:val="clear" w:color="auto" w:fill="FFFFFF"/>
            <w:tcMar>
              <w:top w:w="15" w:type="dxa"/>
              <w:left w:w="0" w:type="dxa"/>
              <w:bottom w:w="0" w:type="dxa"/>
              <w:right w:w="15" w:type="dxa"/>
            </w:tcMar>
            <w:vAlign w:val="center"/>
            <w:hideMark/>
          </w:tcPr>
          <w:p w14:paraId="1C18BB9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Change '20 vs ´19</w:t>
            </w:r>
          </w:p>
        </w:tc>
        <w:tc>
          <w:tcPr>
            <w:tcW w:w="222" w:type="dxa"/>
            <w:shd w:val="clear" w:color="auto" w:fill="FFFFFF"/>
            <w:noWrap/>
            <w:tcMar>
              <w:top w:w="15" w:type="dxa"/>
              <w:left w:w="0" w:type="dxa"/>
              <w:bottom w:w="0" w:type="dxa"/>
              <w:right w:w="15" w:type="dxa"/>
            </w:tcMar>
            <w:vAlign w:val="center"/>
            <w:hideMark/>
          </w:tcPr>
          <w:p w14:paraId="7BE1F5B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C90FBF2" w14:textId="77777777" w:rsidTr="00AC4931">
        <w:tc>
          <w:tcPr>
            <w:tcW w:w="2260" w:type="dxa"/>
            <w:shd w:val="clear" w:color="auto" w:fill="FFFFFF"/>
            <w:tcMar>
              <w:top w:w="15" w:type="dxa"/>
              <w:left w:w="0" w:type="dxa"/>
              <w:bottom w:w="0" w:type="dxa"/>
              <w:right w:w="15" w:type="dxa"/>
            </w:tcMar>
            <w:vAlign w:val="center"/>
            <w:hideMark/>
          </w:tcPr>
          <w:p w14:paraId="72BA095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3155" w:type="dxa"/>
            <w:shd w:val="clear" w:color="auto" w:fill="FFFFFF"/>
            <w:tcMar>
              <w:top w:w="15" w:type="dxa"/>
              <w:left w:w="0" w:type="dxa"/>
              <w:bottom w:w="0" w:type="dxa"/>
              <w:right w:w="15" w:type="dxa"/>
            </w:tcMar>
            <w:vAlign w:val="center"/>
            <w:hideMark/>
          </w:tcPr>
          <w:p w14:paraId="6605C6E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38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6ACFDB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(000´)</w:t>
            </w:r>
          </w:p>
          <w:p w14:paraId="358E0EE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units</w:t>
            </w:r>
          </w:p>
        </w:tc>
        <w:tc>
          <w:tcPr>
            <w:tcW w:w="191" w:type="dxa"/>
            <w:shd w:val="clear" w:color="auto" w:fill="FFFFFF"/>
            <w:noWrap/>
            <w:tcMar>
              <w:top w:w="15" w:type="dxa"/>
              <w:left w:w="0" w:type="dxa"/>
              <w:bottom w:w="0" w:type="dxa"/>
              <w:right w:w="15" w:type="dxa"/>
            </w:tcMar>
            <w:vAlign w:val="bottom"/>
            <w:hideMark/>
          </w:tcPr>
          <w:p w14:paraId="25DD867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81" w:type="dxa"/>
            <w:tcBorders>
              <w:top w:val="single" w:sz="6" w:space="0" w:color="000000"/>
            </w:tcBorders>
            <w:shd w:val="clear" w:color="auto" w:fill="FFFFFF"/>
            <w:tcMar>
              <w:top w:w="15" w:type="dxa"/>
              <w:left w:w="0" w:type="dxa"/>
              <w:bottom w:w="0" w:type="dxa"/>
              <w:right w:w="15" w:type="dxa"/>
            </w:tcMar>
            <w:vAlign w:val="bottom"/>
            <w:hideMark/>
          </w:tcPr>
          <w:p w14:paraId="3E7C239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8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6E906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global</w:t>
            </w:r>
          </w:p>
        </w:tc>
        <w:tc>
          <w:tcPr>
            <w:tcW w:w="191" w:type="dxa"/>
            <w:shd w:val="clear" w:color="auto" w:fill="FFFFFF"/>
            <w:noWrap/>
            <w:tcMar>
              <w:top w:w="15" w:type="dxa"/>
              <w:left w:w="0" w:type="dxa"/>
              <w:bottom w:w="0" w:type="dxa"/>
              <w:right w:w="15" w:type="dxa"/>
            </w:tcMar>
            <w:vAlign w:val="bottom"/>
            <w:hideMark/>
          </w:tcPr>
          <w:p w14:paraId="1BA6A7D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81" w:type="dxa"/>
            <w:shd w:val="clear" w:color="auto" w:fill="FFFFFF"/>
            <w:tcMar>
              <w:top w:w="15" w:type="dxa"/>
              <w:left w:w="0" w:type="dxa"/>
              <w:bottom w:w="0" w:type="dxa"/>
              <w:right w:w="15" w:type="dxa"/>
            </w:tcMar>
            <w:vAlign w:val="bottom"/>
            <w:hideMark/>
          </w:tcPr>
          <w:p w14:paraId="6382D16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8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A9446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(000´)</w:t>
            </w:r>
          </w:p>
          <w:p w14:paraId="74B0E16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units</w:t>
            </w:r>
          </w:p>
        </w:tc>
        <w:tc>
          <w:tcPr>
            <w:tcW w:w="191" w:type="dxa"/>
            <w:shd w:val="clear" w:color="auto" w:fill="FFFFFF"/>
            <w:noWrap/>
            <w:tcMar>
              <w:top w:w="15" w:type="dxa"/>
              <w:left w:w="0" w:type="dxa"/>
              <w:bottom w:w="0" w:type="dxa"/>
              <w:right w:w="15" w:type="dxa"/>
            </w:tcMar>
            <w:vAlign w:val="bottom"/>
            <w:hideMark/>
          </w:tcPr>
          <w:p w14:paraId="40C5088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81" w:type="dxa"/>
            <w:tcBorders>
              <w:top w:val="single" w:sz="6" w:space="0" w:color="000000"/>
            </w:tcBorders>
            <w:shd w:val="clear" w:color="auto" w:fill="FFFFFF"/>
            <w:tcMar>
              <w:top w:w="15" w:type="dxa"/>
              <w:left w:w="0" w:type="dxa"/>
              <w:bottom w:w="0" w:type="dxa"/>
              <w:right w:w="15" w:type="dxa"/>
            </w:tcMar>
            <w:vAlign w:val="bottom"/>
            <w:hideMark/>
          </w:tcPr>
          <w:p w14:paraId="61E5460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8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BBBD8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global</w:t>
            </w:r>
          </w:p>
        </w:tc>
        <w:tc>
          <w:tcPr>
            <w:tcW w:w="191" w:type="dxa"/>
            <w:shd w:val="clear" w:color="auto" w:fill="FFFFFF"/>
            <w:noWrap/>
            <w:tcMar>
              <w:top w:w="15" w:type="dxa"/>
              <w:left w:w="0" w:type="dxa"/>
              <w:bottom w:w="0" w:type="dxa"/>
              <w:right w:w="15" w:type="dxa"/>
            </w:tcMar>
            <w:vAlign w:val="bottom"/>
            <w:hideMark/>
          </w:tcPr>
          <w:p w14:paraId="4463A99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81" w:type="dxa"/>
            <w:shd w:val="clear" w:color="auto" w:fill="FFFFFF"/>
            <w:tcMar>
              <w:top w:w="15" w:type="dxa"/>
              <w:left w:w="0" w:type="dxa"/>
              <w:bottom w:w="0" w:type="dxa"/>
              <w:right w:w="15" w:type="dxa"/>
            </w:tcMar>
            <w:vAlign w:val="bottom"/>
            <w:hideMark/>
          </w:tcPr>
          <w:p w14:paraId="3E6E81E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8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7AC95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(000´)</w:t>
            </w:r>
          </w:p>
          <w:p w14:paraId="718B1EE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units</w:t>
            </w:r>
          </w:p>
        </w:tc>
        <w:tc>
          <w:tcPr>
            <w:tcW w:w="191" w:type="dxa"/>
            <w:shd w:val="clear" w:color="auto" w:fill="FFFFFF"/>
            <w:noWrap/>
            <w:tcMar>
              <w:top w:w="15" w:type="dxa"/>
              <w:left w:w="0" w:type="dxa"/>
              <w:bottom w:w="0" w:type="dxa"/>
              <w:right w:w="15" w:type="dxa"/>
            </w:tcMar>
            <w:vAlign w:val="bottom"/>
            <w:hideMark/>
          </w:tcPr>
          <w:p w14:paraId="012DF11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81" w:type="dxa"/>
            <w:tcBorders>
              <w:top w:val="single" w:sz="6" w:space="0" w:color="000000"/>
            </w:tcBorders>
            <w:shd w:val="clear" w:color="auto" w:fill="FFFFFF"/>
            <w:tcMar>
              <w:top w:w="15" w:type="dxa"/>
              <w:left w:w="0" w:type="dxa"/>
              <w:bottom w:w="0" w:type="dxa"/>
              <w:right w:w="15" w:type="dxa"/>
            </w:tcMar>
            <w:vAlign w:val="bottom"/>
            <w:hideMark/>
          </w:tcPr>
          <w:p w14:paraId="5A85EEF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8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F2D791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222" w:type="dxa"/>
            <w:shd w:val="clear" w:color="auto" w:fill="FFFFFF"/>
            <w:noWrap/>
            <w:tcMar>
              <w:top w:w="15" w:type="dxa"/>
              <w:left w:w="0" w:type="dxa"/>
              <w:bottom w:w="0" w:type="dxa"/>
              <w:right w:w="15" w:type="dxa"/>
            </w:tcMar>
            <w:vAlign w:val="bottom"/>
            <w:hideMark/>
          </w:tcPr>
          <w:p w14:paraId="6E8C046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3BA7F74" w14:textId="77777777" w:rsidTr="00AC4931">
        <w:tc>
          <w:tcPr>
            <w:tcW w:w="2260" w:type="dxa"/>
            <w:shd w:val="clear" w:color="auto" w:fill="CFF0FC"/>
            <w:tcMar>
              <w:top w:w="15" w:type="dxa"/>
              <w:left w:w="0" w:type="dxa"/>
              <w:bottom w:w="0" w:type="dxa"/>
              <w:right w:w="15" w:type="dxa"/>
            </w:tcMar>
            <w:vAlign w:val="center"/>
            <w:hideMark/>
          </w:tcPr>
          <w:p w14:paraId="311E2C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Americas</w:t>
            </w:r>
          </w:p>
        </w:tc>
        <w:tc>
          <w:tcPr>
            <w:tcW w:w="3155" w:type="dxa"/>
            <w:shd w:val="clear" w:color="auto" w:fill="CFF0FC"/>
            <w:tcMar>
              <w:top w:w="15" w:type="dxa"/>
              <w:left w:w="0" w:type="dxa"/>
              <w:bottom w:w="0" w:type="dxa"/>
              <w:right w:w="15" w:type="dxa"/>
            </w:tcMar>
            <w:vAlign w:val="center"/>
            <w:hideMark/>
          </w:tcPr>
          <w:p w14:paraId="6D9991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center"/>
            <w:hideMark/>
          </w:tcPr>
          <w:p w14:paraId="37759C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82" w:type="dxa"/>
            <w:tcBorders>
              <w:top w:val="single" w:sz="6" w:space="0" w:color="000000"/>
            </w:tcBorders>
            <w:shd w:val="clear" w:color="auto" w:fill="CFF0FC"/>
            <w:noWrap/>
            <w:tcMar>
              <w:top w:w="15" w:type="dxa"/>
              <w:left w:w="0" w:type="dxa"/>
              <w:bottom w:w="0" w:type="dxa"/>
              <w:right w:w="15" w:type="dxa"/>
            </w:tcMar>
            <w:vAlign w:val="center"/>
            <w:hideMark/>
          </w:tcPr>
          <w:p w14:paraId="36072BD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14,184</w:t>
            </w:r>
          </w:p>
        </w:tc>
        <w:tc>
          <w:tcPr>
            <w:tcW w:w="191" w:type="dxa"/>
            <w:shd w:val="clear" w:color="auto" w:fill="CFF0FC"/>
            <w:noWrap/>
            <w:tcMar>
              <w:top w:w="15" w:type="dxa"/>
              <w:left w:w="0" w:type="dxa"/>
              <w:bottom w:w="0" w:type="dxa"/>
              <w:right w:w="15" w:type="dxa"/>
            </w:tcMar>
            <w:vAlign w:val="center"/>
            <w:hideMark/>
          </w:tcPr>
          <w:p w14:paraId="4C2A0F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04AA41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center"/>
            <w:hideMark/>
          </w:tcPr>
          <w:p w14:paraId="12B264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tcBorders>
              <w:top w:val="single" w:sz="6" w:space="0" w:color="000000"/>
            </w:tcBorders>
            <w:shd w:val="clear" w:color="auto" w:fill="CFF0FC"/>
            <w:noWrap/>
            <w:tcMar>
              <w:top w:w="15" w:type="dxa"/>
              <w:left w:w="0" w:type="dxa"/>
              <w:bottom w:w="0" w:type="dxa"/>
              <w:right w:w="15" w:type="dxa"/>
            </w:tcMar>
            <w:vAlign w:val="center"/>
            <w:hideMark/>
          </w:tcPr>
          <w:p w14:paraId="60C910D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91" w:type="dxa"/>
            <w:shd w:val="clear" w:color="auto" w:fill="CFF0FC"/>
            <w:noWrap/>
            <w:tcMar>
              <w:top w:w="15" w:type="dxa"/>
              <w:left w:w="0" w:type="dxa"/>
              <w:bottom w:w="0" w:type="dxa"/>
              <w:right w:w="15" w:type="dxa"/>
            </w:tcMar>
            <w:vAlign w:val="center"/>
            <w:hideMark/>
          </w:tcPr>
          <w:p w14:paraId="1C975C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75B319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center"/>
            <w:hideMark/>
          </w:tcPr>
          <w:p w14:paraId="72ED73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tcBorders>
              <w:top w:val="single" w:sz="6" w:space="0" w:color="000000"/>
            </w:tcBorders>
            <w:shd w:val="clear" w:color="auto" w:fill="CFF0FC"/>
            <w:noWrap/>
            <w:tcMar>
              <w:top w:w="15" w:type="dxa"/>
              <w:left w:w="0" w:type="dxa"/>
              <w:bottom w:w="0" w:type="dxa"/>
              <w:right w:w="15" w:type="dxa"/>
            </w:tcMar>
            <w:vAlign w:val="center"/>
            <w:hideMark/>
          </w:tcPr>
          <w:p w14:paraId="1A6BDB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18,343</w:t>
            </w:r>
          </w:p>
        </w:tc>
        <w:tc>
          <w:tcPr>
            <w:tcW w:w="191" w:type="dxa"/>
            <w:shd w:val="clear" w:color="auto" w:fill="CFF0FC"/>
            <w:noWrap/>
            <w:tcMar>
              <w:top w:w="15" w:type="dxa"/>
              <w:left w:w="0" w:type="dxa"/>
              <w:bottom w:w="0" w:type="dxa"/>
              <w:right w:w="15" w:type="dxa"/>
            </w:tcMar>
            <w:vAlign w:val="center"/>
            <w:hideMark/>
          </w:tcPr>
          <w:p w14:paraId="36C282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5F1C83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center"/>
            <w:hideMark/>
          </w:tcPr>
          <w:p w14:paraId="63FC6F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tcBorders>
              <w:top w:val="single" w:sz="6" w:space="0" w:color="000000"/>
            </w:tcBorders>
            <w:shd w:val="clear" w:color="auto" w:fill="CFF0FC"/>
            <w:noWrap/>
            <w:tcMar>
              <w:top w:w="15" w:type="dxa"/>
              <w:left w:w="0" w:type="dxa"/>
              <w:bottom w:w="0" w:type="dxa"/>
              <w:right w:w="15" w:type="dxa"/>
            </w:tcMar>
            <w:vAlign w:val="center"/>
            <w:hideMark/>
          </w:tcPr>
          <w:p w14:paraId="66414D9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tc>
        <w:tc>
          <w:tcPr>
            <w:tcW w:w="191" w:type="dxa"/>
            <w:shd w:val="clear" w:color="auto" w:fill="CFF0FC"/>
            <w:noWrap/>
            <w:tcMar>
              <w:top w:w="15" w:type="dxa"/>
              <w:left w:w="0" w:type="dxa"/>
              <w:bottom w:w="0" w:type="dxa"/>
              <w:right w:w="15" w:type="dxa"/>
            </w:tcMar>
            <w:vAlign w:val="center"/>
            <w:hideMark/>
          </w:tcPr>
          <w:p w14:paraId="724B52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4E98C5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center"/>
            <w:hideMark/>
          </w:tcPr>
          <w:p w14:paraId="55DD79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tcBorders>
              <w:top w:val="single" w:sz="6" w:space="0" w:color="000000"/>
            </w:tcBorders>
            <w:shd w:val="clear" w:color="auto" w:fill="CFF0FC"/>
            <w:noWrap/>
            <w:tcMar>
              <w:top w:w="15" w:type="dxa"/>
              <w:left w:w="0" w:type="dxa"/>
              <w:bottom w:w="0" w:type="dxa"/>
              <w:right w:w="15" w:type="dxa"/>
            </w:tcMar>
            <w:vAlign w:val="center"/>
            <w:hideMark/>
          </w:tcPr>
          <w:p w14:paraId="2C8227A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(4,159</w:t>
            </w:r>
          </w:p>
        </w:tc>
        <w:tc>
          <w:tcPr>
            <w:tcW w:w="191" w:type="dxa"/>
            <w:shd w:val="clear" w:color="auto" w:fill="CFF0FC"/>
            <w:noWrap/>
            <w:tcMar>
              <w:top w:w="15" w:type="dxa"/>
              <w:left w:w="0" w:type="dxa"/>
              <w:bottom w:w="0" w:type="dxa"/>
              <w:right w:w="15" w:type="dxa"/>
            </w:tcMar>
            <w:vAlign w:val="center"/>
            <w:hideMark/>
          </w:tcPr>
          <w:p w14:paraId="183723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166C1B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center"/>
            <w:hideMark/>
          </w:tcPr>
          <w:p w14:paraId="4C686D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tcBorders>
              <w:top w:val="single" w:sz="6" w:space="0" w:color="000000"/>
            </w:tcBorders>
            <w:shd w:val="clear" w:color="auto" w:fill="CFF0FC"/>
            <w:noWrap/>
            <w:tcMar>
              <w:top w:w="15" w:type="dxa"/>
              <w:left w:w="0" w:type="dxa"/>
              <w:bottom w:w="0" w:type="dxa"/>
              <w:right w:w="15" w:type="dxa"/>
            </w:tcMar>
            <w:vAlign w:val="center"/>
            <w:hideMark/>
          </w:tcPr>
          <w:p w14:paraId="5D48F2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222" w:type="dxa"/>
            <w:shd w:val="clear" w:color="auto" w:fill="CFF0FC"/>
            <w:noWrap/>
            <w:tcMar>
              <w:top w:w="15" w:type="dxa"/>
              <w:left w:w="0" w:type="dxa"/>
              <w:bottom w:w="0" w:type="dxa"/>
              <w:right w:w="15" w:type="dxa"/>
            </w:tcMar>
            <w:vAlign w:val="center"/>
            <w:hideMark/>
          </w:tcPr>
          <w:p w14:paraId="528F6F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DE2D62D" w14:textId="77777777" w:rsidTr="00AC4931">
        <w:tc>
          <w:tcPr>
            <w:tcW w:w="2260" w:type="dxa"/>
            <w:shd w:val="clear" w:color="auto" w:fill="FFFFFF"/>
            <w:tcMar>
              <w:top w:w="15" w:type="dxa"/>
              <w:left w:w="0" w:type="dxa"/>
              <w:bottom w:w="0" w:type="dxa"/>
              <w:right w:w="15" w:type="dxa"/>
            </w:tcMar>
            <w:vAlign w:val="center"/>
            <w:hideMark/>
          </w:tcPr>
          <w:p w14:paraId="04B86A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vAlign w:val="center"/>
            <w:hideMark/>
          </w:tcPr>
          <w:p w14:paraId="31E100A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North America</w:t>
            </w:r>
          </w:p>
        </w:tc>
        <w:tc>
          <w:tcPr>
            <w:tcW w:w="191" w:type="dxa"/>
            <w:shd w:val="clear" w:color="auto" w:fill="FFFFFF"/>
            <w:noWrap/>
            <w:tcMar>
              <w:top w:w="15" w:type="dxa"/>
              <w:left w:w="0" w:type="dxa"/>
              <w:bottom w:w="0" w:type="dxa"/>
              <w:right w:w="15" w:type="dxa"/>
            </w:tcMar>
            <w:vAlign w:val="center"/>
            <w:hideMark/>
          </w:tcPr>
          <w:p w14:paraId="1FE3F5E5"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82" w:type="dxa"/>
            <w:shd w:val="clear" w:color="auto" w:fill="FFFFFF"/>
            <w:noWrap/>
            <w:tcMar>
              <w:top w:w="15" w:type="dxa"/>
              <w:left w:w="0" w:type="dxa"/>
              <w:bottom w:w="0" w:type="dxa"/>
              <w:right w:w="15" w:type="dxa"/>
            </w:tcMar>
            <w:vAlign w:val="center"/>
            <w:hideMark/>
          </w:tcPr>
          <w:p w14:paraId="075D0E2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11,955</w:t>
            </w:r>
          </w:p>
        </w:tc>
        <w:tc>
          <w:tcPr>
            <w:tcW w:w="191" w:type="dxa"/>
            <w:shd w:val="clear" w:color="auto" w:fill="FFFFFF"/>
            <w:noWrap/>
            <w:tcMar>
              <w:top w:w="15" w:type="dxa"/>
              <w:left w:w="0" w:type="dxa"/>
              <w:bottom w:w="0" w:type="dxa"/>
              <w:right w:w="15" w:type="dxa"/>
            </w:tcMar>
            <w:vAlign w:val="center"/>
            <w:hideMark/>
          </w:tcPr>
          <w:p w14:paraId="17F4142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09B6FCC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4C0C56D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106CCD01"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17</w:t>
            </w:r>
          </w:p>
        </w:tc>
        <w:tc>
          <w:tcPr>
            <w:tcW w:w="191" w:type="dxa"/>
            <w:shd w:val="clear" w:color="auto" w:fill="FFFFFF"/>
            <w:noWrap/>
            <w:tcMar>
              <w:top w:w="15" w:type="dxa"/>
              <w:left w:w="0" w:type="dxa"/>
              <w:bottom w:w="0" w:type="dxa"/>
              <w:right w:w="15" w:type="dxa"/>
            </w:tcMar>
            <w:vAlign w:val="center"/>
            <w:hideMark/>
          </w:tcPr>
          <w:p w14:paraId="390150B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0283576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03BCBDB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7AC80C1F"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15,085</w:t>
            </w:r>
          </w:p>
        </w:tc>
        <w:tc>
          <w:tcPr>
            <w:tcW w:w="191" w:type="dxa"/>
            <w:shd w:val="clear" w:color="auto" w:fill="FFFFFF"/>
            <w:noWrap/>
            <w:tcMar>
              <w:top w:w="15" w:type="dxa"/>
              <w:left w:w="0" w:type="dxa"/>
              <w:bottom w:w="0" w:type="dxa"/>
              <w:right w:w="15" w:type="dxa"/>
            </w:tcMar>
            <w:vAlign w:val="center"/>
            <w:hideMark/>
          </w:tcPr>
          <w:p w14:paraId="6785F9E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19D0551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685DA5E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6BB2787D"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18</w:t>
            </w:r>
          </w:p>
        </w:tc>
        <w:tc>
          <w:tcPr>
            <w:tcW w:w="191" w:type="dxa"/>
            <w:shd w:val="clear" w:color="auto" w:fill="FFFFFF"/>
            <w:noWrap/>
            <w:tcMar>
              <w:top w:w="15" w:type="dxa"/>
              <w:left w:w="0" w:type="dxa"/>
              <w:bottom w:w="0" w:type="dxa"/>
              <w:right w:w="15" w:type="dxa"/>
            </w:tcMar>
            <w:vAlign w:val="center"/>
            <w:hideMark/>
          </w:tcPr>
          <w:p w14:paraId="38C550F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04C0E43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7700A1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6E528E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(3,130</w:t>
            </w:r>
          </w:p>
        </w:tc>
        <w:tc>
          <w:tcPr>
            <w:tcW w:w="191" w:type="dxa"/>
            <w:shd w:val="clear" w:color="auto" w:fill="FFFFFF"/>
            <w:noWrap/>
            <w:tcMar>
              <w:top w:w="15" w:type="dxa"/>
              <w:left w:w="0" w:type="dxa"/>
              <w:bottom w:w="0" w:type="dxa"/>
              <w:right w:w="15" w:type="dxa"/>
            </w:tcMar>
            <w:vAlign w:val="center"/>
            <w:hideMark/>
          </w:tcPr>
          <w:p w14:paraId="70344B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212F639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320BC70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08DE71F2"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(21</w:t>
            </w:r>
          </w:p>
        </w:tc>
        <w:tc>
          <w:tcPr>
            <w:tcW w:w="222" w:type="dxa"/>
            <w:shd w:val="clear" w:color="auto" w:fill="FFFFFF"/>
            <w:noWrap/>
            <w:tcMar>
              <w:top w:w="15" w:type="dxa"/>
              <w:left w:w="0" w:type="dxa"/>
              <w:bottom w:w="0" w:type="dxa"/>
              <w:right w:w="15" w:type="dxa"/>
            </w:tcMar>
            <w:vAlign w:val="center"/>
            <w:hideMark/>
          </w:tcPr>
          <w:p w14:paraId="58C5F8B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11836BDD" w14:textId="77777777" w:rsidTr="00AC4931">
        <w:tc>
          <w:tcPr>
            <w:tcW w:w="2260" w:type="dxa"/>
            <w:shd w:val="clear" w:color="auto" w:fill="CFF0FC"/>
            <w:tcMar>
              <w:top w:w="15" w:type="dxa"/>
              <w:left w:w="0" w:type="dxa"/>
              <w:bottom w:w="0" w:type="dxa"/>
              <w:right w:w="15" w:type="dxa"/>
            </w:tcMar>
            <w:vAlign w:val="center"/>
            <w:hideMark/>
          </w:tcPr>
          <w:p w14:paraId="423F4C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CFF0FC"/>
            <w:tcMar>
              <w:top w:w="15" w:type="dxa"/>
              <w:left w:w="0" w:type="dxa"/>
              <w:bottom w:w="0" w:type="dxa"/>
              <w:right w:w="15" w:type="dxa"/>
            </w:tcMar>
            <w:vAlign w:val="center"/>
            <w:hideMark/>
          </w:tcPr>
          <w:p w14:paraId="116491E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South America</w:t>
            </w:r>
          </w:p>
        </w:tc>
        <w:tc>
          <w:tcPr>
            <w:tcW w:w="191" w:type="dxa"/>
            <w:shd w:val="clear" w:color="auto" w:fill="CFF0FC"/>
            <w:noWrap/>
            <w:tcMar>
              <w:top w:w="15" w:type="dxa"/>
              <w:left w:w="0" w:type="dxa"/>
              <w:bottom w:w="0" w:type="dxa"/>
              <w:right w:w="15" w:type="dxa"/>
            </w:tcMar>
            <w:vAlign w:val="center"/>
            <w:hideMark/>
          </w:tcPr>
          <w:p w14:paraId="5A3EE2C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82" w:type="dxa"/>
            <w:shd w:val="clear" w:color="auto" w:fill="CFF0FC"/>
            <w:noWrap/>
            <w:tcMar>
              <w:top w:w="15" w:type="dxa"/>
              <w:left w:w="0" w:type="dxa"/>
              <w:bottom w:w="0" w:type="dxa"/>
              <w:right w:w="15" w:type="dxa"/>
            </w:tcMar>
            <w:vAlign w:val="center"/>
            <w:hideMark/>
          </w:tcPr>
          <w:p w14:paraId="398EB02E"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2,229</w:t>
            </w:r>
          </w:p>
        </w:tc>
        <w:tc>
          <w:tcPr>
            <w:tcW w:w="191" w:type="dxa"/>
            <w:shd w:val="clear" w:color="auto" w:fill="CFF0FC"/>
            <w:noWrap/>
            <w:tcMar>
              <w:top w:w="15" w:type="dxa"/>
              <w:left w:w="0" w:type="dxa"/>
              <w:bottom w:w="0" w:type="dxa"/>
              <w:right w:w="15" w:type="dxa"/>
            </w:tcMar>
            <w:vAlign w:val="center"/>
            <w:hideMark/>
          </w:tcPr>
          <w:p w14:paraId="32099DE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35FC059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206FDED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7EC53F56"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3</w:t>
            </w:r>
          </w:p>
        </w:tc>
        <w:tc>
          <w:tcPr>
            <w:tcW w:w="191" w:type="dxa"/>
            <w:shd w:val="clear" w:color="auto" w:fill="CFF0FC"/>
            <w:noWrap/>
            <w:tcMar>
              <w:top w:w="15" w:type="dxa"/>
              <w:left w:w="0" w:type="dxa"/>
              <w:bottom w:w="0" w:type="dxa"/>
              <w:right w:w="15" w:type="dxa"/>
            </w:tcMar>
            <w:vAlign w:val="center"/>
            <w:hideMark/>
          </w:tcPr>
          <w:p w14:paraId="701BC6E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74AA146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3BDCE1A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23CA56E2"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3,258</w:t>
            </w:r>
          </w:p>
        </w:tc>
        <w:tc>
          <w:tcPr>
            <w:tcW w:w="191" w:type="dxa"/>
            <w:shd w:val="clear" w:color="auto" w:fill="CFF0FC"/>
            <w:noWrap/>
            <w:tcMar>
              <w:top w:w="15" w:type="dxa"/>
              <w:left w:w="0" w:type="dxa"/>
              <w:bottom w:w="0" w:type="dxa"/>
              <w:right w:w="15" w:type="dxa"/>
            </w:tcMar>
            <w:vAlign w:val="center"/>
            <w:hideMark/>
          </w:tcPr>
          <w:p w14:paraId="2473D5F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0AE3877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55CFF4C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25EE8ABA"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4</w:t>
            </w:r>
          </w:p>
        </w:tc>
        <w:tc>
          <w:tcPr>
            <w:tcW w:w="191" w:type="dxa"/>
            <w:shd w:val="clear" w:color="auto" w:fill="CFF0FC"/>
            <w:noWrap/>
            <w:tcMar>
              <w:top w:w="15" w:type="dxa"/>
              <w:left w:w="0" w:type="dxa"/>
              <w:bottom w:w="0" w:type="dxa"/>
              <w:right w:w="15" w:type="dxa"/>
            </w:tcMar>
            <w:vAlign w:val="center"/>
            <w:hideMark/>
          </w:tcPr>
          <w:p w14:paraId="4B4CD4E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5D90081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79925A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7EB34B0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(1,029</w:t>
            </w:r>
          </w:p>
        </w:tc>
        <w:tc>
          <w:tcPr>
            <w:tcW w:w="191" w:type="dxa"/>
            <w:shd w:val="clear" w:color="auto" w:fill="CFF0FC"/>
            <w:noWrap/>
            <w:tcMar>
              <w:top w:w="15" w:type="dxa"/>
              <w:left w:w="0" w:type="dxa"/>
              <w:bottom w:w="0" w:type="dxa"/>
              <w:right w:w="15" w:type="dxa"/>
            </w:tcMar>
            <w:vAlign w:val="center"/>
            <w:hideMark/>
          </w:tcPr>
          <w:p w14:paraId="3F517D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3444544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3C62C1D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33B289CE"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(32</w:t>
            </w:r>
          </w:p>
        </w:tc>
        <w:tc>
          <w:tcPr>
            <w:tcW w:w="222" w:type="dxa"/>
            <w:shd w:val="clear" w:color="auto" w:fill="CFF0FC"/>
            <w:noWrap/>
            <w:tcMar>
              <w:top w:w="15" w:type="dxa"/>
              <w:left w:w="0" w:type="dxa"/>
              <w:bottom w:w="0" w:type="dxa"/>
              <w:right w:w="15" w:type="dxa"/>
            </w:tcMar>
            <w:vAlign w:val="center"/>
            <w:hideMark/>
          </w:tcPr>
          <w:p w14:paraId="635D689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469041E9" w14:textId="77777777" w:rsidTr="00AC4931">
        <w:tc>
          <w:tcPr>
            <w:tcW w:w="2260" w:type="dxa"/>
            <w:shd w:val="clear" w:color="auto" w:fill="FFFFFF"/>
            <w:tcMar>
              <w:top w:w="15" w:type="dxa"/>
              <w:left w:w="0" w:type="dxa"/>
              <w:bottom w:w="0" w:type="dxa"/>
              <w:right w:w="15" w:type="dxa"/>
            </w:tcMar>
            <w:vAlign w:val="center"/>
            <w:hideMark/>
          </w:tcPr>
          <w:p w14:paraId="79CDB7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Europe</w:t>
            </w:r>
          </w:p>
        </w:tc>
        <w:tc>
          <w:tcPr>
            <w:tcW w:w="3155" w:type="dxa"/>
            <w:shd w:val="clear" w:color="auto" w:fill="FFFFFF"/>
            <w:tcMar>
              <w:top w:w="15" w:type="dxa"/>
              <w:left w:w="0" w:type="dxa"/>
              <w:bottom w:w="0" w:type="dxa"/>
              <w:right w:w="15" w:type="dxa"/>
            </w:tcMar>
            <w:vAlign w:val="center"/>
            <w:hideMark/>
          </w:tcPr>
          <w:p w14:paraId="6402CF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5ACC1D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82" w:type="dxa"/>
            <w:shd w:val="clear" w:color="auto" w:fill="FFFFFF"/>
            <w:noWrap/>
            <w:tcMar>
              <w:top w:w="15" w:type="dxa"/>
              <w:left w:w="0" w:type="dxa"/>
              <w:bottom w:w="0" w:type="dxa"/>
              <w:right w:w="15" w:type="dxa"/>
            </w:tcMar>
            <w:vAlign w:val="center"/>
            <w:hideMark/>
          </w:tcPr>
          <w:p w14:paraId="638DC9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16,461</w:t>
            </w:r>
          </w:p>
        </w:tc>
        <w:tc>
          <w:tcPr>
            <w:tcW w:w="191" w:type="dxa"/>
            <w:shd w:val="clear" w:color="auto" w:fill="FFFFFF"/>
            <w:noWrap/>
            <w:tcMar>
              <w:top w:w="15" w:type="dxa"/>
              <w:left w:w="0" w:type="dxa"/>
              <w:bottom w:w="0" w:type="dxa"/>
              <w:right w:w="15" w:type="dxa"/>
            </w:tcMar>
            <w:vAlign w:val="center"/>
            <w:hideMark/>
          </w:tcPr>
          <w:p w14:paraId="51715C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04FB60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3AAE60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4EB53B7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91" w:type="dxa"/>
            <w:shd w:val="clear" w:color="auto" w:fill="FFFFFF"/>
            <w:noWrap/>
            <w:tcMar>
              <w:top w:w="15" w:type="dxa"/>
              <w:left w:w="0" w:type="dxa"/>
              <w:bottom w:w="0" w:type="dxa"/>
              <w:right w:w="15" w:type="dxa"/>
            </w:tcMar>
            <w:vAlign w:val="center"/>
            <w:hideMark/>
          </w:tcPr>
          <w:p w14:paraId="19B71B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209C2F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22C8BB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09C0FA4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20,994</w:t>
            </w:r>
          </w:p>
        </w:tc>
        <w:tc>
          <w:tcPr>
            <w:tcW w:w="191" w:type="dxa"/>
            <w:shd w:val="clear" w:color="auto" w:fill="FFFFFF"/>
            <w:noWrap/>
            <w:tcMar>
              <w:top w:w="15" w:type="dxa"/>
              <w:left w:w="0" w:type="dxa"/>
              <w:bottom w:w="0" w:type="dxa"/>
              <w:right w:w="15" w:type="dxa"/>
            </w:tcMar>
            <w:vAlign w:val="center"/>
            <w:hideMark/>
          </w:tcPr>
          <w:p w14:paraId="4B4D21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690615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296912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3EE987C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w:t>
            </w:r>
          </w:p>
        </w:tc>
        <w:tc>
          <w:tcPr>
            <w:tcW w:w="191" w:type="dxa"/>
            <w:shd w:val="clear" w:color="auto" w:fill="FFFFFF"/>
            <w:noWrap/>
            <w:tcMar>
              <w:top w:w="15" w:type="dxa"/>
              <w:left w:w="0" w:type="dxa"/>
              <w:bottom w:w="0" w:type="dxa"/>
              <w:right w:w="15" w:type="dxa"/>
            </w:tcMar>
            <w:vAlign w:val="center"/>
            <w:hideMark/>
          </w:tcPr>
          <w:p w14:paraId="200BC1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7E0859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215A7F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27ECCFF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(4,533</w:t>
            </w:r>
          </w:p>
        </w:tc>
        <w:tc>
          <w:tcPr>
            <w:tcW w:w="191" w:type="dxa"/>
            <w:shd w:val="clear" w:color="auto" w:fill="FFFFFF"/>
            <w:noWrap/>
            <w:tcMar>
              <w:top w:w="15" w:type="dxa"/>
              <w:left w:w="0" w:type="dxa"/>
              <w:bottom w:w="0" w:type="dxa"/>
              <w:right w:w="15" w:type="dxa"/>
            </w:tcMar>
            <w:vAlign w:val="center"/>
            <w:hideMark/>
          </w:tcPr>
          <w:p w14:paraId="42F34C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0AD3BA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77B47FB5"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62943145"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(22</w:t>
            </w:r>
          </w:p>
        </w:tc>
        <w:tc>
          <w:tcPr>
            <w:tcW w:w="222" w:type="dxa"/>
            <w:shd w:val="clear" w:color="auto" w:fill="FFFFFF"/>
            <w:noWrap/>
            <w:tcMar>
              <w:top w:w="15" w:type="dxa"/>
              <w:left w:w="0" w:type="dxa"/>
              <w:bottom w:w="0" w:type="dxa"/>
              <w:right w:w="15" w:type="dxa"/>
            </w:tcMar>
            <w:vAlign w:val="center"/>
            <w:hideMark/>
          </w:tcPr>
          <w:p w14:paraId="6A332145"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3F54E474" w14:textId="77777777" w:rsidTr="00AC4931">
        <w:tc>
          <w:tcPr>
            <w:tcW w:w="2260" w:type="dxa"/>
            <w:shd w:val="clear" w:color="auto" w:fill="CFF0FC"/>
            <w:tcMar>
              <w:top w:w="15" w:type="dxa"/>
              <w:left w:w="0" w:type="dxa"/>
              <w:bottom w:w="0" w:type="dxa"/>
              <w:right w:w="15" w:type="dxa"/>
            </w:tcMar>
            <w:vAlign w:val="center"/>
            <w:hideMark/>
          </w:tcPr>
          <w:p w14:paraId="273D6C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Asia</w:t>
            </w:r>
          </w:p>
        </w:tc>
        <w:tc>
          <w:tcPr>
            <w:tcW w:w="3155" w:type="dxa"/>
            <w:shd w:val="clear" w:color="auto" w:fill="CFF0FC"/>
            <w:tcMar>
              <w:top w:w="15" w:type="dxa"/>
              <w:left w:w="0" w:type="dxa"/>
              <w:bottom w:w="0" w:type="dxa"/>
              <w:right w:w="15" w:type="dxa"/>
            </w:tcMar>
            <w:vAlign w:val="center"/>
            <w:hideMark/>
          </w:tcPr>
          <w:p w14:paraId="7A7550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01AB07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82" w:type="dxa"/>
            <w:shd w:val="clear" w:color="auto" w:fill="CFF0FC"/>
            <w:noWrap/>
            <w:tcMar>
              <w:top w:w="15" w:type="dxa"/>
              <w:left w:w="0" w:type="dxa"/>
              <w:bottom w:w="0" w:type="dxa"/>
              <w:right w:w="15" w:type="dxa"/>
            </w:tcMar>
            <w:vAlign w:val="center"/>
            <w:hideMark/>
          </w:tcPr>
          <w:p w14:paraId="1942C0B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39,257</w:t>
            </w:r>
          </w:p>
        </w:tc>
        <w:tc>
          <w:tcPr>
            <w:tcW w:w="191" w:type="dxa"/>
            <w:shd w:val="clear" w:color="auto" w:fill="CFF0FC"/>
            <w:noWrap/>
            <w:tcMar>
              <w:top w:w="15" w:type="dxa"/>
              <w:left w:w="0" w:type="dxa"/>
              <w:bottom w:w="0" w:type="dxa"/>
              <w:right w:w="15" w:type="dxa"/>
            </w:tcMar>
            <w:vAlign w:val="center"/>
            <w:hideMark/>
          </w:tcPr>
          <w:p w14:paraId="30E77C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3BA6EE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0E06AC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3110E32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55</w:t>
            </w:r>
          </w:p>
        </w:tc>
        <w:tc>
          <w:tcPr>
            <w:tcW w:w="191" w:type="dxa"/>
            <w:shd w:val="clear" w:color="auto" w:fill="CFF0FC"/>
            <w:noWrap/>
            <w:tcMar>
              <w:top w:w="15" w:type="dxa"/>
              <w:left w:w="0" w:type="dxa"/>
              <w:bottom w:w="0" w:type="dxa"/>
              <w:right w:w="15" w:type="dxa"/>
            </w:tcMar>
            <w:vAlign w:val="center"/>
            <w:hideMark/>
          </w:tcPr>
          <w:p w14:paraId="6FE733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139E32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36F3A6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3C5293C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44,550</w:t>
            </w:r>
          </w:p>
        </w:tc>
        <w:tc>
          <w:tcPr>
            <w:tcW w:w="191" w:type="dxa"/>
            <w:shd w:val="clear" w:color="auto" w:fill="CFF0FC"/>
            <w:noWrap/>
            <w:tcMar>
              <w:top w:w="15" w:type="dxa"/>
              <w:left w:w="0" w:type="dxa"/>
              <w:bottom w:w="0" w:type="dxa"/>
              <w:right w:w="15" w:type="dxa"/>
            </w:tcMar>
            <w:vAlign w:val="center"/>
            <w:hideMark/>
          </w:tcPr>
          <w:p w14:paraId="46FD52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7F5D69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3D9E3E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7AC2AC5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w:t>
            </w:r>
          </w:p>
        </w:tc>
        <w:tc>
          <w:tcPr>
            <w:tcW w:w="191" w:type="dxa"/>
            <w:shd w:val="clear" w:color="auto" w:fill="CFF0FC"/>
            <w:noWrap/>
            <w:tcMar>
              <w:top w:w="15" w:type="dxa"/>
              <w:left w:w="0" w:type="dxa"/>
              <w:bottom w:w="0" w:type="dxa"/>
              <w:right w:w="15" w:type="dxa"/>
            </w:tcMar>
            <w:vAlign w:val="center"/>
            <w:hideMark/>
          </w:tcPr>
          <w:p w14:paraId="195A67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3C3FFC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7DC2A9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2FEA824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(5,293</w:t>
            </w:r>
          </w:p>
        </w:tc>
        <w:tc>
          <w:tcPr>
            <w:tcW w:w="191" w:type="dxa"/>
            <w:shd w:val="clear" w:color="auto" w:fill="CFF0FC"/>
            <w:noWrap/>
            <w:tcMar>
              <w:top w:w="15" w:type="dxa"/>
              <w:left w:w="0" w:type="dxa"/>
              <w:bottom w:w="0" w:type="dxa"/>
              <w:right w:w="15" w:type="dxa"/>
            </w:tcMar>
            <w:vAlign w:val="center"/>
            <w:hideMark/>
          </w:tcPr>
          <w:p w14:paraId="5295BD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559C8F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722C3A9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25D1470B"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(12</w:t>
            </w:r>
          </w:p>
        </w:tc>
        <w:tc>
          <w:tcPr>
            <w:tcW w:w="222" w:type="dxa"/>
            <w:shd w:val="clear" w:color="auto" w:fill="CFF0FC"/>
            <w:noWrap/>
            <w:tcMar>
              <w:top w:w="15" w:type="dxa"/>
              <w:left w:w="0" w:type="dxa"/>
              <w:bottom w:w="0" w:type="dxa"/>
              <w:right w:w="15" w:type="dxa"/>
            </w:tcMar>
            <w:vAlign w:val="center"/>
            <w:hideMark/>
          </w:tcPr>
          <w:p w14:paraId="689F38D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348C0674" w14:textId="77777777" w:rsidTr="00AC4931">
        <w:tc>
          <w:tcPr>
            <w:tcW w:w="2260" w:type="dxa"/>
            <w:shd w:val="clear" w:color="auto" w:fill="FFFFFF"/>
            <w:tcMar>
              <w:top w:w="15" w:type="dxa"/>
              <w:left w:w="0" w:type="dxa"/>
              <w:bottom w:w="0" w:type="dxa"/>
              <w:right w:w="15" w:type="dxa"/>
            </w:tcMar>
            <w:vAlign w:val="center"/>
            <w:hideMark/>
          </w:tcPr>
          <w:p w14:paraId="36CD07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vAlign w:val="center"/>
            <w:hideMark/>
          </w:tcPr>
          <w:p w14:paraId="7297B11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China</w:t>
            </w:r>
          </w:p>
        </w:tc>
        <w:tc>
          <w:tcPr>
            <w:tcW w:w="191" w:type="dxa"/>
            <w:shd w:val="clear" w:color="auto" w:fill="FFFFFF"/>
            <w:noWrap/>
            <w:tcMar>
              <w:top w:w="15" w:type="dxa"/>
              <w:left w:w="0" w:type="dxa"/>
              <w:bottom w:w="0" w:type="dxa"/>
              <w:right w:w="15" w:type="dxa"/>
            </w:tcMar>
            <w:vAlign w:val="center"/>
            <w:hideMark/>
          </w:tcPr>
          <w:p w14:paraId="407298D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82" w:type="dxa"/>
            <w:shd w:val="clear" w:color="auto" w:fill="FFFFFF"/>
            <w:noWrap/>
            <w:tcMar>
              <w:top w:w="15" w:type="dxa"/>
              <w:left w:w="0" w:type="dxa"/>
              <w:bottom w:w="0" w:type="dxa"/>
              <w:right w:w="15" w:type="dxa"/>
            </w:tcMar>
            <w:vAlign w:val="center"/>
            <w:hideMark/>
          </w:tcPr>
          <w:p w14:paraId="075EABA8"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22,130</w:t>
            </w:r>
          </w:p>
        </w:tc>
        <w:tc>
          <w:tcPr>
            <w:tcW w:w="191" w:type="dxa"/>
            <w:shd w:val="clear" w:color="auto" w:fill="FFFFFF"/>
            <w:noWrap/>
            <w:tcMar>
              <w:top w:w="15" w:type="dxa"/>
              <w:left w:w="0" w:type="dxa"/>
              <w:bottom w:w="0" w:type="dxa"/>
              <w:right w:w="15" w:type="dxa"/>
            </w:tcMar>
            <w:vAlign w:val="center"/>
            <w:hideMark/>
          </w:tcPr>
          <w:p w14:paraId="55EBF1F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57ADA74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3BF845B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3E981470"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31</w:t>
            </w:r>
          </w:p>
        </w:tc>
        <w:tc>
          <w:tcPr>
            <w:tcW w:w="191" w:type="dxa"/>
            <w:shd w:val="clear" w:color="auto" w:fill="FFFFFF"/>
            <w:noWrap/>
            <w:tcMar>
              <w:top w:w="15" w:type="dxa"/>
              <w:left w:w="0" w:type="dxa"/>
              <w:bottom w:w="0" w:type="dxa"/>
              <w:right w:w="15" w:type="dxa"/>
            </w:tcMar>
            <w:vAlign w:val="center"/>
            <w:hideMark/>
          </w:tcPr>
          <w:p w14:paraId="6B54F00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3489AA4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2056C010"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3B12DDDC"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23,292</w:t>
            </w:r>
          </w:p>
        </w:tc>
        <w:tc>
          <w:tcPr>
            <w:tcW w:w="191" w:type="dxa"/>
            <w:shd w:val="clear" w:color="auto" w:fill="FFFFFF"/>
            <w:noWrap/>
            <w:tcMar>
              <w:top w:w="15" w:type="dxa"/>
              <w:left w:w="0" w:type="dxa"/>
              <w:bottom w:w="0" w:type="dxa"/>
              <w:right w:w="15" w:type="dxa"/>
            </w:tcMar>
            <w:vAlign w:val="center"/>
            <w:hideMark/>
          </w:tcPr>
          <w:p w14:paraId="5DD615A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790A054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107A666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42B7CBB2"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27</w:t>
            </w:r>
          </w:p>
        </w:tc>
        <w:tc>
          <w:tcPr>
            <w:tcW w:w="191" w:type="dxa"/>
            <w:shd w:val="clear" w:color="auto" w:fill="FFFFFF"/>
            <w:noWrap/>
            <w:tcMar>
              <w:top w:w="15" w:type="dxa"/>
              <w:left w:w="0" w:type="dxa"/>
              <w:bottom w:w="0" w:type="dxa"/>
              <w:right w:w="15" w:type="dxa"/>
            </w:tcMar>
            <w:vAlign w:val="center"/>
            <w:hideMark/>
          </w:tcPr>
          <w:p w14:paraId="200E47A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5EE093C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68925A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51B9750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(1,162</w:t>
            </w:r>
          </w:p>
        </w:tc>
        <w:tc>
          <w:tcPr>
            <w:tcW w:w="191" w:type="dxa"/>
            <w:shd w:val="clear" w:color="auto" w:fill="FFFFFF"/>
            <w:noWrap/>
            <w:tcMar>
              <w:top w:w="15" w:type="dxa"/>
              <w:left w:w="0" w:type="dxa"/>
              <w:bottom w:w="0" w:type="dxa"/>
              <w:right w:w="15" w:type="dxa"/>
            </w:tcMar>
            <w:vAlign w:val="center"/>
            <w:hideMark/>
          </w:tcPr>
          <w:p w14:paraId="52CA59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37E09DB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3F0F665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4CD546C2"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(5</w:t>
            </w:r>
          </w:p>
        </w:tc>
        <w:tc>
          <w:tcPr>
            <w:tcW w:w="222" w:type="dxa"/>
            <w:shd w:val="clear" w:color="auto" w:fill="FFFFFF"/>
            <w:noWrap/>
            <w:tcMar>
              <w:top w:w="15" w:type="dxa"/>
              <w:left w:w="0" w:type="dxa"/>
              <w:bottom w:w="0" w:type="dxa"/>
              <w:right w:w="15" w:type="dxa"/>
            </w:tcMar>
            <w:vAlign w:val="center"/>
            <w:hideMark/>
          </w:tcPr>
          <w:p w14:paraId="2D085AB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4E5FC5FA" w14:textId="77777777" w:rsidTr="00AC4931">
        <w:tc>
          <w:tcPr>
            <w:tcW w:w="2260" w:type="dxa"/>
            <w:shd w:val="clear" w:color="auto" w:fill="CFF0FC"/>
            <w:tcMar>
              <w:top w:w="15" w:type="dxa"/>
              <w:left w:w="0" w:type="dxa"/>
              <w:bottom w:w="0" w:type="dxa"/>
              <w:right w:w="15" w:type="dxa"/>
            </w:tcMar>
            <w:vAlign w:val="center"/>
            <w:hideMark/>
          </w:tcPr>
          <w:p w14:paraId="7AE054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CFF0FC"/>
            <w:tcMar>
              <w:top w:w="15" w:type="dxa"/>
              <w:left w:w="0" w:type="dxa"/>
              <w:bottom w:w="0" w:type="dxa"/>
              <w:right w:w="15" w:type="dxa"/>
            </w:tcMar>
            <w:vAlign w:val="center"/>
            <w:hideMark/>
          </w:tcPr>
          <w:p w14:paraId="0B26D83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Japan</w:t>
            </w:r>
          </w:p>
        </w:tc>
        <w:tc>
          <w:tcPr>
            <w:tcW w:w="191" w:type="dxa"/>
            <w:shd w:val="clear" w:color="auto" w:fill="CFF0FC"/>
            <w:noWrap/>
            <w:tcMar>
              <w:top w:w="15" w:type="dxa"/>
              <w:left w:w="0" w:type="dxa"/>
              <w:bottom w:w="0" w:type="dxa"/>
              <w:right w:w="15" w:type="dxa"/>
            </w:tcMar>
            <w:vAlign w:val="center"/>
            <w:hideMark/>
          </w:tcPr>
          <w:p w14:paraId="6C40D6B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82" w:type="dxa"/>
            <w:shd w:val="clear" w:color="auto" w:fill="CFF0FC"/>
            <w:noWrap/>
            <w:tcMar>
              <w:top w:w="15" w:type="dxa"/>
              <w:left w:w="0" w:type="dxa"/>
              <w:bottom w:w="0" w:type="dxa"/>
              <w:right w:w="15" w:type="dxa"/>
            </w:tcMar>
            <w:vAlign w:val="center"/>
            <w:hideMark/>
          </w:tcPr>
          <w:p w14:paraId="0E7B3C66"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7,593</w:t>
            </w:r>
          </w:p>
        </w:tc>
        <w:tc>
          <w:tcPr>
            <w:tcW w:w="191" w:type="dxa"/>
            <w:shd w:val="clear" w:color="auto" w:fill="CFF0FC"/>
            <w:noWrap/>
            <w:tcMar>
              <w:top w:w="15" w:type="dxa"/>
              <w:left w:w="0" w:type="dxa"/>
              <w:bottom w:w="0" w:type="dxa"/>
              <w:right w:w="15" w:type="dxa"/>
            </w:tcMar>
            <w:vAlign w:val="center"/>
            <w:hideMark/>
          </w:tcPr>
          <w:p w14:paraId="28C8D4D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3B9945D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021A3DB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43BEC78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11</w:t>
            </w:r>
          </w:p>
        </w:tc>
        <w:tc>
          <w:tcPr>
            <w:tcW w:w="191" w:type="dxa"/>
            <w:shd w:val="clear" w:color="auto" w:fill="CFF0FC"/>
            <w:noWrap/>
            <w:tcMar>
              <w:top w:w="15" w:type="dxa"/>
              <w:left w:w="0" w:type="dxa"/>
              <w:bottom w:w="0" w:type="dxa"/>
              <w:right w:w="15" w:type="dxa"/>
            </w:tcMar>
            <w:vAlign w:val="center"/>
            <w:hideMark/>
          </w:tcPr>
          <w:p w14:paraId="08F8B640"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48746E9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35C2AF2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08C65C6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9,024</w:t>
            </w:r>
          </w:p>
        </w:tc>
        <w:tc>
          <w:tcPr>
            <w:tcW w:w="191" w:type="dxa"/>
            <w:shd w:val="clear" w:color="auto" w:fill="CFF0FC"/>
            <w:noWrap/>
            <w:tcMar>
              <w:top w:w="15" w:type="dxa"/>
              <w:left w:w="0" w:type="dxa"/>
              <w:bottom w:w="0" w:type="dxa"/>
              <w:right w:w="15" w:type="dxa"/>
            </w:tcMar>
            <w:vAlign w:val="center"/>
            <w:hideMark/>
          </w:tcPr>
          <w:p w14:paraId="3CD3070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06C2435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659DE3E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753CEE74"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11</w:t>
            </w:r>
          </w:p>
        </w:tc>
        <w:tc>
          <w:tcPr>
            <w:tcW w:w="191" w:type="dxa"/>
            <w:shd w:val="clear" w:color="auto" w:fill="CFF0FC"/>
            <w:noWrap/>
            <w:tcMar>
              <w:top w:w="15" w:type="dxa"/>
              <w:left w:w="0" w:type="dxa"/>
              <w:bottom w:w="0" w:type="dxa"/>
              <w:right w:w="15" w:type="dxa"/>
            </w:tcMar>
            <w:vAlign w:val="center"/>
            <w:hideMark/>
          </w:tcPr>
          <w:p w14:paraId="3D94DAA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129595C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0F9FF4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066CBF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(1,431</w:t>
            </w:r>
          </w:p>
        </w:tc>
        <w:tc>
          <w:tcPr>
            <w:tcW w:w="191" w:type="dxa"/>
            <w:shd w:val="clear" w:color="auto" w:fill="CFF0FC"/>
            <w:noWrap/>
            <w:tcMar>
              <w:top w:w="15" w:type="dxa"/>
              <w:left w:w="0" w:type="dxa"/>
              <w:bottom w:w="0" w:type="dxa"/>
              <w:right w:w="15" w:type="dxa"/>
            </w:tcMar>
            <w:vAlign w:val="center"/>
            <w:hideMark/>
          </w:tcPr>
          <w:p w14:paraId="14F70B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647CA74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1D2B737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26F8858D"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(16</w:t>
            </w:r>
          </w:p>
        </w:tc>
        <w:tc>
          <w:tcPr>
            <w:tcW w:w="222" w:type="dxa"/>
            <w:shd w:val="clear" w:color="auto" w:fill="CFF0FC"/>
            <w:noWrap/>
            <w:tcMar>
              <w:top w:w="15" w:type="dxa"/>
              <w:left w:w="0" w:type="dxa"/>
              <w:bottom w:w="0" w:type="dxa"/>
              <w:right w:w="15" w:type="dxa"/>
            </w:tcMar>
            <w:vAlign w:val="center"/>
            <w:hideMark/>
          </w:tcPr>
          <w:p w14:paraId="2728415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6DB1AE85" w14:textId="77777777" w:rsidTr="00AC4931">
        <w:tc>
          <w:tcPr>
            <w:tcW w:w="2260" w:type="dxa"/>
            <w:shd w:val="clear" w:color="auto" w:fill="FFFFFF"/>
            <w:tcMar>
              <w:top w:w="15" w:type="dxa"/>
              <w:left w:w="0" w:type="dxa"/>
              <w:bottom w:w="0" w:type="dxa"/>
              <w:right w:w="15" w:type="dxa"/>
            </w:tcMar>
            <w:vAlign w:val="center"/>
            <w:hideMark/>
          </w:tcPr>
          <w:p w14:paraId="4B3AEF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vAlign w:val="center"/>
            <w:hideMark/>
          </w:tcPr>
          <w:p w14:paraId="2EF26AE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South Korea</w:t>
            </w:r>
          </w:p>
        </w:tc>
        <w:tc>
          <w:tcPr>
            <w:tcW w:w="191" w:type="dxa"/>
            <w:shd w:val="clear" w:color="auto" w:fill="FFFFFF"/>
            <w:noWrap/>
            <w:tcMar>
              <w:top w:w="15" w:type="dxa"/>
              <w:left w:w="0" w:type="dxa"/>
              <w:bottom w:w="0" w:type="dxa"/>
              <w:right w:w="15" w:type="dxa"/>
            </w:tcMar>
            <w:vAlign w:val="center"/>
            <w:hideMark/>
          </w:tcPr>
          <w:p w14:paraId="24FC89F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82" w:type="dxa"/>
            <w:shd w:val="clear" w:color="auto" w:fill="FFFFFF"/>
            <w:noWrap/>
            <w:tcMar>
              <w:top w:w="15" w:type="dxa"/>
              <w:left w:w="0" w:type="dxa"/>
              <w:bottom w:w="0" w:type="dxa"/>
              <w:right w:w="15" w:type="dxa"/>
            </w:tcMar>
            <w:vAlign w:val="center"/>
            <w:hideMark/>
          </w:tcPr>
          <w:p w14:paraId="0746C03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3,476</w:t>
            </w:r>
          </w:p>
        </w:tc>
        <w:tc>
          <w:tcPr>
            <w:tcW w:w="191" w:type="dxa"/>
            <w:shd w:val="clear" w:color="auto" w:fill="FFFFFF"/>
            <w:noWrap/>
            <w:tcMar>
              <w:top w:w="15" w:type="dxa"/>
              <w:left w:w="0" w:type="dxa"/>
              <w:bottom w:w="0" w:type="dxa"/>
              <w:right w:w="15" w:type="dxa"/>
            </w:tcMar>
            <w:vAlign w:val="center"/>
            <w:hideMark/>
          </w:tcPr>
          <w:p w14:paraId="40481FB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29F5C2B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543BBD65"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12DDC082"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5</w:t>
            </w:r>
          </w:p>
        </w:tc>
        <w:tc>
          <w:tcPr>
            <w:tcW w:w="191" w:type="dxa"/>
            <w:shd w:val="clear" w:color="auto" w:fill="FFFFFF"/>
            <w:noWrap/>
            <w:tcMar>
              <w:top w:w="15" w:type="dxa"/>
              <w:left w:w="0" w:type="dxa"/>
              <w:bottom w:w="0" w:type="dxa"/>
              <w:right w:w="15" w:type="dxa"/>
            </w:tcMar>
            <w:vAlign w:val="center"/>
            <w:hideMark/>
          </w:tcPr>
          <w:p w14:paraId="602EF585"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048DD54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503C8040"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3C110791"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3,879</w:t>
            </w:r>
          </w:p>
        </w:tc>
        <w:tc>
          <w:tcPr>
            <w:tcW w:w="191" w:type="dxa"/>
            <w:shd w:val="clear" w:color="auto" w:fill="FFFFFF"/>
            <w:noWrap/>
            <w:tcMar>
              <w:top w:w="15" w:type="dxa"/>
              <w:left w:w="0" w:type="dxa"/>
              <w:bottom w:w="0" w:type="dxa"/>
              <w:right w:w="15" w:type="dxa"/>
            </w:tcMar>
            <w:vAlign w:val="center"/>
            <w:hideMark/>
          </w:tcPr>
          <w:p w14:paraId="745C2A3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0ECCEA2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663EE5F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1608A60C"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5</w:t>
            </w:r>
          </w:p>
        </w:tc>
        <w:tc>
          <w:tcPr>
            <w:tcW w:w="191" w:type="dxa"/>
            <w:shd w:val="clear" w:color="auto" w:fill="FFFFFF"/>
            <w:noWrap/>
            <w:tcMar>
              <w:top w:w="15" w:type="dxa"/>
              <w:left w:w="0" w:type="dxa"/>
              <w:bottom w:w="0" w:type="dxa"/>
              <w:right w:w="15" w:type="dxa"/>
            </w:tcMar>
            <w:vAlign w:val="center"/>
            <w:hideMark/>
          </w:tcPr>
          <w:p w14:paraId="64D6DD1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21EDC20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393989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6F605A2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(403</w:t>
            </w:r>
          </w:p>
        </w:tc>
        <w:tc>
          <w:tcPr>
            <w:tcW w:w="191" w:type="dxa"/>
            <w:shd w:val="clear" w:color="auto" w:fill="FFFFFF"/>
            <w:noWrap/>
            <w:tcMar>
              <w:top w:w="15" w:type="dxa"/>
              <w:left w:w="0" w:type="dxa"/>
              <w:bottom w:w="0" w:type="dxa"/>
              <w:right w:w="15" w:type="dxa"/>
            </w:tcMar>
            <w:vAlign w:val="center"/>
            <w:hideMark/>
          </w:tcPr>
          <w:p w14:paraId="5E6F13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6652FD1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18C5018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58D8502A"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(10</w:t>
            </w:r>
          </w:p>
        </w:tc>
        <w:tc>
          <w:tcPr>
            <w:tcW w:w="222" w:type="dxa"/>
            <w:shd w:val="clear" w:color="auto" w:fill="FFFFFF"/>
            <w:noWrap/>
            <w:tcMar>
              <w:top w:w="15" w:type="dxa"/>
              <w:left w:w="0" w:type="dxa"/>
              <w:bottom w:w="0" w:type="dxa"/>
              <w:right w:w="15" w:type="dxa"/>
            </w:tcMar>
            <w:vAlign w:val="center"/>
            <w:hideMark/>
          </w:tcPr>
          <w:p w14:paraId="7D8836F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259F5239" w14:textId="77777777" w:rsidTr="00AC4931">
        <w:tc>
          <w:tcPr>
            <w:tcW w:w="2260" w:type="dxa"/>
            <w:shd w:val="clear" w:color="auto" w:fill="CFF0FC"/>
            <w:tcMar>
              <w:top w:w="15" w:type="dxa"/>
              <w:left w:w="0" w:type="dxa"/>
              <w:bottom w:w="0" w:type="dxa"/>
              <w:right w:w="15" w:type="dxa"/>
            </w:tcMar>
            <w:vAlign w:val="center"/>
            <w:hideMark/>
          </w:tcPr>
          <w:p w14:paraId="548109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CFF0FC"/>
            <w:tcMar>
              <w:top w:w="15" w:type="dxa"/>
              <w:left w:w="0" w:type="dxa"/>
              <w:bottom w:w="0" w:type="dxa"/>
              <w:right w:w="15" w:type="dxa"/>
            </w:tcMar>
            <w:vAlign w:val="center"/>
            <w:hideMark/>
          </w:tcPr>
          <w:p w14:paraId="7563821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India</w:t>
            </w:r>
          </w:p>
        </w:tc>
        <w:tc>
          <w:tcPr>
            <w:tcW w:w="191" w:type="dxa"/>
            <w:shd w:val="clear" w:color="auto" w:fill="CFF0FC"/>
            <w:noWrap/>
            <w:tcMar>
              <w:top w:w="15" w:type="dxa"/>
              <w:left w:w="0" w:type="dxa"/>
              <w:bottom w:w="0" w:type="dxa"/>
              <w:right w:w="15" w:type="dxa"/>
            </w:tcMar>
            <w:vAlign w:val="center"/>
            <w:hideMark/>
          </w:tcPr>
          <w:p w14:paraId="0583091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82" w:type="dxa"/>
            <w:shd w:val="clear" w:color="auto" w:fill="CFF0FC"/>
            <w:noWrap/>
            <w:tcMar>
              <w:top w:w="15" w:type="dxa"/>
              <w:left w:w="0" w:type="dxa"/>
              <w:bottom w:w="0" w:type="dxa"/>
              <w:right w:w="15" w:type="dxa"/>
            </w:tcMar>
            <w:vAlign w:val="center"/>
            <w:hideMark/>
          </w:tcPr>
          <w:p w14:paraId="0F00BC0F"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3,199</w:t>
            </w:r>
          </w:p>
        </w:tc>
        <w:tc>
          <w:tcPr>
            <w:tcW w:w="191" w:type="dxa"/>
            <w:shd w:val="clear" w:color="auto" w:fill="CFF0FC"/>
            <w:noWrap/>
            <w:tcMar>
              <w:top w:w="15" w:type="dxa"/>
              <w:left w:w="0" w:type="dxa"/>
              <w:bottom w:w="0" w:type="dxa"/>
              <w:right w:w="15" w:type="dxa"/>
            </w:tcMar>
            <w:vAlign w:val="center"/>
            <w:hideMark/>
          </w:tcPr>
          <w:p w14:paraId="2A3B32D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3C1B109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7558558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58D72D95"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4</w:t>
            </w:r>
          </w:p>
        </w:tc>
        <w:tc>
          <w:tcPr>
            <w:tcW w:w="191" w:type="dxa"/>
            <w:shd w:val="clear" w:color="auto" w:fill="CFF0FC"/>
            <w:noWrap/>
            <w:tcMar>
              <w:top w:w="15" w:type="dxa"/>
              <w:left w:w="0" w:type="dxa"/>
              <w:bottom w:w="0" w:type="dxa"/>
              <w:right w:w="15" w:type="dxa"/>
            </w:tcMar>
            <w:vAlign w:val="center"/>
            <w:hideMark/>
          </w:tcPr>
          <w:p w14:paraId="51FC96D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62340E5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02174E6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5328096E"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4,168</w:t>
            </w:r>
          </w:p>
        </w:tc>
        <w:tc>
          <w:tcPr>
            <w:tcW w:w="191" w:type="dxa"/>
            <w:shd w:val="clear" w:color="auto" w:fill="CFF0FC"/>
            <w:noWrap/>
            <w:tcMar>
              <w:top w:w="15" w:type="dxa"/>
              <w:left w:w="0" w:type="dxa"/>
              <w:bottom w:w="0" w:type="dxa"/>
              <w:right w:w="15" w:type="dxa"/>
            </w:tcMar>
            <w:vAlign w:val="center"/>
            <w:hideMark/>
          </w:tcPr>
          <w:p w14:paraId="41FEA165"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608287C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0A9F4F8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1CB9F7E2"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5</w:t>
            </w:r>
          </w:p>
        </w:tc>
        <w:tc>
          <w:tcPr>
            <w:tcW w:w="191" w:type="dxa"/>
            <w:shd w:val="clear" w:color="auto" w:fill="CFF0FC"/>
            <w:noWrap/>
            <w:tcMar>
              <w:top w:w="15" w:type="dxa"/>
              <w:left w:w="0" w:type="dxa"/>
              <w:bottom w:w="0" w:type="dxa"/>
              <w:right w:w="15" w:type="dxa"/>
            </w:tcMar>
            <w:vAlign w:val="center"/>
            <w:hideMark/>
          </w:tcPr>
          <w:p w14:paraId="256761C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0A1F16D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65BC00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785E03D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(969</w:t>
            </w:r>
          </w:p>
        </w:tc>
        <w:tc>
          <w:tcPr>
            <w:tcW w:w="191" w:type="dxa"/>
            <w:shd w:val="clear" w:color="auto" w:fill="CFF0FC"/>
            <w:noWrap/>
            <w:tcMar>
              <w:top w:w="15" w:type="dxa"/>
              <w:left w:w="0" w:type="dxa"/>
              <w:bottom w:w="0" w:type="dxa"/>
              <w:right w:w="15" w:type="dxa"/>
            </w:tcMar>
            <w:vAlign w:val="center"/>
            <w:hideMark/>
          </w:tcPr>
          <w:p w14:paraId="49C774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03DE80B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09FBEE2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20EC1E91"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(23</w:t>
            </w:r>
          </w:p>
        </w:tc>
        <w:tc>
          <w:tcPr>
            <w:tcW w:w="222" w:type="dxa"/>
            <w:shd w:val="clear" w:color="auto" w:fill="CFF0FC"/>
            <w:noWrap/>
            <w:tcMar>
              <w:top w:w="15" w:type="dxa"/>
              <w:left w:w="0" w:type="dxa"/>
              <w:bottom w:w="0" w:type="dxa"/>
              <w:right w:w="15" w:type="dxa"/>
            </w:tcMar>
            <w:vAlign w:val="center"/>
            <w:hideMark/>
          </w:tcPr>
          <w:p w14:paraId="1D5D76B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6D59D68B" w14:textId="77777777" w:rsidTr="00AC4931">
        <w:tc>
          <w:tcPr>
            <w:tcW w:w="2260" w:type="dxa"/>
            <w:shd w:val="clear" w:color="auto" w:fill="FFFFFF"/>
            <w:tcMar>
              <w:top w:w="15" w:type="dxa"/>
              <w:left w:w="0" w:type="dxa"/>
              <w:bottom w:w="0" w:type="dxa"/>
              <w:right w:w="15" w:type="dxa"/>
            </w:tcMar>
            <w:vAlign w:val="center"/>
            <w:hideMark/>
          </w:tcPr>
          <w:p w14:paraId="6C221A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55" w:type="dxa"/>
            <w:shd w:val="clear" w:color="auto" w:fill="FFFFFF"/>
            <w:tcMar>
              <w:top w:w="15" w:type="dxa"/>
              <w:left w:w="0" w:type="dxa"/>
              <w:bottom w:w="0" w:type="dxa"/>
              <w:right w:w="15" w:type="dxa"/>
            </w:tcMar>
            <w:vAlign w:val="center"/>
            <w:hideMark/>
          </w:tcPr>
          <w:p w14:paraId="734FC5D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Other Asia</w:t>
            </w:r>
          </w:p>
        </w:tc>
        <w:tc>
          <w:tcPr>
            <w:tcW w:w="191" w:type="dxa"/>
            <w:shd w:val="clear" w:color="auto" w:fill="FFFFFF"/>
            <w:noWrap/>
            <w:tcMar>
              <w:top w:w="15" w:type="dxa"/>
              <w:left w:w="0" w:type="dxa"/>
              <w:bottom w:w="0" w:type="dxa"/>
              <w:right w:w="15" w:type="dxa"/>
            </w:tcMar>
            <w:vAlign w:val="center"/>
            <w:hideMark/>
          </w:tcPr>
          <w:p w14:paraId="566588B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82" w:type="dxa"/>
            <w:shd w:val="clear" w:color="auto" w:fill="FFFFFF"/>
            <w:noWrap/>
            <w:tcMar>
              <w:top w:w="15" w:type="dxa"/>
              <w:left w:w="0" w:type="dxa"/>
              <w:bottom w:w="0" w:type="dxa"/>
              <w:right w:w="15" w:type="dxa"/>
            </w:tcMar>
            <w:vAlign w:val="center"/>
            <w:hideMark/>
          </w:tcPr>
          <w:p w14:paraId="103ADCEE"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2,859</w:t>
            </w:r>
          </w:p>
        </w:tc>
        <w:tc>
          <w:tcPr>
            <w:tcW w:w="191" w:type="dxa"/>
            <w:shd w:val="clear" w:color="auto" w:fill="FFFFFF"/>
            <w:noWrap/>
            <w:tcMar>
              <w:top w:w="15" w:type="dxa"/>
              <w:left w:w="0" w:type="dxa"/>
              <w:bottom w:w="0" w:type="dxa"/>
              <w:right w:w="15" w:type="dxa"/>
            </w:tcMar>
            <w:vAlign w:val="center"/>
            <w:hideMark/>
          </w:tcPr>
          <w:p w14:paraId="3D3A4105"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7EDD3D3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0883915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3A6AE54F"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4</w:t>
            </w:r>
          </w:p>
        </w:tc>
        <w:tc>
          <w:tcPr>
            <w:tcW w:w="191" w:type="dxa"/>
            <w:shd w:val="clear" w:color="auto" w:fill="FFFFFF"/>
            <w:noWrap/>
            <w:tcMar>
              <w:top w:w="15" w:type="dxa"/>
              <w:left w:w="0" w:type="dxa"/>
              <w:bottom w:w="0" w:type="dxa"/>
              <w:right w:w="15" w:type="dxa"/>
            </w:tcMar>
            <w:vAlign w:val="center"/>
            <w:hideMark/>
          </w:tcPr>
          <w:p w14:paraId="31EBDE7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40C2621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7C3A8EB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6D819AFB"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4,187</w:t>
            </w:r>
          </w:p>
        </w:tc>
        <w:tc>
          <w:tcPr>
            <w:tcW w:w="191" w:type="dxa"/>
            <w:shd w:val="clear" w:color="auto" w:fill="FFFFFF"/>
            <w:noWrap/>
            <w:tcMar>
              <w:top w:w="15" w:type="dxa"/>
              <w:left w:w="0" w:type="dxa"/>
              <w:bottom w:w="0" w:type="dxa"/>
              <w:right w:w="15" w:type="dxa"/>
            </w:tcMar>
            <w:vAlign w:val="center"/>
            <w:hideMark/>
          </w:tcPr>
          <w:p w14:paraId="2023784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0BCB428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0FC4B22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07F34BFA"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5</w:t>
            </w:r>
          </w:p>
        </w:tc>
        <w:tc>
          <w:tcPr>
            <w:tcW w:w="191" w:type="dxa"/>
            <w:shd w:val="clear" w:color="auto" w:fill="FFFFFF"/>
            <w:noWrap/>
            <w:tcMar>
              <w:top w:w="15" w:type="dxa"/>
              <w:left w:w="0" w:type="dxa"/>
              <w:bottom w:w="0" w:type="dxa"/>
              <w:right w:w="15" w:type="dxa"/>
            </w:tcMar>
            <w:vAlign w:val="center"/>
            <w:hideMark/>
          </w:tcPr>
          <w:p w14:paraId="1BB6661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3F76BFD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49AA8C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2ED3315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(1,328</w:t>
            </w:r>
          </w:p>
        </w:tc>
        <w:tc>
          <w:tcPr>
            <w:tcW w:w="191" w:type="dxa"/>
            <w:shd w:val="clear" w:color="auto" w:fill="FFFFFF"/>
            <w:noWrap/>
            <w:tcMar>
              <w:top w:w="15" w:type="dxa"/>
              <w:left w:w="0" w:type="dxa"/>
              <w:bottom w:w="0" w:type="dxa"/>
              <w:right w:w="15" w:type="dxa"/>
            </w:tcMar>
            <w:vAlign w:val="center"/>
            <w:hideMark/>
          </w:tcPr>
          <w:p w14:paraId="7719AC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2F0A036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2E30CA1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20C618D2"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(32</w:t>
            </w:r>
          </w:p>
        </w:tc>
        <w:tc>
          <w:tcPr>
            <w:tcW w:w="222" w:type="dxa"/>
            <w:shd w:val="clear" w:color="auto" w:fill="FFFFFF"/>
            <w:noWrap/>
            <w:tcMar>
              <w:top w:w="15" w:type="dxa"/>
              <w:left w:w="0" w:type="dxa"/>
              <w:bottom w:w="0" w:type="dxa"/>
              <w:right w:w="15" w:type="dxa"/>
            </w:tcMar>
            <w:vAlign w:val="center"/>
            <w:hideMark/>
          </w:tcPr>
          <w:p w14:paraId="6AB2EDC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7D668B44" w14:textId="77777777" w:rsidTr="00AC4931">
        <w:tc>
          <w:tcPr>
            <w:tcW w:w="2260" w:type="dxa"/>
            <w:shd w:val="clear" w:color="auto" w:fill="CFF0FC"/>
            <w:tcMar>
              <w:top w:w="15" w:type="dxa"/>
              <w:left w:w="0" w:type="dxa"/>
              <w:bottom w:w="0" w:type="dxa"/>
              <w:right w:w="15" w:type="dxa"/>
            </w:tcMar>
            <w:vAlign w:val="center"/>
            <w:hideMark/>
          </w:tcPr>
          <w:p w14:paraId="2A8883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w:t>
            </w:r>
          </w:p>
        </w:tc>
        <w:tc>
          <w:tcPr>
            <w:tcW w:w="3155" w:type="dxa"/>
            <w:shd w:val="clear" w:color="auto" w:fill="CFF0FC"/>
            <w:tcMar>
              <w:top w:w="15" w:type="dxa"/>
              <w:left w:w="0" w:type="dxa"/>
              <w:bottom w:w="0" w:type="dxa"/>
              <w:right w:w="15" w:type="dxa"/>
            </w:tcMar>
            <w:vAlign w:val="center"/>
            <w:hideMark/>
          </w:tcPr>
          <w:p w14:paraId="521AC9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center"/>
            <w:hideMark/>
          </w:tcPr>
          <w:p w14:paraId="68B7B9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82" w:type="dxa"/>
            <w:tcBorders>
              <w:bottom w:val="single" w:sz="6" w:space="0" w:color="000000"/>
            </w:tcBorders>
            <w:shd w:val="clear" w:color="auto" w:fill="CFF0FC"/>
            <w:noWrap/>
            <w:tcMar>
              <w:top w:w="15" w:type="dxa"/>
              <w:left w:w="0" w:type="dxa"/>
              <w:bottom w:w="0" w:type="dxa"/>
              <w:right w:w="15" w:type="dxa"/>
            </w:tcMar>
            <w:vAlign w:val="center"/>
            <w:hideMark/>
          </w:tcPr>
          <w:p w14:paraId="6B4230C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1,671</w:t>
            </w:r>
          </w:p>
        </w:tc>
        <w:tc>
          <w:tcPr>
            <w:tcW w:w="191" w:type="dxa"/>
            <w:shd w:val="clear" w:color="auto" w:fill="CFF0FC"/>
            <w:noWrap/>
            <w:tcMar>
              <w:top w:w="15" w:type="dxa"/>
              <w:left w:w="0" w:type="dxa"/>
              <w:bottom w:w="0" w:type="dxa"/>
              <w:right w:w="15" w:type="dxa"/>
            </w:tcMar>
            <w:vAlign w:val="center"/>
            <w:hideMark/>
          </w:tcPr>
          <w:p w14:paraId="65576B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65BBB3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6CE3EE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7F41B33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w:t>
            </w:r>
          </w:p>
        </w:tc>
        <w:tc>
          <w:tcPr>
            <w:tcW w:w="191" w:type="dxa"/>
            <w:shd w:val="clear" w:color="auto" w:fill="CFF0FC"/>
            <w:noWrap/>
            <w:tcMar>
              <w:top w:w="15" w:type="dxa"/>
              <w:left w:w="0" w:type="dxa"/>
              <w:bottom w:w="0" w:type="dxa"/>
              <w:right w:w="15" w:type="dxa"/>
            </w:tcMar>
            <w:vAlign w:val="center"/>
            <w:hideMark/>
          </w:tcPr>
          <w:p w14:paraId="168606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2EA2E0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center"/>
            <w:hideMark/>
          </w:tcPr>
          <w:p w14:paraId="399C24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tcBorders>
              <w:bottom w:val="single" w:sz="6" w:space="0" w:color="000000"/>
            </w:tcBorders>
            <w:shd w:val="clear" w:color="auto" w:fill="CFF0FC"/>
            <w:noWrap/>
            <w:tcMar>
              <w:top w:w="15" w:type="dxa"/>
              <w:left w:w="0" w:type="dxa"/>
              <w:bottom w:w="0" w:type="dxa"/>
              <w:right w:w="15" w:type="dxa"/>
            </w:tcMar>
            <w:vAlign w:val="center"/>
            <w:hideMark/>
          </w:tcPr>
          <w:p w14:paraId="3626215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1,975</w:t>
            </w:r>
          </w:p>
        </w:tc>
        <w:tc>
          <w:tcPr>
            <w:tcW w:w="191" w:type="dxa"/>
            <w:shd w:val="clear" w:color="auto" w:fill="CFF0FC"/>
            <w:noWrap/>
            <w:tcMar>
              <w:top w:w="15" w:type="dxa"/>
              <w:left w:w="0" w:type="dxa"/>
              <w:bottom w:w="0" w:type="dxa"/>
              <w:right w:w="15" w:type="dxa"/>
            </w:tcMar>
            <w:vAlign w:val="center"/>
            <w:hideMark/>
          </w:tcPr>
          <w:p w14:paraId="6FD97B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81" w:type="dxa"/>
            <w:shd w:val="clear" w:color="auto" w:fill="CFF0FC"/>
            <w:tcMar>
              <w:top w:w="15" w:type="dxa"/>
              <w:left w:w="0" w:type="dxa"/>
              <w:bottom w:w="0" w:type="dxa"/>
              <w:right w:w="15" w:type="dxa"/>
            </w:tcMar>
            <w:vAlign w:val="center"/>
            <w:hideMark/>
          </w:tcPr>
          <w:p w14:paraId="055316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5F824A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246CAB5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w:t>
            </w:r>
          </w:p>
        </w:tc>
        <w:tc>
          <w:tcPr>
            <w:tcW w:w="191" w:type="dxa"/>
            <w:shd w:val="clear" w:color="auto" w:fill="CFF0FC"/>
            <w:noWrap/>
            <w:tcMar>
              <w:top w:w="15" w:type="dxa"/>
              <w:left w:w="0" w:type="dxa"/>
              <w:bottom w:w="0" w:type="dxa"/>
              <w:right w:w="15" w:type="dxa"/>
            </w:tcMar>
            <w:vAlign w:val="center"/>
            <w:hideMark/>
          </w:tcPr>
          <w:p w14:paraId="77F691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49352A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17A5D9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50A5DA7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(304</w:t>
            </w:r>
          </w:p>
        </w:tc>
        <w:tc>
          <w:tcPr>
            <w:tcW w:w="191" w:type="dxa"/>
            <w:shd w:val="clear" w:color="auto" w:fill="CFF0FC"/>
            <w:noWrap/>
            <w:tcMar>
              <w:top w:w="15" w:type="dxa"/>
              <w:left w:w="0" w:type="dxa"/>
              <w:bottom w:w="0" w:type="dxa"/>
              <w:right w:w="15" w:type="dxa"/>
            </w:tcMar>
            <w:vAlign w:val="center"/>
            <w:hideMark/>
          </w:tcPr>
          <w:p w14:paraId="05BA2B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81" w:type="dxa"/>
            <w:shd w:val="clear" w:color="auto" w:fill="CFF0FC"/>
            <w:tcMar>
              <w:top w:w="15" w:type="dxa"/>
              <w:left w:w="0" w:type="dxa"/>
              <w:bottom w:w="0" w:type="dxa"/>
              <w:right w:w="15" w:type="dxa"/>
            </w:tcMar>
            <w:vAlign w:val="center"/>
            <w:hideMark/>
          </w:tcPr>
          <w:p w14:paraId="52273A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center"/>
            <w:hideMark/>
          </w:tcPr>
          <w:p w14:paraId="45F9BAD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683" w:type="dxa"/>
            <w:shd w:val="clear" w:color="auto" w:fill="CFF0FC"/>
            <w:noWrap/>
            <w:tcMar>
              <w:top w:w="15" w:type="dxa"/>
              <w:left w:w="0" w:type="dxa"/>
              <w:bottom w:w="0" w:type="dxa"/>
              <w:right w:w="15" w:type="dxa"/>
            </w:tcMar>
            <w:vAlign w:val="center"/>
            <w:hideMark/>
          </w:tcPr>
          <w:p w14:paraId="1880E5DB"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(15</w:t>
            </w:r>
          </w:p>
        </w:tc>
        <w:tc>
          <w:tcPr>
            <w:tcW w:w="222" w:type="dxa"/>
            <w:shd w:val="clear" w:color="auto" w:fill="CFF0FC"/>
            <w:noWrap/>
            <w:tcMar>
              <w:top w:w="15" w:type="dxa"/>
              <w:left w:w="0" w:type="dxa"/>
              <w:bottom w:w="0" w:type="dxa"/>
              <w:right w:w="15" w:type="dxa"/>
            </w:tcMar>
            <w:vAlign w:val="center"/>
            <w:hideMark/>
          </w:tcPr>
          <w:p w14:paraId="23FEB4B0"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6A65DFB1" w14:textId="77777777" w:rsidTr="00AC4931">
        <w:tc>
          <w:tcPr>
            <w:tcW w:w="5430" w:type="dxa"/>
            <w:gridSpan w:val="2"/>
            <w:shd w:val="clear" w:color="auto" w:fill="FFFFFF"/>
            <w:tcMar>
              <w:top w:w="15" w:type="dxa"/>
              <w:left w:w="0" w:type="dxa"/>
              <w:bottom w:w="0" w:type="dxa"/>
              <w:right w:w="15" w:type="dxa"/>
            </w:tcMar>
            <w:vAlign w:val="center"/>
            <w:hideMark/>
          </w:tcPr>
          <w:p w14:paraId="61F9ACE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Global Total</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426B2E3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82" w:type="dxa"/>
            <w:tcBorders>
              <w:top w:val="single" w:sz="6" w:space="0" w:color="000000"/>
            </w:tcBorders>
            <w:shd w:val="clear" w:color="auto" w:fill="FFFFFF"/>
            <w:noWrap/>
            <w:tcMar>
              <w:top w:w="15" w:type="dxa"/>
              <w:left w:w="0" w:type="dxa"/>
              <w:bottom w:w="0" w:type="dxa"/>
              <w:right w:w="15" w:type="dxa"/>
            </w:tcMar>
            <w:vAlign w:val="center"/>
            <w:hideMark/>
          </w:tcPr>
          <w:p w14:paraId="24D8464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71,573</w:t>
            </w:r>
          </w:p>
        </w:tc>
        <w:tc>
          <w:tcPr>
            <w:tcW w:w="191" w:type="dxa"/>
            <w:shd w:val="clear" w:color="auto" w:fill="FFFFFF"/>
            <w:noWrap/>
            <w:tcMar>
              <w:top w:w="15" w:type="dxa"/>
              <w:left w:w="0" w:type="dxa"/>
              <w:bottom w:w="0" w:type="dxa"/>
              <w:right w:w="15" w:type="dxa"/>
            </w:tcMar>
            <w:vAlign w:val="center"/>
            <w:hideMark/>
          </w:tcPr>
          <w:p w14:paraId="180CCCE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3E1DEC8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1D0891E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6CD1F2A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4D55EEA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74B1EA6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687ACB9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83" w:type="dxa"/>
            <w:tcBorders>
              <w:top w:val="single" w:sz="6" w:space="0" w:color="000000"/>
            </w:tcBorders>
            <w:shd w:val="clear" w:color="auto" w:fill="FFFFFF"/>
            <w:noWrap/>
            <w:tcMar>
              <w:top w:w="15" w:type="dxa"/>
              <w:left w:w="0" w:type="dxa"/>
              <w:bottom w:w="0" w:type="dxa"/>
              <w:right w:w="15" w:type="dxa"/>
            </w:tcMar>
            <w:vAlign w:val="center"/>
            <w:hideMark/>
          </w:tcPr>
          <w:p w14:paraId="49E1F71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85,862</w:t>
            </w:r>
          </w:p>
        </w:tc>
        <w:tc>
          <w:tcPr>
            <w:tcW w:w="191" w:type="dxa"/>
            <w:shd w:val="clear" w:color="auto" w:fill="FFFFFF"/>
            <w:noWrap/>
            <w:tcMar>
              <w:top w:w="15" w:type="dxa"/>
              <w:left w:w="0" w:type="dxa"/>
              <w:bottom w:w="0" w:type="dxa"/>
              <w:right w:w="15" w:type="dxa"/>
            </w:tcMar>
            <w:vAlign w:val="center"/>
            <w:hideMark/>
          </w:tcPr>
          <w:p w14:paraId="7CD1EC6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1C66EF3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33F46CB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42FCABB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7254342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81" w:type="dxa"/>
            <w:shd w:val="clear" w:color="auto" w:fill="FFFFFF"/>
            <w:tcMar>
              <w:top w:w="15" w:type="dxa"/>
              <w:left w:w="0" w:type="dxa"/>
              <w:bottom w:w="0" w:type="dxa"/>
              <w:right w:w="15" w:type="dxa"/>
            </w:tcMar>
            <w:vAlign w:val="center"/>
            <w:hideMark/>
          </w:tcPr>
          <w:p w14:paraId="2362214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06A44C2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680980E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(14,289</w:t>
            </w:r>
          </w:p>
        </w:tc>
        <w:tc>
          <w:tcPr>
            <w:tcW w:w="191" w:type="dxa"/>
            <w:shd w:val="clear" w:color="auto" w:fill="FFFFFF"/>
            <w:noWrap/>
            <w:tcMar>
              <w:top w:w="15" w:type="dxa"/>
              <w:left w:w="0" w:type="dxa"/>
              <w:bottom w:w="0" w:type="dxa"/>
              <w:right w:w="15" w:type="dxa"/>
            </w:tcMar>
            <w:vAlign w:val="center"/>
            <w:hideMark/>
          </w:tcPr>
          <w:p w14:paraId="4FA3F65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381" w:type="dxa"/>
            <w:shd w:val="clear" w:color="auto" w:fill="FFFFFF"/>
            <w:tcMar>
              <w:top w:w="15" w:type="dxa"/>
              <w:left w:w="0" w:type="dxa"/>
              <w:bottom w:w="0" w:type="dxa"/>
              <w:right w:w="15" w:type="dxa"/>
            </w:tcMar>
            <w:vAlign w:val="center"/>
            <w:hideMark/>
          </w:tcPr>
          <w:p w14:paraId="602F27B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center"/>
            <w:hideMark/>
          </w:tcPr>
          <w:p w14:paraId="0C12D6AC" w14:textId="77777777" w:rsidR="00AC4931" w:rsidRPr="00AC4931" w:rsidRDefault="00AC4931" w:rsidP="00AC4931">
            <w:pPr>
              <w:widowControl/>
              <w:jc w:val="left"/>
              <w:rPr>
                <w:rFonts w:ascii="Arial" w:eastAsia="宋体" w:hAnsi="Arial" w:cs="Arial"/>
                <w:b/>
                <w:bCs/>
                <w:i/>
                <w:iCs/>
                <w:color w:val="000000"/>
                <w:kern w:val="0"/>
                <w:sz w:val="18"/>
                <w:szCs w:val="18"/>
              </w:rPr>
            </w:pPr>
            <w:r w:rsidRPr="00AC4931">
              <w:rPr>
                <w:rFonts w:ascii="Arial" w:eastAsia="宋体" w:hAnsi="Arial" w:cs="Arial"/>
                <w:b/>
                <w:bCs/>
                <w:i/>
                <w:iCs/>
                <w:color w:val="000000"/>
                <w:kern w:val="0"/>
                <w:sz w:val="18"/>
                <w:szCs w:val="18"/>
              </w:rPr>
              <w:t> </w:t>
            </w:r>
          </w:p>
        </w:tc>
        <w:tc>
          <w:tcPr>
            <w:tcW w:w="1683" w:type="dxa"/>
            <w:shd w:val="clear" w:color="auto" w:fill="FFFFFF"/>
            <w:noWrap/>
            <w:tcMar>
              <w:top w:w="15" w:type="dxa"/>
              <w:left w:w="0" w:type="dxa"/>
              <w:bottom w:w="0" w:type="dxa"/>
              <w:right w:w="15" w:type="dxa"/>
            </w:tcMar>
            <w:vAlign w:val="center"/>
            <w:hideMark/>
          </w:tcPr>
          <w:p w14:paraId="49C23364" w14:textId="77777777" w:rsidR="00AC4931" w:rsidRPr="00AC4931" w:rsidRDefault="00AC4931" w:rsidP="00AC4931">
            <w:pPr>
              <w:widowControl/>
              <w:jc w:val="right"/>
              <w:rPr>
                <w:rFonts w:ascii="Arial" w:eastAsia="宋体" w:hAnsi="Arial" w:cs="Arial"/>
                <w:b/>
                <w:bCs/>
                <w:i/>
                <w:iCs/>
                <w:color w:val="000000"/>
                <w:kern w:val="0"/>
                <w:sz w:val="18"/>
                <w:szCs w:val="18"/>
              </w:rPr>
            </w:pPr>
            <w:r w:rsidRPr="00AC4931">
              <w:rPr>
                <w:rFonts w:ascii="Arial" w:eastAsia="宋体" w:hAnsi="Arial" w:cs="Arial"/>
                <w:b/>
                <w:bCs/>
                <w:i/>
                <w:iCs/>
                <w:color w:val="000000"/>
                <w:kern w:val="0"/>
                <w:sz w:val="18"/>
                <w:szCs w:val="18"/>
              </w:rPr>
              <w:t>(17</w:t>
            </w:r>
          </w:p>
        </w:tc>
        <w:tc>
          <w:tcPr>
            <w:tcW w:w="222" w:type="dxa"/>
            <w:shd w:val="clear" w:color="auto" w:fill="FFFFFF"/>
            <w:noWrap/>
            <w:tcMar>
              <w:top w:w="15" w:type="dxa"/>
              <w:left w:w="0" w:type="dxa"/>
              <w:bottom w:w="0" w:type="dxa"/>
              <w:right w:w="15" w:type="dxa"/>
            </w:tcMar>
            <w:vAlign w:val="center"/>
            <w:hideMark/>
          </w:tcPr>
          <w:p w14:paraId="3A3A51EE" w14:textId="77777777" w:rsidR="00AC4931" w:rsidRPr="00AC4931" w:rsidRDefault="00AC4931" w:rsidP="00AC4931">
            <w:pPr>
              <w:widowControl/>
              <w:jc w:val="left"/>
              <w:rPr>
                <w:rFonts w:ascii="Arial" w:eastAsia="宋体" w:hAnsi="Arial" w:cs="Arial"/>
                <w:b/>
                <w:bCs/>
                <w:i/>
                <w:iCs/>
                <w:color w:val="000000"/>
                <w:kern w:val="0"/>
                <w:sz w:val="18"/>
                <w:szCs w:val="18"/>
              </w:rPr>
            </w:pPr>
            <w:r w:rsidRPr="00AC4931">
              <w:rPr>
                <w:rFonts w:ascii="Arial" w:eastAsia="宋体" w:hAnsi="Arial" w:cs="Arial"/>
                <w:b/>
                <w:bCs/>
                <w:i/>
                <w:iCs/>
                <w:color w:val="000000"/>
                <w:kern w:val="0"/>
                <w:sz w:val="18"/>
                <w:szCs w:val="18"/>
              </w:rPr>
              <w:t>)%</w:t>
            </w:r>
          </w:p>
        </w:tc>
      </w:tr>
      <w:tr w:rsidR="00AC4931" w:rsidRPr="00AC4931" w14:paraId="06187A75" w14:textId="77777777" w:rsidTr="00AC4931">
        <w:tc>
          <w:tcPr>
            <w:tcW w:w="20362" w:type="dxa"/>
            <w:gridSpan w:val="24"/>
            <w:shd w:val="clear" w:color="auto" w:fill="FFFFFF"/>
            <w:tcMar>
              <w:top w:w="15" w:type="dxa"/>
              <w:left w:w="0" w:type="dxa"/>
              <w:bottom w:w="0" w:type="dxa"/>
              <w:right w:w="15" w:type="dxa"/>
            </w:tcMar>
            <w:vAlign w:val="bottom"/>
            <w:hideMark/>
          </w:tcPr>
          <w:p w14:paraId="6143670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1) </w:t>
            </w:r>
            <w:r w:rsidRPr="00AC4931">
              <w:rPr>
                <w:rFonts w:ascii="Arial" w:eastAsia="宋体" w:hAnsi="Arial" w:cs="Arial"/>
                <w:color w:val="000000"/>
                <w:kern w:val="0"/>
                <w:sz w:val="16"/>
                <w:szCs w:val="16"/>
              </w:rPr>
              <w:t>Source: IHS Markit</w:t>
            </w:r>
          </w:p>
        </w:tc>
        <w:tc>
          <w:tcPr>
            <w:tcW w:w="222" w:type="dxa"/>
            <w:shd w:val="clear" w:color="auto" w:fill="FFFFFF"/>
            <w:noWrap/>
            <w:tcMar>
              <w:top w:w="15" w:type="dxa"/>
              <w:left w:w="0" w:type="dxa"/>
              <w:bottom w:w="0" w:type="dxa"/>
              <w:right w:w="15" w:type="dxa"/>
            </w:tcMar>
            <w:vAlign w:val="bottom"/>
            <w:hideMark/>
          </w:tcPr>
          <w:p w14:paraId="71D4A706"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bl>
    <w:p w14:paraId="741E95EB" w14:textId="77777777" w:rsidR="00AC4931" w:rsidRPr="00AC4931" w:rsidRDefault="00AC4931" w:rsidP="00AC4931">
      <w:pPr>
        <w:widowControl/>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t> </w:t>
      </w:r>
    </w:p>
    <w:p w14:paraId="546A5A25" w14:textId="77777777" w:rsidR="00AC4931" w:rsidRPr="00AC4931" w:rsidRDefault="00AC4931" w:rsidP="00AC4931">
      <w:pPr>
        <w:widowControl/>
        <w:spacing w:before="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Chinese LVP, the world’s largest automotive market, declined by 1.2 million units or by 5% from 2019 to 2020.  In Europe, an important market for automotive safety systems, LVP decreased by 22% or by </w:t>
      </w:r>
      <w:r w:rsidRPr="00AC4931">
        <w:rPr>
          <w:rFonts w:ascii="Arial" w:eastAsia="宋体" w:hAnsi="Arial" w:cs="Arial"/>
          <w:color w:val="000000"/>
          <w:kern w:val="0"/>
          <w:sz w:val="18"/>
          <w:szCs w:val="18"/>
        </w:rPr>
        <w:lastRenderedPageBreak/>
        <w:t>approximately 4.5 million light vehicles during the same period. In North America, LVP declined by 21% or 3.1 million light vehicles.</w:t>
      </w:r>
    </w:p>
    <w:p w14:paraId="0F112E5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Europe’s share of global LVP has declined to 23% from 24% and Americas share declined to 20% from 21%, while China’s share increased from 27% to 31%. Japan’s share was unchanged at 11%.</w:t>
      </w:r>
    </w:p>
    <w:p w14:paraId="212C4EFF" w14:textId="77777777" w:rsidR="00AC4931" w:rsidRPr="00AC4931" w:rsidRDefault="00AC4931" w:rsidP="00AC4931">
      <w:pPr>
        <w:widowControl/>
        <w:spacing w:before="120"/>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3BDF62BB"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Due to more stringent crash ratings, by institutes such as Euro NCAP; and increasing consumer demand for more safety in emerging markets, we see vehicle manufacturers installing more airbags and more advanced seatbelt systems in vehicles. This generally takes place when new models are introduced. The safety standards of vehicles are increasing in China, India and other growth markets such as Brazil, partially due to new regulations and crash test rating programs. For example, the Indian government has decided on a new traffic regulation that mandates more rigid crash test standards for light vehicles. This should eventually lead to a higher installation rate of airbags and more advanced seatbelts, impacting CPV positively, partly offset by negative effects from continued pricing pressure from vehicle manufacturers. The trend of increasing CPV was negatively impacted in 2020 by the unfavorable regional CPV mix development, as the decline in LVP was more pronounced in markets with high average safety content per vehicle (CPV) such as North America and Western Europe, where the CPV is approximately $350 and $270, respectively. In 2020, currency translation effects impacted global CPV positively. The average global safety CPV (airbags, pedestrian safety, seatbelts and steering wheels) amounted to $245 in 2020.</w:t>
      </w:r>
    </w:p>
    <w:p w14:paraId="03DB6E76"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4296622"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The more stringent crash ratings and consumer demand for more safety should enable the global automotive safety market to grow faster than the global LVP during the next three years.</w:t>
      </w:r>
    </w:p>
    <w:p w14:paraId="133FE1D9"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4C7FDDA"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The past five years’ high order intake share have resulted in our sales development outperforming the underlying light vehicle production significantly in the past three years. In 2020, our organic sales development outpaced global LVP by around 5 percentage points, due to increased safety content per vehicle and as an effect of recent years high order intake share.</w:t>
      </w:r>
    </w:p>
    <w:p w14:paraId="57625AA0"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33BA26F" w14:textId="77777777" w:rsidR="00AC4931" w:rsidRPr="00AC4931" w:rsidRDefault="00AC4931" w:rsidP="00AC4931">
      <w:pPr>
        <w:widowControl/>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WELL BALANCED GLOBAL FOOTPRINT</w:t>
      </w:r>
    </w:p>
    <w:p w14:paraId="51D3754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Autoliv’s regional sales mix continues to be balanced with 28% of sales in Europe, 31% in the Americas and 41% in Asia in 2020, compared to 29%, 34% and 37%, respectively, in 2019. In Asia, our sales in the important Chinese market increased to 21% of total sales in 2020, partly a reflection of the Chinese market being less effected by the pandemic.</w:t>
      </w:r>
    </w:p>
    <w:p w14:paraId="38464569"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balanced regional sales mix has been achieved through timely investments and strengthening of technical and support capabilities in growth markets.</w:t>
      </w:r>
    </w:p>
    <w:p w14:paraId="7AE19E3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We estimate that our sales to Electric Vehicles (EV) and Plug-in Hybrid Electric Vehicles (PHEV) accounted for around 10% of our total sales in 2020.</w:t>
      </w:r>
    </w:p>
    <w:p w14:paraId="3C7F925A"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51E4F9B"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30</w:t>
      </w:r>
    </w:p>
    <w:p w14:paraId="76E096AA"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1010227"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EBC588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lastRenderedPageBreak/>
        <w:t> </w:t>
      </w:r>
    </w:p>
    <w:p w14:paraId="5A9CFC06"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4E964ED8">
          <v:rect id="_x0000_i1057" style="width:0;height:1.5pt" o:hralign="center" o:hrstd="t" o:hrnoshade="t" o:hr="t" fillcolor="black" stroked="f"/>
        </w:pict>
      </w:r>
    </w:p>
    <w:p w14:paraId="537D48D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86172E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D828E6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49D772F"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17F20C49"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CONTINUED STRONG ORDER INTAKE SHARE</w:t>
      </w:r>
    </w:p>
    <w:p w14:paraId="3BCE0790"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Building on a strong base, including supplying products to around 1,200 vehicle models and around 100 car brands, Autoliv recorded a high order intake share during the past six-year period, winning around 45% or more of available orders. Our share of order intake in prior years is above our sales market share in 2020 of around 42%. The lead time from order intake to start of production is typically 18-36 months. During this period the products are engineered into the vehicle to provide the expected protection for occupants in case of a crash and to meet legal and regulatory requirements, as well as other requirements from the vehicle manufacturer. This investment in new products is the main reason for the high level of RD&amp;E expenses, net. Additionally, we have to build up production capacity, in the form of new lines, to meet future product launches.</w:t>
      </w:r>
    </w:p>
    <w:p w14:paraId="6A04FE3F"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Our order intake share for 2020 continued on a high level. We estimate that we booked around 45% of available order value in 2020, making 2020 the sixth consecutive year of order intake share which is higher than our sales market share. The estimated life-time sales for all orders booked in 2020 is around $10 billion, compared to $11 billion in 2019. New order intake is defined as the sales value of awards for future business, received within that year. The life time value is calculated using detailed assumptions of price and volumes over the years of production and the exchange rates prevailing at the time of receiving the order.</w:t>
      </w:r>
    </w:p>
    <w:p w14:paraId="5C9A960B"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Due to the lead time from order to start of production, 2017 was the first year that the increased level of order intake began to impact our sales. Over the last two years, sales have substantially outperformed the change in global LVP. In 2020 and 2019 the outperformance was around 5 pp and 7 pp, respectively. During 2020, growth was positively affected through recent launches of several new models, including Honda Fit, Toyota Yaris, Buick Encore and Chevrolet Trailblazer, Peugeot 208 and 2008, Genesis G80 and Opel Corsa.</w:t>
      </w:r>
    </w:p>
    <w:p w14:paraId="317B1810"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STRATEGIC INITIATIVES</w:t>
      </w:r>
    </w:p>
    <w:p w14:paraId="5A56DF26"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As market weakness has continued in 2020, we stepped up the cost improvement actions and launched a second Structural Efficiency Program, including targeting a reduction of our indirect workforce by approximately 850 more workers. The cost for Structural Efficiency Program 1 and 2 are estimated to be approximately $52 million and $65 million respectively. The first program was fully implemented in 2020 and the second program is expected to be fully implemented by early 2021. Annualized savings is estimated to be around $65 million each for the two programs.</w:t>
      </w:r>
    </w:p>
    <w:p w14:paraId="51BB9DA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 addition to the Structural Efficiency Programs, we made a provision of around $35 million in 2020 for footprint optimization in Europe, involving planned plant closures in Germany and Sweden.</w:t>
      </w:r>
    </w:p>
    <w:p w14:paraId="259B07C0"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costs for restructuring activities in 2020 amounted to $99 million compared to $54 million in 2019.</w:t>
      </w:r>
    </w:p>
    <w:p w14:paraId="4785178F"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The Structural Efficiency Programs are expected to have a payback period of around 1 year, after cash-out. As of December 31, 2020, we have $126 million reserved in our balance sheet related to restructuring (see Note 12 to the Consolidated Financial Statements included herein).</w:t>
      </w:r>
    </w:p>
    <w:p w14:paraId="57E59560"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With more than 200 improvement projects being evaluated, we have set a high pace in the planning and implementation of strategic initiatives and structural improvements. These initiatives are key drivers to our medium-term target and building the foundation to continue to create shareholder value.</w:t>
      </w:r>
    </w:p>
    <w:p w14:paraId="1DA06835"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IMPROVED EFFICIENCIES THROUGH OPERATIONAL EXCELLENCE</w:t>
      </w:r>
    </w:p>
    <w:p w14:paraId="2DCA750C"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Pricing pressure is an inherent part of the automotive supplier business. Price reductions are generally higher on newer products with strong volume growth compared to older products, where both the possibilities to re-design the product to reduce costs and market growth are less. Price reductions can also depend on the business cycle. For the period 2019-2020, we estimate the average reduction of our market prices to have been in the range of 2-4% annually. As described below, to meet these price reductions, we have implemented several programs and taken actions to address our cost structure.</w:t>
      </w:r>
    </w:p>
    <w:p w14:paraId="4AF92540"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Our productivity improvement target is to achieve at least 5% savings per year. To meet this target, Autoliv has developed a set of strategies to reduce costs in manufacturing:</w:t>
      </w: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7C15E7A6" w14:textId="77777777" w:rsidTr="00AC4931">
        <w:tc>
          <w:tcPr>
            <w:tcW w:w="919" w:type="dxa"/>
            <w:noWrap/>
            <w:hideMark/>
          </w:tcPr>
          <w:p w14:paraId="304B39C3"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50F3B253"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300CF4BE"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Autoliv production system (APS) is based on lean manufacturing methodology which aims to continuously increase output with less resources. APS provides the target conditions and tools to achieve the delivery of goods and services at the right time, in the right amount, at the required quality and at the lowest cost possible to all our customers.</w:t>
            </w:r>
          </w:p>
        </w:tc>
      </w:tr>
      <w:tr w:rsidR="00AC4931" w:rsidRPr="00AC4931" w14:paraId="737445FA" w14:textId="77777777" w:rsidTr="00AC4931">
        <w:tc>
          <w:tcPr>
            <w:tcW w:w="919" w:type="dxa"/>
            <w:noWrap/>
            <w:hideMark/>
          </w:tcPr>
          <w:p w14:paraId="6F64C835"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086191AB"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221DFCB4"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Our One Product One Process (1P1P) strategy focuses on product and process standardization and reducing cost and complexity. The 1P1P strategy, combined with initiatives to reduce costs for components from external suppliers, ensures that we continuously optimize our supply base footprint, consolidate purchase volumes to fewer suppliers, improve productivity in our supply chain, standardize components and redesign our products.</w:t>
            </w:r>
          </w:p>
        </w:tc>
      </w:tr>
    </w:tbl>
    <w:p w14:paraId="4EAD77B0"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1FCFAF6F" w14:textId="77777777" w:rsidTr="00AC4931">
        <w:tc>
          <w:tcPr>
            <w:tcW w:w="919" w:type="dxa"/>
            <w:noWrap/>
            <w:hideMark/>
          </w:tcPr>
          <w:p w14:paraId="6FD57C1E"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6C077B4A"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7611B167"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Strategic Initiatives including Automation, Digitalization, Supply Chain Management Effectiveness and RD&amp;E Effectiveness.</w:t>
            </w:r>
          </w:p>
        </w:tc>
      </w:tr>
    </w:tbl>
    <w:p w14:paraId="7D8A0844"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Our continuous improvement strategies have enabled productivity improvement at or above our target of 5% over the last years, except 2018 and 2020. 2018 due to a sharp increase in launch activities. Excluding impact from Force Majeure situation in our plant in Mexico, we came back to around historical performance during 2019. This was achieved despite the increased launch activities also impacted us during 2019. In 2020, the sharp deterioration of light vehicle production in the first half year and the sharp recovery in the second half year limited productivity improvement opportunities.</w:t>
      </w:r>
    </w:p>
    <w:p w14:paraId="336C1BD4"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We foresee opportunities for further productivity on gains from increasing use of automation in our assembly for lean manufacturing processes. Additionally, automated cells typically perform the manufacturing process with reduced variability. This results in greater control and consistency of product quality.</w:t>
      </w:r>
    </w:p>
    <w:p w14:paraId="5574690F"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31</w:t>
      </w:r>
    </w:p>
    <w:p w14:paraId="6DEF448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F2403D3"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3B36BF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54223BF"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775B8F6E">
          <v:rect id="_x0000_i1058" style="width:0;height:1.5pt" o:hralign="center" o:hrstd="t" o:hrnoshade="t" o:hr="t" fillcolor="black" stroked="f"/>
        </w:pict>
      </w:r>
    </w:p>
    <w:p w14:paraId="15622CA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256F8F2"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D9961A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0447313" w14:textId="77777777" w:rsidR="00AC4931" w:rsidRPr="00AC4931" w:rsidRDefault="00AC4931" w:rsidP="00AC4931">
      <w:pPr>
        <w:widowControl/>
        <w:spacing w:before="24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lastRenderedPageBreak/>
        <w:t>Reducing labor costs to offset the price erosion on our products is achieved through continuously implementing productivity improvement programs, optimizing our production footprint and instituting restructuring and capacity alignment activities.</w:t>
      </w:r>
    </w:p>
    <w:p w14:paraId="6CFF8235"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These initiatives, in combination with our restructuring activities, investment in vertical integration and several other actions, are in place to offset the market price erosion.</w:t>
      </w:r>
    </w:p>
    <w:p w14:paraId="21331115"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FOCUS ON QUALITY</w:t>
      </w:r>
    </w:p>
    <w:p w14:paraId="3F2326C6"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number of vehicle recalls in the automotive industry has risen sharply in recent years. Starting in 2015, Takata’s airbag inflators recall generated a record number of recalls in the automotive industry. We expect overall recall numbers to remain high for years to come and, although we strive for the highest quality in our processes, it cannot be ruled out that we may also be adversely impacted by a future recall.</w:t>
      </w:r>
    </w:p>
    <w:p w14:paraId="42935318"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Quality has been and always will be our number one priority, and we continue to sharpen our focus in this area. We now hold a market share of around 42% in while we have been involved in 2% of recalls in the industry since 2010; an important indicator that we are delivering on our quality strategy. For more information see product warranty and recalls in Note 13 to the Consolidated Financial Statements in this Annual Report.</w:t>
      </w:r>
    </w:p>
    <w:p w14:paraId="28E79F67"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8DB0A88"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CHANGES IN COMPETITIVE LANDSCAPE</w:t>
      </w:r>
    </w:p>
    <w:p w14:paraId="662FF49F" w14:textId="77777777" w:rsidR="00AC4931" w:rsidRPr="00AC4931" w:rsidRDefault="00AC4931" w:rsidP="00AC4931">
      <w:pPr>
        <w:widowControl/>
        <w:spacing w:before="120"/>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58C86335"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During the past six years, we experienced significant changes in our competitive landscape. In 2015, TRW, a key competitor in passive safety, was acquired by German group ZF Friedrichshafen. Combined, the new company is the second largest passive safety supplier globally. In 2016, Key Safety Systems (“KSS”) was acquired by Ningbo Joyson Electronic Corp. Beginning in 2014, Takata, our largest competitor at the time, experienced severe issues and recalls related to malfunctioning airbag inflators, leading the company to file for bankruptcy protection in the U.S. and Japan. In 2018, Joyson substantially acquired all of Takata's global assets and operations and combined it with KSS, forming the new company JSS. Combined, the new company is the third largest passive safety supplier globally.</w:t>
      </w:r>
    </w:p>
    <w:p w14:paraId="1A92D43A"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DE48519" w14:textId="77777777" w:rsidR="00AC4931" w:rsidRPr="00AC4931" w:rsidRDefault="00AC4931" w:rsidP="00AC4931">
      <w:pPr>
        <w:widowControl/>
        <w:spacing w:before="34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CAPITAL STRUCTURE</w:t>
      </w:r>
    </w:p>
    <w:p w14:paraId="12D2C34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Company’s net debt stood at $1,214 million on December 31, 2020. This was a decrease of $436 million compared to December 31, 2019. Total interest bearing debt at December 31, 2020 amounted to $2,411 million, an increase of $317 million compared to December 31, 2019.</w:t>
      </w:r>
    </w:p>
    <w:p w14:paraId="3A999724"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Cash flow from operations was $849 million in 2020 and $641 million in 2019. Capital expenditures, net amounted to $340 million in 2020 and $476 million in 2019. During the two-year period 2019-2020, the Company paid dividends of $271 million. In 2020, the Company paid dividends of $54 million in the first quarter and then suspended the dividends due to the COVID-19 pandemic</w:t>
      </w:r>
    </w:p>
    <w:p w14:paraId="3148039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It is the Company’s policy to maintain a financial leverage commensurate with a “strong investment grade credit rating”. The long-term target is to have a leverage ratio (see section Non-U.S. GAAP Performance Measures) of around 1.0 and to be within the range of 0.5 to 1.5. At December 31, 2020, the current </w:t>
      </w:r>
      <w:r w:rsidRPr="00AC4931">
        <w:rPr>
          <w:rFonts w:ascii="Arial" w:eastAsia="宋体" w:hAnsi="Arial" w:cs="Arial"/>
          <w:color w:val="000000"/>
          <w:kern w:val="0"/>
          <w:sz w:val="18"/>
          <w:szCs w:val="18"/>
        </w:rPr>
        <w:lastRenderedPageBreak/>
        <w:t>leverage ratio is 1.8. The Company monitors its capital structure and the financial markets closely and intends to maintain a high level of financial flexibility while being shareholder friendly.</w:t>
      </w:r>
    </w:p>
    <w:p w14:paraId="32BE849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As part of the adjustment of the capital structure, the Company historically has repurchased shares of its common stock. During 2020 and 2019, the Company did not repurchase any shares. At December 31, 2020, the remaining number of shares authorized by the board of directors for repurchase is approximately 3.0 million shares.</w:t>
      </w:r>
    </w:p>
    <w:p w14:paraId="51F121F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2AB0F8C4"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CURRENCY IMPACTS</w:t>
      </w:r>
    </w:p>
    <w:p w14:paraId="62445097"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is exposed to around 50 currency pairs, with exposures in excess of $1 million each. We are monitoring our currency exposure but do not hedge currency flows. Rather we strive to have sales and costs in the same currency to reduce the transaction exposure risk. The total net transaction exposure in 2020 was approximately $2.2 billion or 25% of sales. The 5 largest exposures in 2020 were USD/MXN (sell USD), USD/CAD (sell USD), EUR/RON (sell EUR), USD/KRW (buy USD) and EUR/CNY (buy EUR) which combined amounted to a net transaction exposure of around $1.2 billion. Approximately three quarters of our sales are denominated in currencies other than U.S. dollars, which is leading to currency translation effects.</w:t>
      </w:r>
    </w:p>
    <w:p w14:paraId="71D4A571" w14:textId="77777777" w:rsidR="00AC4931" w:rsidRPr="00AC4931" w:rsidRDefault="00AC4931" w:rsidP="00AC4931">
      <w:pPr>
        <w:widowControl/>
        <w:rPr>
          <w:rFonts w:ascii="微软雅黑" w:eastAsia="微软雅黑" w:hAnsi="微软雅黑" w:cs="宋体"/>
          <w:color w:val="000000"/>
          <w:kern w:val="0"/>
          <w:sz w:val="14"/>
          <w:szCs w:val="14"/>
        </w:rPr>
      </w:pPr>
      <w:r w:rsidRPr="00AC4931">
        <w:rPr>
          <w:rFonts w:ascii="微软雅黑" w:eastAsia="微软雅黑" w:hAnsi="微软雅黑" w:cs="宋体" w:hint="eastAsia"/>
          <w:color w:val="000000"/>
          <w:kern w:val="0"/>
          <w:sz w:val="14"/>
          <w:szCs w:val="14"/>
        </w:rPr>
        <w:t> </w:t>
      </w:r>
    </w:p>
    <w:p w14:paraId="05DBD22C" w14:textId="77777777" w:rsidR="00AC4931" w:rsidRPr="00AC4931" w:rsidRDefault="00AC4931" w:rsidP="00AC4931">
      <w:pPr>
        <w:widowControl/>
        <w:jc w:val="left"/>
        <w:rPr>
          <w:rFonts w:ascii="Arial" w:eastAsia="宋体" w:hAnsi="Arial" w:cs="Arial" w:hint="eastAsia"/>
          <w:color w:val="000000"/>
          <w:kern w:val="0"/>
          <w:sz w:val="14"/>
          <w:szCs w:val="14"/>
        </w:rPr>
      </w:pPr>
    </w:p>
    <w:p w14:paraId="5D1A87AC"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32</w:t>
      </w:r>
    </w:p>
    <w:p w14:paraId="5DD3B95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E79E8A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5DEB19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B500224"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0E9A5C6F">
          <v:rect id="_x0000_i1059" style="width:0;height:1.5pt" o:hralign="center" o:hrstd="t" o:hrnoshade="t" o:hr="t" fillcolor="black" stroked="f"/>
        </w:pict>
      </w:r>
    </w:p>
    <w:p w14:paraId="176EE47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43F645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EF9903C"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71F28D6" w14:textId="77777777" w:rsidR="00AC4931" w:rsidRPr="00AC4931" w:rsidRDefault="00AC4931" w:rsidP="00AC4931">
      <w:pPr>
        <w:widowControl/>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Outlook for 2021</w:t>
      </w:r>
    </w:p>
    <w:p w14:paraId="716E67D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Our outlook indications for 2021 reflect continuing uncertainty in the automotive markets and are mainly based on our customer call-offs and LVP according to IHS Markit.</w:t>
      </w:r>
    </w:p>
    <w:p w14:paraId="3391A11B"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163"/>
        <w:gridCol w:w="262"/>
        <w:gridCol w:w="9189"/>
      </w:tblGrid>
      <w:tr w:rsidR="00AC4931" w:rsidRPr="00AC4931" w14:paraId="7E59A9D6" w14:textId="77777777" w:rsidTr="00AC4931">
        <w:tc>
          <w:tcPr>
            <w:tcW w:w="11140" w:type="dxa"/>
            <w:tcBorders>
              <w:bottom w:val="single" w:sz="6" w:space="0" w:color="000000"/>
            </w:tcBorders>
            <w:shd w:val="clear" w:color="auto" w:fill="FFFFFF"/>
            <w:tcMar>
              <w:top w:w="15" w:type="dxa"/>
              <w:left w:w="0" w:type="dxa"/>
              <w:bottom w:w="0" w:type="dxa"/>
              <w:right w:w="15" w:type="dxa"/>
            </w:tcMar>
            <w:vAlign w:val="center"/>
            <w:hideMark/>
          </w:tcPr>
          <w:p w14:paraId="74DE5D1A" w14:textId="77777777" w:rsidR="00AC4931" w:rsidRPr="00AC4931" w:rsidRDefault="00AC4931" w:rsidP="00AC4931">
            <w:pPr>
              <w:widowControl/>
              <w:jc w:val="left"/>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rPr>
              <w:t>Financial measure</w:t>
            </w:r>
          </w:p>
        </w:tc>
        <w:tc>
          <w:tcPr>
            <w:tcW w:w="261" w:type="dxa"/>
            <w:shd w:val="clear" w:color="auto" w:fill="FFFFFF"/>
            <w:tcMar>
              <w:top w:w="15" w:type="dxa"/>
              <w:left w:w="0" w:type="dxa"/>
              <w:bottom w:w="0" w:type="dxa"/>
              <w:right w:w="15" w:type="dxa"/>
            </w:tcMar>
            <w:vAlign w:val="center"/>
            <w:hideMark/>
          </w:tcPr>
          <w:p w14:paraId="11A6958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169" w:type="dxa"/>
            <w:tcBorders>
              <w:bottom w:val="single" w:sz="6" w:space="0" w:color="000000"/>
            </w:tcBorders>
            <w:shd w:val="clear" w:color="auto" w:fill="FFFFFF"/>
            <w:tcMar>
              <w:top w:w="15" w:type="dxa"/>
              <w:left w:w="0" w:type="dxa"/>
              <w:bottom w:w="0" w:type="dxa"/>
              <w:right w:w="15" w:type="dxa"/>
            </w:tcMar>
            <w:vAlign w:val="center"/>
            <w:hideMark/>
          </w:tcPr>
          <w:p w14:paraId="3EC3F34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Full year indication</w:t>
            </w:r>
          </w:p>
        </w:tc>
      </w:tr>
      <w:tr w:rsidR="00AC4931" w:rsidRPr="00AC4931" w14:paraId="355DEC9B" w14:textId="77777777" w:rsidTr="00AC4931">
        <w:tc>
          <w:tcPr>
            <w:tcW w:w="11140" w:type="dxa"/>
            <w:tcBorders>
              <w:top w:val="single" w:sz="6" w:space="0" w:color="000000"/>
            </w:tcBorders>
            <w:shd w:val="clear" w:color="auto" w:fill="CFF0FC"/>
            <w:tcMar>
              <w:top w:w="15" w:type="dxa"/>
              <w:left w:w="0" w:type="dxa"/>
              <w:bottom w:w="0" w:type="dxa"/>
              <w:right w:w="15" w:type="dxa"/>
            </w:tcMar>
            <w:vAlign w:val="center"/>
            <w:hideMark/>
          </w:tcPr>
          <w:p w14:paraId="50D560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sales growth</w:t>
            </w:r>
          </w:p>
        </w:tc>
        <w:tc>
          <w:tcPr>
            <w:tcW w:w="261" w:type="dxa"/>
            <w:shd w:val="clear" w:color="auto" w:fill="CFF0FC"/>
            <w:tcMar>
              <w:top w:w="15" w:type="dxa"/>
              <w:left w:w="0" w:type="dxa"/>
              <w:bottom w:w="0" w:type="dxa"/>
              <w:right w:w="15" w:type="dxa"/>
            </w:tcMar>
            <w:vAlign w:val="center"/>
            <w:hideMark/>
          </w:tcPr>
          <w:p w14:paraId="24F3D9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9169" w:type="dxa"/>
            <w:tcBorders>
              <w:top w:val="single" w:sz="6" w:space="0" w:color="000000"/>
            </w:tcBorders>
            <w:shd w:val="clear" w:color="auto" w:fill="CFF0FC"/>
            <w:tcMar>
              <w:top w:w="15" w:type="dxa"/>
              <w:left w:w="0" w:type="dxa"/>
              <w:bottom w:w="0" w:type="dxa"/>
              <w:right w:w="15" w:type="dxa"/>
            </w:tcMar>
            <w:vAlign w:val="center"/>
            <w:hideMark/>
          </w:tcPr>
          <w:p w14:paraId="39F2DE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Around 25%</w:t>
            </w:r>
          </w:p>
        </w:tc>
      </w:tr>
      <w:tr w:rsidR="00AC4931" w:rsidRPr="00AC4931" w14:paraId="5D3EA5E4" w14:textId="77777777" w:rsidTr="00AC4931">
        <w:tc>
          <w:tcPr>
            <w:tcW w:w="11140" w:type="dxa"/>
            <w:shd w:val="clear" w:color="auto" w:fill="FFFFFF"/>
            <w:tcMar>
              <w:top w:w="15" w:type="dxa"/>
              <w:left w:w="0" w:type="dxa"/>
              <w:bottom w:w="0" w:type="dxa"/>
              <w:right w:w="15" w:type="dxa"/>
            </w:tcMar>
            <w:vAlign w:val="center"/>
            <w:hideMark/>
          </w:tcPr>
          <w:p w14:paraId="6F4AC1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Organic sales growth</w:t>
            </w:r>
          </w:p>
        </w:tc>
        <w:tc>
          <w:tcPr>
            <w:tcW w:w="261" w:type="dxa"/>
            <w:shd w:val="clear" w:color="auto" w:fill="FFFFFF"/>
            <w:tcMar>
              <w:top w:w="15" w:type="dxa"/>
              <w:left w:w="0" w:type="dxa"/>
              <w:bottom w:w="0" w:type="dxa"/>
              <w:right w:w="15" w:type="dxa"/>
            </w:tcMar>
            <w:vAlign w:val="center"/>
            <w:hideMark/>
          </w:tcPr>
          <w:p w14:paraId="2200CB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9169" w:type="dxa"/>
            <w:shd w:val="clear" w:color="auto" w:fill="FFFFFF"/>
            <w:tcMar>
              <w:top w:w="15" w:type="dxa"/>
              <w:left w:w="0" w:type="dxa"/>
              <w:bottom w:w="0" w:type="dxa"/>
              <w:right w:w="15" w:type="dxa"/>
            </w:tcMar>
            <w:vAlign w:val="center"/>
            <w:hideMark/>
          </w:tcPr>
          <w:p w14:paraId="139BDB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Around 20%</w:t>
            </w:r>
          </w:p>
        </w:tc>
      </w:tr>
      <w:tr w:rsidR="00AC4931" w:rsidRPr="00AC4931" w14:paraId="182292F7" w14:textId="77777777" w:rsidTr="00AC4931">
        <w:tc>
          <w:tcPr>
            <w:tcW w:w="11140" w:type="dxa"/>
            <w:shd w:val="clear" w:color="auto" w:fill="CFF0FC"/>
            <w:tcMar>
              <w:top w:w="15" w:type="dxa"/>
              <w:left w:w="0" w:type="dxa"/>
              <w:bottom w:w="0" w:type="dxa"/>
              <w:right w:w="15" w:type="dxa"/>
            </w:tcMar>
            <w:vAlign w:val="center"/>
            <w:hideMark/>
          </w:tcPr>
          <w:p w14:paraId="476EF0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Adjusted operating margin </w:t>
            </w:r>
            <w:r w:rsidRPr="00AC4931">
              <w:rPr>
                <w:rFonts w:ascii="Arial" w:eastAsia="宋体" w:hAnsi="Arial" w:cs="Arial"/>
                <w:color w:val="000000"/>
                <w:kern w:val="0"/>
                <w:sz w:val="18"/>
                <w:szCs w:val="18"/>
                <w:vertAlign w:val="superscript"/>
              </w:rPr>
              <w:t>1)</w:t>
            </w:r>
          </w:p>
        </w:tc>
        <w:tc>
          <w:tcPr>
            <w:tcW w:w="261" w:type="dxa"/>
            <w:shd w:val="clear" w:color="auto" w:fill="CFF0FC"/>
            <w:tcMar>
              <w:top w:w="15" w:type="dxa"/>
              <w:left w:w="0" w:type="dxa"/>
              <w:bottom w:w="0" w:type="dxa"/>
              <w:right w:w="15" w:type="dxa"/>
            </w:tcMar>
            <w:vAlign w:val="center"/>
            <w:hideMark/>
          </w:tcPr>
          <w:p w14:paraId="061B7B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9169" w:type="dxa"/>
            <w:shd w:val="clear" w:color="auto" w:fill="CFF0FC"/>
            <w:tcMar>
              <w:top w:w="15" w:type="dxa"/>
              <w:left w:w="0" w:type="dxa"/>
              <w:bottom w:w="0" w:type="dxa"/>
              <w:right w:w="15" w:type="dxa"/>
            </w:tcMar>
            <w:vAlign w:val="center"/>
            <w:hideMark/>
          </w:tcPr>
          <w:p w14:paraId="674D36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Around 10%</w:t>
            </w:r>
          </w:p>
        </w:tc>
      </w:tr>
      <w:tr w:rsidR="00AC4931" w:rsidRPr="00AC4931" w14:paraId="686EE9D1" w14:textId="77777777" w:rsidTr="00AC4931">
        <w:tc>
          <w:tcPr>
            <w:tcW w:w="11140" w:type="dxa"/>
            <w:shd w:val="clear" w:color="auto" w:fill="FFFFFF"/>
            <w:tcMar>
              <w:top w:w="15" w:type="dxa"/>
              <w:left w:w="0" w:type="dxa"/>
              <w:bottom w:w="0" w:type="dxa"/>
              <w:right w:w="15" w:type="dxa"/>
            </w:tcMar>
            <w:vAlign w:val="center"/>
            <w:hideMark/>
          </w:tcPr>
          <w:p w14:paraId="016CD4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R,D&amp;E, net % of sales</w:t>
            </w:r>
          </w:p>
        </w:tc>
        <w:tc>
          <w:tcPr>
            <w:tcW w:w="261" w:type="dxa"/>
            <w:shd w:val="clear" w:color="auto" w:fill="FFFFFF"/>
            <w:tcMar>
              <w:top w:w="15" w:type="dxa"/>
              <w:left w:w="0" w:type="dxa"/>
              <w:bottom w:w="0" w:type="dxa"/>
              <w:right w:w="15" w:type="dxa"/>
            </w:tcMar>
            <w:vAlign w:val="center"/>
            <w:hideMark/>
          </w:tcPr>
          <w:p w14:paraId="47283E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9169" w:type="dxa"/>
            <w:shd w:val="clear" w:color="auto" w:fill="FFFFFF"/>
            <w:tcMar>
              <w:top w:w="15" w:type="dxa"/>
              <w:left w:w="0" w:type="dxa"/>
              <w:bottom w:w="0" w:type="dxa"/>
              <w:right w:w="15" w:type="dxa"/>
            </w:tcMar>
            <w:vAlign w:val="center"/>
            <w:hideMark/>
          </w:tcPr>
          <w:p w14:paraId="6DEAEC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Around 4.5</w:t>
            </w:r>
          </w:p>
        </w:tc>
      </w:tr>
      <w:tr w:rsidR="00AC4931" w:rsidRPr="00AC4931" w14:paraId="5454206C" w14:textId="77777777" w:rsidTr="00AC4931">
        <w:tc>
          <w:tcPr>
            <w:tcW w:w="11140" w:type="dxa"/>
            <w:shd w:val="clear" w:color="auto" w:fill="CFF0FC"/>
            <w:tcMar>
              <w:top w:w="15" w:type="dxa"/>
              <w:left w:w="0" w:type="dxa"/>
              <w:bottom w:w="0" w:type="dxa"/>
              <w:right w:w="15" w:type="dxa"/>
            </w:tcMar>
            <w:vAlign w:val="center"/>
            <w:hideMark/>
          </w:tcPr>
          <w:p w14:paraId="020CE6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Tax rate </w:t>
            </w:r>
            <w:r w:rsidRPr="00AC4931">
              <w:rPr>
                <w:rFonts w:ascii="Arial" w:eastAsia="宋体" w:hAnsi="Arial" w:cs="Arial"/>
                <w:color w:val="000000"/>
                <w:kern w:val="0"/>
                <w:sz w:val="18"/>
                <w:szCs w:val="18"/>
                <w:vertAlign w:val="superscript"/>
              </w:rPr>
              <w:t>2)</w:t>
            </w:r>
          </w:p>
        </w:tc>
        <w:tc>
          <w:tcPr>
            <w:tcW w:w="261" w:type="dxa"/>
            <w:shd w:val="clear" w:color="auto" w:fill="CFF0FC"/>
            <w:tcMar>
              <w:top w:w="15" w:type="dxa"/>
              <w:left w:w="0" w:type="dxa"/>
              <w:bottom w:w="0" w:type="dxa"/>
              <w:right w:w="15" w:type="dxa"/>
            </w:tcMar>
            <w:vAlign w:val="center"/>
            <w:hideMark/>
          </w:tcPr>
          <w:p w14:paraId="43E7DB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9169" w:type="dxa"/>
            <w:shd w:val="clear" w:color="auto" w:fill="CFF0FC"/>
            <w:tcMar>
              <w:top w:w="15" w:type="dxa"/>
              <w:left w:w="0" w:type="dxa"/>
              <w:bottom w:w="0" w:type="dxa"/>
              <w:right w:w="15" w:type="dxa"/>
            </w:tcMar>
            <w:vAlign w:val="center"/>
            <w:hideMark/>
          </w:tcPr>
          <w:p w14:paraId="30EB77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Around 30%</w:t>
            </w:r>
          </w:p>
        </w:tc>
      </w:tr>
      <w:tr w:rsidR="00AC4931" w:rsidRPr="00AC4931" w14:paraId="0DCF3FED" w14:textId="77777777" w:rsidTr="00AC4931">
        <w:tc>
          <w:tcPr>
            <w:tcW w:w="11140" w:type="dxa"/>
            <w:shd w:val="clear" w:color="auto" w:fill="FFFFFF"/>
            <w:tcMar>
              <w:top w:w="15" w:type="dxa"/>
              <w:left w:w="0" w:type="dxa"/>
              <w:bottom w:w="0" w:type="dxa"/>
              <w:right w:w="15" w:type="dxa"/>
            </w:tcMar>
            <w:vAlign w:val="center"/>
            <w:hideMark/>
          </w:tcPr>
          <w:p w14:paraId="3A6CAE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cash flow</w:t>
            </w:r>
            <w:r w:rsidRPr="00AC4931">
              <w:rPr>
                <w:rFonts w:ascii="Arial" w:eastAsia="宋体" w:hAnsi="Arial" w:cs="Arial"/>
                <w:color w:val="000000"/>
                <w:kern w:val="0"/>
                <w:sz w:val="18"/>
                <w:szCs w:val="18"/>
                <w:vertAlign w:val="superscript"/>
              </w:rPr>
              <w:t>3)</w:t>
            </w:r>
          </w:p>
        </w:tc>
        <w:tc>
          <w:tcPr>
            <w:tcW w:w="261" w:type="dxa"/>
            <w:shd w:val="clear" w:color="auto" w:fill="FFFFFF"/>
            <w:tcMar>
              <w:top w:w="15" w:type="dxa"/>
              <w:left w:w="0" w:type="dxa"/>
              <w:bottom w:w="0" w:type="dxa"/>
              <w:right w:w="15" w:type="dxa"/>
            </w:tcMar>
            <w:vAlign w:val="center"/>
            <w:hideMark/>
          </w:tcPr>
          <w:p w14:paraId="7670E6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9169" w:type="dxa"/>
            <w:shd w:val="clear" w:color="auto" w:fill="FFFFFF"/>
            <w:tcMar>
              <w:top w:w="15" w:type="dxa"/>
              <w:left w:w="0" w:type="dxa"/>
              <w:bottom w:w="0" w:type="dxa"/>
              <w:right w:w="15" w:type="dxa"/>
            </w:tcMar>
            <w:vAlign w:val="center"/>
            <w:hideMark/>
          </w:tcPr>
          <w:p w14:paraId="643985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Similar level as 2020</w:t>
            </w:r>
          </w:p>
        </w:tc>
      </w:tr>
      <w:tr w:rsidR="00AC4931" w:rsidRPr="00AC4931" w14:paraId="3640E717" w14:textId="77777777" w:rsidTr="00AC4931">
        <w:tc>
          <w:tcPr>
            <w:tcW w:w="11140" w:type="dxa"/>
            <w:shd w:val="clear" w:color="auto" w:fill="CFF0FC"/>
            <w:tcMar>
              <w:top w:w="15" w:type="dxa"/>
              <w:left w:w="0" w:type="dxa"/>
              <w:bottom w:w="0" w:type="dxa"/>
              <w:right w:w="15" w:type="dxa"/>
            </w:tcMar>
            <w:vAlign w:val="center"/>
            <w:hideMark/>
          </w:tcPr>
          <w:p w14:paraId="62D425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Capital expenditures, net % of sales</w:t>
            </w:r>
          </w:p>
        </w:tc>
        <w:tc>
          <w:tcPr>
            <w:tcW w:w="261" w:type="dxa"/>
            <w:shd w:val="clear" w:color="auto" w:fill="CFF0FC"/>
            <w:tcMar>
              <w:top w:w="15" w:type="dxa"/>
              <w:left w:w="0" w:type="dxa"/>
              <w:bottom w:w="0" w:type="dxa"/>
              <w:right w:w="15" w:type="dxa"/>
            </w:tcMar>
            <w:vAlign w:val="center"/>
            <w:hideMark/>
          </w:tcPr>
          <w:p w14:paraId="7FBE57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9169" w:type="dxa"/>
            <w:shd w:val="clear" w:color="auto" w:fill="CFF0FC"/>
            <w:tcMar>
              <w:top w:w="15" w:type="dxa"/>
              <w:left w:w="0" w:type="dxa"/>
              <w:bottom w:w="0" w:type="dxa"/>
              <w:right w:w="15" w:type="dxa"/>
            </w:tcMar>
            <w:vAlign w:val="center"/>
            <w:hideMark/>
          </w:tcPr>
          <w:p w14:paraId="443166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Below 6%</w:t>
            </w:r>
          </w:p>
        </w:tc>
      </w:tr>
      <w:tr w:rsidR="00AC4931" w:rsidRPr="00AC4931" w14:paraId="044B97BA" w14:textId="77777777" w:rsidTr="00AC4931">
        <w:tc>
          <w:tcPr>
            <w:tcW w:w="11140" w:type="dxa"/>
            <w:shd w:val="clear" w:color="auto" w:fill="FFFFFF"/>
            <w:tcMar>
              <w:top w:w="15" w:type="dxa"/>
              <w:left w:w="0" w:type="dxa"/>
              <w:bottom w:w="0" w:type="dxa"/>
              <w:right w:w="15" w:type="dxa"/>
            </w:tcMar>
            <w:vAlign w:val="bottom"/>
            <w:hideMark/>
          </w:tcPr>
          <w:p w14:paraId="72EE2E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Leverage ratio at year end</w:t>
            </w:r>
          </w:p>
        </w:tc>
        <w:tc>
          <w:tcPr>
            <w:tcW w:w="261" w:type="dxa"/>
            <w:shd w:val="clear" w:color="auto" w:fill="FFFFFF"/>
            <w:tcMar>
              <w:top w:w="15" w:type="dxa"/>
              <w:left w:w="0" w:type="dxa"/>
              <w:bottom w:w="0" w:type="dxa"/>
              <w:right w:w="15" w:type="dxa"/>
            </w:tcMar>
            <w:vAlign w:val="bottom"/>
            <w:hideMark/>
          </w:tcPr>
          <w:p w14:paraId="3677F9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9169" w:type="dxa"/>
            <w:shd w:val="clear" w:color="auto" w:fill="FFFFFF"/>
            <w:tcMar>
              <w:top w:w="15" w:type="dxa"/>
              <w:left w:w="0" w:type="dxa"/>
              <w:bottom w:w="0" w:type="dxa"/>
              <w:right w:w="15" w:type="dxa"/>
            </w:tcMar>
            <w:vAlign w:val="bottom"/>
            <w:hideMark/>
          </w:tcPr>
          <w:p w14:paraId="33BD68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Within target range</w:t>
            </w:r>
          </w:p>
        </w:tc>
      </w:tr>
    </w:tbl>
    <w:p w14:paraId="6308783C"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5FBF5D69" w14:textId="77777777" w:rsidTr="00AC4931">
        <w:tc>
          <w:tcPr>
            <w:tcW w:w="919" w:type="dxa"/>
            <w:noWrap/>
            <w:hideMark/>
          </w:tcPr>
          <w:p w14:paraId="56F98271"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lastRenderedPageBreak/>
              <w:t>1)</w:t>
            </w:r>
          </w:p>
        </w:tc>
        <w:tc>
          <w:tcPr>
            <w:tcW w:w="0" w:type="auto"/>
            <w:hideMark/>
          </w:tcPr>
          <w:p w14:paraId="3D0E116D"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Excluding costs for capacity alignments and anti-trust related matters.</w:t>
            </w:r>
          </w:p>
        </w:tc>
      </w:tr>
      <w:tr w:rsidR="00AC4931" w:rsidRPr="00AC4931" w14:paraId="50519C6C" w14:textId="77777777" w:rsidTr="00AC4931">
        <w:tc>
          <w:tcPr>
            <w:tcW w:w="919" w:type="dxa"/>
            <w:noWrap/>
            <w:hideMark/>
          </w:tcPr>
          <w:p w14:paraId="4B6F64AD"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w:t>
            </w:r>
          </w:p>
        </w:tc>
        <w:tc>
          <w:tcPr>
            <w:tcW w:w="0" w:type="auto"/>
            <w:hideMark/>
          </w:tcPr>
          <w:p w14:paraId="0B763165"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Excluding unusual tax items.</w:t>
            </w:r>
          </w:p>
        </w:tc>
      </w:tr>
    </w:tbl>
    <w:p w14:paraId="65EAC5EE"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39F51ABF" w14:textId="77777777" w:rsidTr="00AC4931">
        <w:tc>
          <w:tcPr>
            <w:tcW w:w="919" w:type="dxa"/>
            <w:noWrap/>
            <w:hideMark/>
          </w:tcPr>
          <w:p w14:paraId="7AB82E79"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3)</w:t>
            </w:r>
          </w:p>
        </w:tc>
        <w:tc>
          <w:tcPr>
            <w:tcW w:w="0" w:type="auto"/>
            <w:hideMark/>
          </w:tcPr>
          <w:p w14:paraId="06DBD132"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Excluding unusual items.</w:t>
            </w:r>
          </w:p>
        </w:tc>
      </w:tr>
    </w:tbl>
    <w:p w14:paraId="0B0FD1FA"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forward-looking non-U.S. GAAP financial measures above are provided on a non-U.S. GAAP basis. Autoliv has not provided a U.S. GAAP reconciliation of these measures because items that impact these measures, such as costs related to capacity alignments and antitrust matters cannot be reasonably predicted or determined. As a result, such reconciliation is not available without unreasonable efforts and Autoliv is unable to determine the probable significance of the unavailable information.</w:t>
      </w:r>
    </w:p>
    <w:p w14:paraId="78F72D52"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3D92AA43" w14:textId="77777777" w:rsidR="00AC4931" w:rsidRPr="00AC4931" w:rsidRDefault="00AC4931" w:rsidP="00AC4931">
      <w:pPr>
        <w:widowControl/>
        <w:spacing w:before="24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Significant Legal Matters</w:t>
      </w:r>
    </w:p>
    <w:p w14:paraId="3E9A8F67"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See Item 3. Legal Proceedings and Note 18 Contingent Liabilities to the Consolidated Financial Statements in this Annual Report.</w:t>
      </w:r>
    </w:p>
    <w:p w14:paraId="4A7C2BB3"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Year Ended December 31, 2020 Versus 2019</w:t>
      </w:r>
    </w:p>
    <w:p w14:paraId="18A53E3B" w14:textId="77777777" w:rsidR="00AC4931" w:rsidRPr="00AC4931" w:rsidRDefault="00AC4931" w:rsidP="00AC4931">
      <w:pPr>
        <w:widowControl/>
        <w:rPr>
          <w:rFonts w:ascii="Times New Roman" w:eastAsia="宋体" w:hAnsi="Times New Roman" w:cs="Times New Roman"/>
          <w:b/>
          <w:bCs/>
          <w:color w:val="000000"/>
          <w:kern w:val="0"/>
          <w:sz w:val="12"/>
          <w:szCs w:val="12"/>
        </w:rPr>
      </w:pPr>
      <w:r w:rsidRPr="00AC4931">
        <w:rPr>
          <w:rFonts w:ascii="Times New Roman" w:eastAsia="宋体" w:hAnsi="Times New Roman" w:cs="Times New Roman"/>
          <w:b/>
          <w:bCs/>
          <w:color w:val="000000"/>
          <w:kern w:val="0"/>
          <w:sz w:val="12"/>
          <w:szCs w:val="12"/>
        </w:rPr>
        <w:t> </w:t>
      </w:r>
    </w:p>
    <w:p w14:paraId="16512CDC" w14:textId="77777777" w:rsidR="00AC4931" w:rsidRPr="00AC4931" w:rsidRDefault="00AC4931" w:rsidP="00AC4931">
      <w:pPr>
        <w:widowControl/>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Sales by Product</w:t>
      </w:r>
    </w:p>
    <w:p w14:paraId="4332BC14"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8587"/>
        <w:gridCol w:w="273"/>
        <w:gridCol w:w="200"/>
        <w:gridCol w:w="1576"/>
        <w:gridCol w:w="199"/>
        <w:gridCol w:w="273"/>
        <w:gridCol w:w="200"/>
        <w:gridCol w:w="1576"/>
        <w:gridCol w:w="199"/>
        <w:gridCol w:w="273"/>
        <w:gridCol w:w="199"/>
        <w:gridCol w:w="1578"/>
        <w:gridCol w:w="236"/>
        <w:gridCol w:w="273"/>
        <w:gridCol w:w="200"/>
        <w:gridCol w:w="2358"/>
        <w:gridCol w:w="252"/>
        <w:gridCol w:w="273"/>
        <w:gridCol w:w="199"/>
        <w:gridCol w:w="1454"/>
        <w:gridCol w:w="236"/>
      </w:tblGrid>
      <w:tr w:rsidR="00AC4931" w:rsidRPr="00AC4931" w14:paraId="41CA07F0" w14:textId="77777777" w:rsidTr="00AC4931">
        <w:tc>
          <w:tcPr>
            <w:tcW w:w="8544" w:type="dxa"/>
            <w:shd w:val="clear" w:color="auto" w:fill="FFFFFF"/>
            <w:tcMar>
              <w:top w:w="15" w:type="dxa"/>
              <w:left w:w="0" w:type="dxa"/>
              <w:bottom w:w="0" w:type="dxa"/>
              <w:right w:w="15" w:type="dxa"/>
            </w:tcMar>
            <w:vAlign w:val="bottom"/>
            <w:hideMark/>
          </w:tcPr>
          <w:p w14:paraId="0C662209" w14:textId="77777777" w:rsidR="00AC4931" w:rsidRPr="00AC4931" w:rsidRDefault="00AC4931" w:rsidP="00AC4931">
            <w:pPr>
              <w:widowControl/>
              <w:jc w:val="center"/>
              <w:rPr>
                <w:rFonts w:ascii="Arial" w:eastAsia="宋体" w:hAnsi="Arial" w:cs="Arial" w:hint="eastAsia"/>
                <w:kern w:val="0"/>
                <w:sz w:val="20"/>
                <w:szCs w:val="20"/>
              </w:rPr>
            </w:pPr>
            <w:r w:rsidRPr="00AC4931">
              <w:rPr>
                <w:rFonts w:ascii="Arial" w:eastAsia="宋体" w:hAnsi="Arial" w:cs="Arial"/>
                <w:kern w:val="0"/>
                <w:sz w:val="20"/>
                <w:szCs w:val="20"/>
              </w:rPr>
              <w:t> </w:t>
            </w:r>
          </w:p>
        </w:tc>
        <w:tc>
          <w:tcPr>
            <w:tcW w:w="272" w:type="dxa"/>
            <w:shd w:val="clear" w:color="auto" w:fill="FFFFFF"/>
            <w:tcMar>
              <w:top w:w="15" w:type="dxa"/>
              <w:left w:w="0" w:type="dxa"/>
              <w:bottom w:w="0" w:type="dxa"/>
              <w:right w:w="15" w:type="dxa"/>
            </w:tcMar>
            <w:vAlign w:val="bottom"/>
            <w:hideMark/>
          </w:tcPr>
          <w:p w14:paraId="453473C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084AA88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53" w:type="dxa"/>
            <w:shd w:val="clear" w:color="auto" w:fill="FFFFFF"/>
            <w:noWrap/>
            <w:tcMar>
              <w:top w:w="15" w:type="dxa"/>
              <w:left w:w="0" w:type="dxa"/>
              <w:bottom w:w="0" w:type="dxa"/>
              <w:right w:w="15" w:type="dxa"/>
            </w:tcMar>
            <w:vAlign w:val="bottom"/>
            <w:hideMark/>
          </w:tcPr>
          <w:p w14:paraId="333134D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noWrap/>
            <w:tcMar>
              <w:top w:w="15" w:type="dxa"/>
              <w:left w:w="0" w:type="dxa"/>
              <w:bottom w:w="0" w:type="dxa"/>
              <w:right w:w="15" w:type="dxa"/>
            </w:tcMar>
            <w:vAlign w:val="bottom"/>
            <w:hideMark/>
          </w:tcPr>
          <w:p w14:paraId="01C3F89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56256BD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74A6D18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53" w:type="dxa"/>
            <w:shd w:val="clear" w:color="auto" w:fill="FFFFFF"/>
            <w:noWrap/>
            <w:tcMar>
              <w:top w:w="15" w:type="dxa"/>
              <w:left w:w="0" w:type="dxa"/>
              <w:bottom w:w="0" w:type="dxa"/>
              <w:right w:w="15" w:type="dxa"/>
            </w:tcMar>
            <w:vAlign w:val="bottom"/>
            <w:hideMark/>
          </w:tcPr>
          <w:p w14:paraId="3EC1F2C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noWrap/>
            <w:tcMar>
              <w:top w:w="15" w:type="dxa"/>
              <w:left w:w="0" w:type="dxa"/>
              <w:bottom w:w="0" w:type="dxa"/>
              <w:right w:w="15" w:type="dxa"/>
            </w:tcMar>
            <w:vAlign w:val="bottom"/>
            <w:hideMark/>
          </w:tcPr>
          <w:p w14:paraId="318B8D2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51B2778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noWrap/>
            <w:tcMar>
              <w:top w:w="15" w:type="dxa"/>
              <w:left w:w="0" w:type="dxa"/>
              <w:bottom w:w="0" w:type="dxa"/>
              <w:right w:w="15" w:type="dxa"/>
            </w:tcMar>
            <w:vAlign w:val="bottom"/>
            <w:hideMark/>
          </w:tcPr>
          <w:p w14:paraId="46A0E4B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54" w:type="dxa"/>
            <w:shd w:val="clear" w:color="auto" w:fill="FFFFFF"/>
            <w:noWrap/>
            <w:tcMar>
              <w:top w:w="15" w:type="dxa"/>
              <w:left w:w="0" w:type="dxa"/>
              <w:bottom w:w="0" w:type="dxa"/>
              <w:right w:w="15" w:type="dxa"/>
            </w:tcMar>
            <w:vAlign w:val="bottom"/>
            <w:hideMark/>
          </w:tcPr>
          <w:p w14:paraId="257221E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20" w:type="dxa"/>
            <w:shd w:val="clear" w:color="auto" w:fill="FFFFFF"/>
            <w:noWrap/>
            <w:tcMar>
              <w:top w:w="15" w:type="dxa"/>
              <w:left w:w="0" w:type="dxa"/>
              <w:bottom w:w="0" w:type="dxa"/>
              <w:right w:w="15" w:type="dxa"/>
            </w:tcMar>
            <w:vAlign w:val="bottom"/>
            <w:hideMark/>
          </w:tcPr>
          <w:p w14:paraId="268C9A2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7B038DB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689" w:type="dxa"/>
            <w:gridSpan w:val="6"/>
            <w:tcBorders>
              <w:bottom w:val="single" w:sz="6" w:space="0" w:color="000000"/>
            </w:tcBorders>
            <w:shd w:val="clear" w:color="auto" w:fill="FFFFFF"/>
            <w:tcMar>
              <w:top w:w="15" w:type="dxa"/>
              <w:left w:w="0" w:type="dxa"/>
              <w:bottom w:w="0" w:type="dxa"/>
              <w:right w:w="15" w:type="dxa"/>
            </w:tcMar>
            <w:vAlign w:val="bottom"/>
            <w:hideMark/>
          </w:tcPr>
          <w:p w14:paraId="52603F0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Components of Change in Net Sales</w:t>
            </w:r>
          </w:p>
        </w:tc>
        <w:tc>
          <w:tcPr>
            <w:tcW w:w="221" w:type="dxa"/>
            <w:shd w:val="clear" w:color="auto" w:fill="FFFFFF"/>
            <w:noWrap/>
            <w:tcMar>
              <w:top w:w="15" w:type="dxa"/>
              <w:left w:w="0" w:type="dxa"/>
              <w:bottom w:w="0" w:type="dxa"/>
              <w:right w:w="15" w:type="dxa"/>
            </w:tcMar>
            <w:vAlign w:val="bottom"/>
            <w:hideMark/>
          </w:tcPr>
          <w:p w14:paraId="515EED7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A7C5932" w14:textId="77777777" w:rsidTr="00AC4931">
        <w:tc>
          <w:tcPr>
            <w:tcW w:w="8544" w:type="dxa"/>
            <w:shd w:val="clear" w:color="auto" w:fill="FFFFFF"/>
            <w:tcMar>
              <w:top w:w="15" w:type="dxa"/>
              <w:left w:w="0" w:type="dxa"/>
              <w:bottom w:w="0" w:type="dxa"/>
              <w:right w:w="15" w:type="dxa"/>
            </w:tcMar>
            <w:vAlign w:val="bottom"/>
            <w:hideMark/>
          </w:tcPr>
          <w:p w14:paraId="7E9F641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43D0BC3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9" w:type="dxa"/>
            <w:gridSpan w:val="2"/>
            <w:tcBorders>
              <w:bottom w:val="single" w:sz="6" w:space="0" w:color="000000"/>
            </w:tcBorders>
            <w:shd w:val="clear" w:color="auto" w:fill="FFFFFF"/>
            <w:tcMar>
              <w:top w:w="15" w:type="dxa"/>
              <w:left w:w="0" w:type="dxa"/>
              <w:bottom w:w="0" w:type="dxa"/>
              <w:right w:w="15" w:type="dxa"/>
            </w:tcMar>
            <w:vAlign w:val="bottom"/>
            <w:hideMark/>
          </w:tcPr>
          <w:p w14:paraId="39D2A5B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p w14:paraId="612C156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(MUSD)</w:t>
            </w:r>
          </w:p>
        </w:tc>
        <w:tc>
          <w:tcPr>
            <w:tcW w:w="190" w:type="dxa"/>
            <w:shd w:val="clear" w:color="auto" w:fill="FFFFFF"/>
            <w:noWrap/>
            <w:tcMar>
              <w:top w:w="15" w:type="dxa"/>
              <w:left w:w="0" w:type="dxa"/>
              <w:bottom w:w="0" w:type="dxa"/>
              <w:right w:w="15" w:type="dxa"/>
            </w:tcMar>
            <w:vAlign w:val="bottom"/>
            <w:hideMark/>
          </w:tcPr>
          <w:p w14:paraId="733CF10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03F825C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9" w:type="dxa"/>
            <w:gridSpan w:val="2"/>
            <w:tcBorders>
              <w:bottom w:val="single" w:sz="6" w:space="0" w:color="000000"/>
            </w:tcBorders>
            <w:shd w:val="clear" w:color="auto" w:fill="FFFFFF"/>
            <w:tcMar>
              <w:top w:w="15" w:type="dxa"/>
              <w:left w:w="0" w:type="dxa"/>
              <w:bottom w:w="0" w:type="dxa"/>
              <w:right w:w="15" w:type="dxa"/>
            </w:tcMar>
            <w:vAlign w:val="bottom"/>
            <w:hideMark/>
          </w:tcPr>
          <w:p w14:paraId="61CE745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p w14:paraId="48525C7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(MUSD)</w:t>
            </w:r>
          </w:p>
        </w:tc>
        <w:tc>
          <w:tcPr>
            <w:tcW w:w="190" w:type="dxa"/>
            <w:shd w:val="clear" w:color="auto" w:fill="FFFFFF"/>
            <w:noWrap/>
            <w:tcMar>
              <w:top w:w="15" w:type="dxa"/>
              <w:left w:w="0" w:type="dxa"/>
              <w:bottom w:w="0" w:type="dxa"/>
              <w:right w:w="15" w:type="dxa"/>
            </w:tcMar>
            <w:vAlign w:val="bottom"/>
            <w:hideMark/>
          </w:tcPr>
          <w:p w14:paraId="1AB2FF4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5FF9094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60" w:type="dxa"/>
            <w:gridSpan w:val="2"/>
            <w:tcBorders>
              <w:bottom w:val="single" w:sz="6" w:space="0" w:color="000000"/>
            </w:tcBorders>
            <w:shd w:val="clear" w:color="auto" w:fill="FFFFFF"/>
            <w:tcMar>
              <w:top w:w="15" w:type="dxa"/>
              <w:left w:w="0" w:type="dxa"/>
              <w:bottom w:w="0" w:type="dxa"/>
              <w:right w:w="15" w:type="dxa"/>
            </w:tcMar>
            <w:vAlign w:val="bottom"/>
            <w:hideMark/>
          </w:tcPr>
          <w:p w14:paraId="6FE606F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Reported</w:t>
            </w:r>
          </w:p>
          <w:p w14:paraId="66A61C9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change</w:t>
            </w:r>
          </w:p>
        </w:tc>
        <w:tc>
          <w:tcPr>
            <w:tcW w:w="220" w:type="dxa"/>
            <w:shd w:val="clear" w:color="auto" w:fill="FFFFFF"/>
            <w:noWrap/>
            <w:tcMar>
              <w:top w:w="15" w:type="dxa"/>
              <w:left w:w="0" w:type="dxa"/>
              <w:bottom w:w="0" w:type="dxa"/>
              <w:right w:w="15" w:type="dxa"/>
            </w:tcMar>
            <w:vAlign w:val="bottom"/>
            <w:hideMark/>
          </w:tcPr>
          <w:p w14:paraId="0DA3348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4922116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537"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03774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Currency effects</w:t>
            </w:r>
            <w:r w:rsidRPr="00AC4931">
              <w:rPr>
                <w:rFonts w:ascii="Arial" w:eastAsia="宋体" w:hAnsi="Arial" w:cs="Arial"/>
                <w:b/>
                <w:bCs/>
                <w:color w:val="000000"/>
                <w:kern w:val="0"/>
                <w:sz w:val="18"/>
                <w:szCs w:val="18"/>
                <w:vertAlign w:val="superscript"/>
              </w:rPr>
              <w:t>1)</w:t>
            </w:r>
          </w:p>
        </w:tc>
        <w:tc>
          <w:tcPr>
            <w:tcW w:w="243" w:type="dxa"/>
            <w:shd w:val="clear" w:color="auto" w:fill="FFFFFF"/>
            <w:noWrap/>
            <w:tcMar>
              <w:top w:w="15" w:type="dxa"/>
              <w:left w:w="0" w:type="dxa"/>
              <w:bottom w:w="0" w:type="dxa"/>
              <w:right w:w="15" w:type="dxa"/>
            </w:tcMar>
            <w:vAlign w:val="bottom"/>
            <w:hideMark/>
          </w:tcPr>
          <w:p w14:paraId="0F031810"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272" w:type="dxa"/>
            <w:tcBorders>
              <w:top w:val="single" w:sz="6" w:space="0" w:color="000000"/>
            </w:tcBorders>
            <w:shd w:val="clear" w:color="auto" w:fill="FFFFFF"/>
            <w:tcMar>
              <w:top w:w="15" w:type="dxa"/>
              <w:left w:w="0" w:type="dxa"/>
              <w:bottom w:w="0" w:type="dxa"/>
              <w:right w:w="15" w:type="dxa"/>
            </w:tcMar>
            <w:vAlign w:val="bottom"/>
            <w:hideMark/>
          </w:tcPr>
          <w:p w14:paraId="04BEE5A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9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7DB26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Organic</w:t>
            </w:r>
          </w:p>
        </w:tc>
        <w:tc>
          <w:tcPr>
            <w:tcW w:w="221" w:type="dxa"/>
            <w:shd w:val="clear" w:color="auto" w:fill="FFFFFF"/>
            <w:noWrap/>
            <w:tcMar>
              <w:top w:w="15" w:type="dxa"/>
              <w:left w:w="0" w:type="dxa"/>
              <w:bottom w:w="0" w:type="dxa"/>
              <w:right w:w="15" w:type="dxa"/>
            </w:tcMar>
            <w:vAlign w:val="bottom"/>
            <w:hideMark/>
          </w:tcPr>
          <w:p w14:paraId="3331043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12A84C0" w14:textId="77777777" w:rsidTr="00AC4931">
        <w:tc>
          <w:tcPr>
            <w:tcW w:w="8544" w:type="dxa"/>
            <w:shd w:val="clear" w:color="auto" w:fill="CFF0FC"/>
            <w:tcMar>
              <w:top w:w="15" w:type="dxa"/>
              <w:left w:w="0" w:type="dxa"/>
              <w:bottom w:w="0" w:type="dxa"/>
              <w:right w:w="15" w:type="dxa"/>
            </w:tcMar>
            <w:vAlign w:val="center"/>
            <w:hideMark/>
          </w:tcPr>
          <w:p w14:paraId="0F76C6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Airbags products and Other</w:t>
            </w:r>
            <w:r w:rsidRPr="00AC4931">
              <w:rPr>
                <w:rFonts w:ascii="Arial" w:eastAsia="宋体" w:hAnsi="Arial" w:cs="Arial"/>
                <w:color w:val="000000"/>
                <w:kern w:val="0"/>
                <w:sz w:val="18"/>
                <w:szCs w:val="18"/>
                <w:vertAlign w:val="superscript"/>
              </w:rPr>
              <w:t>2)</w:t>
            </w:r>
          </w:p>
        </w:tc>
        <w:tc>
          <w:tcPr>
            <w:tcW w:w="272" w:type="dxa"/>
            <w:shd w:val="clear" w:color="auto" w:fill="CFF0FC"/>
            <w:tcMar>
              <w:top w:w="15" w:type="dxa"/>
              <w:left w:w="0" w:type="dxa"/>
              <w:bottom w:w="0" w:type="dxa"/>
              <w:right w:w="15" w:type="dxa"/>
            </w:tcMar>
            <w:vAlign w:val="bottom"/>
            <w:hideMark/>
          </w:tcPr>
          <w:p w14:paraId="5AA925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602A2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53" w:type="dxa"/>
            <w:tcBorders>
              <w:top w:val="single" w:sz="6" w:space="0" w:color="000000"/>
            </w:tcBorders>
            <w:shd w:val="clear" w:color="auto" w:fill="CFF0FC"/>
            <w:noWrap/>
            <w:tcMar>
              <w:top w:w="15" w:type="dxa"/>
              <w:left w:w="0" w:type="dxa"/>
              <w:bottom w:w="0" w:type="dxa"/>
              <w:right w:w="15" w:type="dxa"/>
            </w:tcMar>
            <w:vAlign w:val="bottom"/>
            <w:hideMark/>
          </w:tcPr>
          <w:p w14:paraId="4E1B537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4,824</w:t>
            </w:r>
          </w:p>
        </w:tc>
        <w:tc>
          <w:tcPr>
            <w:tcW w:w="190" w:type="dxa"/>
            <w:shd w:val="clear" w:color="auto" w:fill="CFF0FC"/>
            <w:noWrap/>
            <w:tcMar>
              <w:top w:w="15" w:type="dxa"/>
              <w:left w:w="0" w:type="dxa"/>
              <w:bottom w:w="0" w:type="dxa"/>
              <w:right w:w="15" w:type="dxa"/>
            </w:tcMar>
            <w:vAlign w:val="bottom"/>
            <w:hideMark/>
          </w:tcPr>
          <w:p w14:paraId="095D4D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5B668E7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87534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53" w:type="dxa"/>
            <w:tcBorders>
              <w:top w:val="single" w:sz="6" w:space="0" w:color="000000"/>
            </w:tcBorders>
            <w:shd w:val="clear" w:color="auto" w:fill="CFF0FC"/>
            <w:noWrap/>
            <w:tcMar>
              <w:top w:w="15" w:type="dxa"/>
              <w:left w:w="0" w:type="dxa"/>
              <w:bottom w:w="0" w:type="dxa"/>
              <w:right w:w="15" w:type="dxa"/>
            </w:tcMar>
            <w:vAlign w:val="bottom"/>
            <w:hideMark/>
          </w:tcPr>
          <w:p w14:paraId="1376178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5,676</w:t>
            </w:r>
          </w:p>
        </w:tc>
        <w:tc>
          <w:tcPr>
            <w:tcW w:w="190" w:type="dxa"/>
            <w:shd w:val="clear" w:color="auto" w:fill="CFF0FC"/>
            <w:noWrap/>
            <w:tcMar>
              <w:top w:w="15" w:type="dxa"/>
              <w:left w:w="0" w:type="dxa"/>
              <w:bottom w:w="0" w:type="dxa"/>
              <w:right w:w="15" w:type="dxa"/>
            </w:tcMar>
            <w:vAlign w:val="bottom"/>
            <w:hideMark/>
          </w:tcPr>
          <w:p w14:paraId="34704A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52DCDD9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7E2E35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4" w:type="dxa"/>
            <w:tcBorders>
              <w:top w:val="single" w:sz="6" w:space="0" w:color="000000"/>
            </w:tcBorders>
            <w:shd w:val="clear" w:color="auto" w:fill="CFF0FC"/>
            <w:noWrap/>
            <w:tcMar>
              <w:top w:w="15" w:type="dxa"/>
              <w:left w:w="0" w:type="dxa"/>
              <w:bottom w:w="0" w:type="dxa"/>
              <w:right w:w="15" w:type="dxa"/>
            </w:tcMar>
            <w:vAlign w:val="bottom"/>
            <w:hideMark/>
          </w:tcPr>
          <w:p w14:paraId="4DD3305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(15.0</w:t>
            </w:r>
          </w:p>
        </w:tc>
        <w:tc>
          <w:tcPr>
            <w:tcW w:w="220" w:type="dxa"/>
            <w:shd w:val="clear" w:color="auto" w:fill="CFF0FC"/>
            <w:noWrap/>
            <w:tcMar>
              <w:top w:w="15" w:type="dxa"/>
              <w:left w:w="0" w:type="dxa"/>
              <w:bottom w:w="0" w:type="dxa"/>
              <w:right w:w="15" w:type="dxa"/>
            </w:tcMar>
            <w:vAlign w:val="bottom"/>
            <w:hideMark/>
          </w:tcPr>
          <w:p w14:paraId="39F395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50AF22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9D561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31" w:type="dxa"/>
            <w:tcBorders>
              <w:top w:val="single" w:sz="6" w:space="0" w:color="000000"/>
            </w:tcBorders>
            <w:shd w:val="clear" w:color="auto" w:fill="CFF0FC"/>
            <w:noWrap/>
            <w:tcMar>
              <w:top w:w="15" w:type="dxa"/>
              <w:left w:w="0" w:type="dxa"/>
              <w:bottom w:w="0" w:type="dxa"/>
              <w:right w:w="15" w:type="dxa"/>
            </w:tcMar>
            <w:vAlign w:val="bottom"/>
            <w:hideMark/>
          </w:tcPr>
          <w:p w14:paraId="3A19338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w:t>
            </w:r>
          </w:p>
        </w:tc>
        <w:tc>
          <w:tcPr>
            <w:tcW w:w="243" w:type="dxa"/>
            <w:shd w:val="clear" w:color="auto" w:fill="CFF0FC"/>
            <w:noWrap/>
            <w:tcMar>
              <w:top w:w="15" w:type="dxa"/>
              <w:left w:w="0" w:type="dxa"/>
              <w:bottom w:w="0" w:type="dxa"/>
              <w:right w:w="15" w:type="dxa"/>
            </w:tcMar>
            <w:vAlign w:val="bottom"/>
            <w:hideMark/>
          </w:tcPr>
          <w:p w14:paraId="73D9C7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04BD2D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6892E5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87" w:type="dxa"/>
            <w:tcBorders>
              <w:top w:val="single" w:sz="6" w:space="0" w:color="000000"/>
            </w:tcBorders>
            <w:shd w:val="clear" w:color="auto" w:fill="CFF0FC"/>
            <w:noWrap/>
            <w:tcMar>
              <w:top w:w="15" w:type="dxa"/>
              <w:left w:w="0" w:type="dxa"/>
              <w:bottom w:w="0" w:type="dxa"/>
              <w:right w:w="15" w:type="dxa"/>
            </w:tcMar>
            <w:vAlign w:val="bottom"/>
            <w:hideMark/>
          </w:tcPr>
          <w:p w14:paraId="667FB79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(14.2</w:t>
            </w:r>
          </w:p>
        </w:tc>
        <w:tc>
          <w:tcPr>
            <w:tcW w:w="221" w:type="dxa"/>
            <w:shd w:val="clear" w:color="auto" w:fill="CFF0FC"/>
            <w:noWrap/>
            <w:tcMar>
              <w:top w:w="15" w:type="dxa"/>
              <w:left w:w="0" w:type="dxa"/>
              <w:bottom w:w="0" w:type="dxa"/>
              <w:right w:w="15" w:type="dxa"/>
            </w:tcMar>
            <w:vAlign w:val="bottom"/>
            <w:hideMark/>
          </w:tcPr>
          <w:p w14:paraId="4CB1EE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FB0E60B" w14:textId="77777777" w:rsidTr="00AC4931">
        <w:tc>
          <w:tcPr>
            <w:tcW w:w="8544" w:type="dxa"/>
            <w:shd w:val="clear" w:color="auto" w:fill="FFFFFF"/>
            <w:tcMar>
              <w:top w:w="15" w:type="dxa"/>
              <w:left w:w="0" w:type="dxa"/>
              <w:bottom w:w="0" w:type="dxa"/>
              <w:right w:w="15" w:type="dxa"/>
            </w:tcMar>
            <w:hideMark/>
          </w:tcPr>
          <w:p w14:paraId="3733AA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 products</w:t>
            </w:r>
            <w:r w:rsidRPr="00AC4931">
              <w:rPr>
                <w:rFonts w:ascii="Arial" w:eastAsia="宋体" w:hAnsi="Arial" w:cs="Arial"/>
                <w:color w:val="000000"/>
                <w:kern w:val="0"/>
                <w:sz w:val="18"/>
                <w:szCs w:val="18"/>
                <w:vertAlign w:val="superscript"/>
              </w:rPr>
              <w:t>2)</w:t>
            </w:r>
          </w:p>
        </w:tc>
        <w:tc>
          <w:tcPr>
            <w:tcW w:w="272" w:type="dxa"/>
            <w:shd w:val="clear" w:color="auto" w:fill="FFFFFF"/>
            <w:tcMar>
              <w:top w:w="15" w:type="dxa"/>
              <w:left w:w="0" w:type="dxa"/>
              <w:bottom w:w="0" w:type="dxa"/>
              <w:right w:w="15" w:type="dxa"/>
            </w:tcMar>
            <w:vAlign w:val="bottom"/>
            <w:hideMark/>
          </w:tcPr>
          <w:p w14:paraId="5432B12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7C3F7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3" w:type="dxa"/>
            <w:tcBorders>
              <w:bottom w:val="single" w:sz="6" w:space="0" w:color="000000"/>
            </w:tcBorders>
            <w:shd w:val="clear" w:color="auto" w:fill="FFFFFF"/>
            <w:noWrap/>
            <w:tcMar>
              <w:top w:w="15" w:type="dxa"/>
              <w:left w:w="0" w:type="dxa"/>
              <w:bottom w:w="0" w:type="dxa"/>
              <w:right w:w="15" w:type="dxa"/>
            </w:tcMar>
            <w:vAlign w:val="bottom"/>
            <w:hideMark/>
          </w:tcPr>
          <w:p w14:paraId="73F3D4C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2,623</w:t>
            </w:r>
          </w:p>
        </w:tc>
        <w:tc>
          <w:tcPr>
            <w:tcW w:w="190" w:type="dxa"/>
            <w:shd w:val="clear" w:color="auto" w:fill="FFFFFF"/>
            <w:noWrap/>
            <w:tcMar>
              <w:top w:w="15" w:type="dxa"/>
              <w:left w:w="0" w:type="dxa"/>
              <w:bottom w:w="0" w:type="dxa"/>
              <w:right w:w="15" w:type="dxa"/>
            </w:tcMar>
            <w:vAlign w:val="bottom"/>
            <w:hideMark/>
          </w:tcPr>
          <w:p w14:paraId="6C3809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2" w:type="dxa"/>
            <w:shd w:val="clear" w:color="auto" w:fill="FFFFFF"/>
            <w:tcMar>
              <w:top w:w="15" w:type="dxa"/>
              <w:left w:w="0" w:type="dxa"/>
              <w:bottom w:w="0" w:type="dxa"/>
              <w:right w:w="15" w:type="dxa"/>
            </w:tcMar>
            <w:vAlign w:val="bottom"/>
            <w:hideMark/>
          </w:tcPr>
          <w:p w14:paraId="3CC206A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A8732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3" w:type="dxa"/>
            <w:tcBorders>
              <w:bottom w:val="single" w:sz="6" w:space="0" w:color="000000"/>
            </w:tcBorders>
            <w:shd w:val="clear" w:color="auto" w:fill="FFFFFF"/>
            <w:noWrap/>
            <w:tcMar>
              <w:top w:w="15" w:type="dxa"/>
              <w:left w:w="0" w:type="dxa"/>
              <w:bottom w:w="0" w:type="dxa"/>
              <w:right w:w="15" w:type="dxa"/>
            </w:tcMar>
            <w:vAlign w:val="bottom"/>
            <w:hideMark/>
          </w:tcPr>
          <w:p w14:paraId="2F9AEB9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2,872</w:t>
            </w:r>
          </w:p>
        </w:tc>
        <w:tc>
          <w:tcPr>
            <w:tcW w:w="190" w:type="dxa"/>
            <w:shd w:val="clear" w:color="auto" w:fill="FFFFFF"/>
            <w:noWrap/>
            <w:tcMar>
              <w:top w:w="15" w:type="dxa"/>
              <w:left w:w="0" w:type="dxa"/>
              <w:bottom w:w="0" w:type="dxa"/>
              <w:right w:w="15" w:type="dxa"/>
            </w:tcMar>
            <w:vAlign w:val="bottom"/>
            <w:hideMark/>
          </w:tcPr>
          <w:p w14:paraId="654BC9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2" w:type="dxa"/>
            <w:shd w:val="clear" w:color="auto" w:fill="FFFFFF"/>
            <w:tcMar>
              <w:top w:w="15" w:type="dxa"/>
              <w:left w:w="0" w:type="dxa"/>
              <w:bottom w:w="0" w:type="dxa"/>
              <w:right w:w="15" w:type="dxa"/>
            </w:tcMar>
            <w:vAlign w:val="bottom"/>
            <w:hideMark/>
          </w:tcPr>
          <w:p w14:paraId="2780290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7AB390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4" w:type="dxa"/>
            <w:shd w:val="clear" w:color="auto" w:fill="FFFFFF"/>
            <w:noWrap/>
            <w:tcMar>
              <w:top w:w="15" w:type="dxa"/>
              <w:left w:w="0" w:type="dxa"/>
              <w:bottom w:w="0" w:type="dxa"/>
              <w:right w:w="15" w:type="dxa"/>
            </w:tcMar>
            <w:vAlign w:val="bottom"/>
            <w:hideMark/>
          </w:tcPr>
          <w:p w14:paraId="55C4ABA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(8.6</w:t>
            </w:r>
          </w:p>
        </w:tc>
        <w:tc>
          <w:tcPr>
            <w:tcW w:w="220" w:type="dxa"/>
            <w:shd w:val="clear" w:color="auto" w:fill="FFFFFF"/>
            <w:noWrap/>
            <w:tcMar>
              <w:top w:w="15" w:type="dxa"/>
              <w:left w:w="0" w:type="dxa"/>
              <w:bottom w:w="0" w:type="dxa"/>
              <w:right w:w="15" w:type="dxa"/>
            </w:tcMar>
            <w:vAlign w:val="bottom"/>
            <w:hideMark/>
          </w:tcPr>
          <w:p w14:paraId="74F91A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2" w:type="dxa"/>
            <w:shd w:val="clear" w:color="auto" w:fill="FFFFFF"/>
            <w:tcMar>
              <w:top w:w="15" w:type="dxa"/>
              <w:left w:w="0" w:type="dxa"/>
              <w:bottom w:w="0" w:type="dxa"/>
              <w:right w:w="15" w:type="dxa"/>
            </w:tcMar>
            <w:vAlign w:val="bottom"/>
            <w:hideMark/>
          </w:tcPr>
          <w:p w14:paraId="1386FA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C48B9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31" w:type="dxa"/>
            <w:shd w:val="clear" w:color="auto" w:fill="FFFFFF"/>
            <w:noWrap/>
            <w:tcMar>
              <w:top w:w="15" w:type="dxa"/>
              <w:left w:w="0" w:type="dxa"/>
              <w:bottom w:w="0" w:type="dxa"/>
              <w:right w:w="15" w:type="dxa"/>
            </w:tcMar>
            <w:vAlign w:val="bottom"/>
            <w:hideMark/>
          </w:tcPr>
          <w:p w14:paraId="4D0C5E0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w:t>
            </w:r>
          </w:p>
        </w:tc>
        <w:tc>
          <w:tcPr>
            <w:tcW w:w="243" w:type="dxa"/>
            <w:shd w:val="clear" w:color="auto" w:fill="FFFFFF"/>
            <w:noWrap/>
            <w:tcMar>
              <w:top w:w="15" w:type="dxa"/>
              <w:left w:w="0" w:type="dxa"/>
              <w:bottom w:w="0" w:type="dxa"/>
              <w:right w:w="15" w:type="dxa"/>
            </w:tcMar>
            <w:vAlign w:val="bottom"/>
            <w:hideMark/>
          </w:tcPr>
          <w:p w14:paraId="6E806F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2" w:type="dxa"/>
            <w:shd w:val="clear" w:color="auto" w:fill="FFFFFF"/>
            <w:tcMar>
              <w:top w:w="15" w:type="dxa"/>
              <w:left w:w="0" w:type="dxa"/>
              <w:bottom w:w="0" w:type="dxa"/>
              <w:right w:w="15" w:type="dxa"/>
            </w:tcMar>
            <w:vAlign w:val="bottom"/>
            <w:hideMark/>
          </w:tcPr>
          <w:p w14:paraId="503FF2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403F73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87" w:type="dxa"/>
            <w:shd w:val="clear" w:color="auto" w:fill="FFFFFF"/>
            <w:noWrap/>
            <w:tcMar>
              <w:top w:w="15" w:type="dxa"/>
              <w:left w:w="0" w:type="dxa"/>
              <w:bottom w:w="0" w:type="dxa"/>
              <w:right w:w="15" w:type="dxa"/>
            </w:tcMar>
            <w:vAlign w:val="bottom"/>
            <w:hideMark/>
          </w:tcPr>
          <w:p w14:paraId="5D3635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(7.7</w:t>
            </w:r>
          </w:p>
        </w:tc>
        <w:tc>
          <w:tcPr>
            <w:tcW w:w="221" w:type="dxa"/>
            <w:shd w:val="clear" w:color="auto" w:fill="FFFFFF"/>
            <w:noWrap/>
            <w:tcMar>
              <w:top w:w="15" w:type="dxa"/>
              <w:left w:w="0" w:type="dxa"/>
              <w:bottom w:w="0" w:type="dxa"/>
              <w:right w:w="15" w:type="dxa"/>
            </w:tcMar>
            <w:vAlign w:val="bottom"/>
            <w:hideMark/>
          </w:tcPr>
          <w:p w14:paraId="03B206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5B6800B" w14:textId="77777777" w:rsidTr="00AC4931">
        <w:tc>
          <w:tcPr>
            <w:tcW w:w="8544" w:type="dxa"/>
            <w:shd w:val="clear" w:color="auto" w:fill="CFF0FC"/>
            <w:tcMar>
              <w:top w:w="15" w:type="dxa"/>
              <w:left w:w="0" w:type="dxa"/>
              <w:bottom w:w="0" w:type="dxa"/>
              <w:right w:w="15" w:type="dxa"/>
            </w:tcMar>
            <w:hideMark/>
          </w:tcPr>
          <w:p w14:paraId="20762A0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72" w:type="dxa"/>
            <w:shd w:val="clear" w:color="auto" w:fill="CFF0FC"/>
            <w:tcMar>
              <w:top w:w="15" w:type="dxa"/>
              <w:left w:w="0" w:type="dxa"/>
              <w:bottom w:w="0" w:type="dxa"/>
              <w:right w:w="15" w:type="dxa"/>
            </w:tcMar>
            <w:vAlign w:val="bottom"/>
            <w:hideMark/>
          </w:tcPr>
          <w:p w14:paraId="70366BC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2D1EEC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53" w:type="dxa"/>
            <w:tcBorders>
              <w:top w:val="single" w:sz="6" w:space="0" w:color="000000"/>
            </w:tcBorders>
            <w:shd w:val="clear" w:color="auto" w:fill="CFF0FC"/>
            <w:noWrap/>
            <w:tcMar>
              <w:top w:w="15" w:type="dxa"/>
              <w:left w:w="0" w:type="dxa"/>
              <w:bottom w:w="0" w:type="dxa"/>
              <w:right w:w="15" w:type="dxa"/>
            </w:tcMar>
            <w:vAlign w:val="bottom"/>
            <w:hideMark/>
          </w:tcPr>
          <w:p w14:paraId="7AC27D1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7,447</w:t>
            </w:r>
          </w:p>
        </w:tc>
        <w:tc>
          <w:tcPr>
            <w:tcW w:w="190" w:type="dxa"/>
            <w:shd w:val="clear" w:color="auto" w:fill="CFF0FC"/>
            <w:noWrap/>
            <w:tcMar>
              <w:top w:w="15" w:type="dxa"/>
              <w:left w:w="0" w:type="dxa"/>
              <w:bottom w:w="0" w:type="dxa"/>
              <w:right w:w="15" w:type="dxa"/>
            </w:tcMar>
            <w:vAlign w:val="bottom"/>
            <w:hideMark/>
          </w:tcPr>
          <w:p w14:paraId="1245E71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1EBF7AC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2D6162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53" w:type="dxa"/>
            <w:tcBorders>
              <w:top w:val="single" w:sz="6" w:space="0" w:color="000000"/>
            </w:tcBorders>
            <w:shd w:val="clear" w:color="auto" w:fill="CFF0FC"/>
            <w:noWrap/>
            <w:tcMar>
              <w:top w:w="15" w:type="dxa"/>
              <w:left w:w="0" w:type="dxa"/>
              <w:bottom w:w="0" w:type="dxa"/>
              <w:right w:w="15" w:type="dxa"/>
            </w:tcMar>
            <w:vAlign w:val="bottom"/>
            <w:hideMark/>
          </w:tcPr>
          <w:p w14:paraId="5A1DE68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8,548</w:t>
            </w:r>
          </w:p>
        </w:tc>
        <w:tc>
          <w:tcPr>
            <w:tcW w:w="190" w:type="dxa"/>
            <w:shd w:val="clear" w:color="auto" w:fill="CFF0FC"/>
            <w:noWrap/>
            <w:tcMar>
              <w:top w:w="15" w:type="dxa"/>
              <w:left w:w="0" w:type="dxa"/>
              <w:bottom w:w="0" w:type="dxa"/>
              <w:right w:w="15" w:type="dxa"/>
            </w:tcMar>
            <w:vAlign w:val="bottom"/>
            <w:hideMark/>
          </w:tcPr>
          <w:p w14:paraId="4820F67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339C535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0F3683E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54" w:type="dxa"/>
            <w:shd w:val="clear" w:color="auto" w:fill="CFF0FC"/>
            <w:noWrap/>
            <w:tcMar>
              <w:top w:w="15" w:type="dxa"/>
              <w:left w:w="0" w:type="dxa"/>
              <w:bottom w:w="0" w:type="dxa"/>
              <w:right w:w="15" w:type="dxa"/>
            </w:tcMar>
            <w:vAlign w:val="bottom"/>
            <w:hideMark/>
          </w:tcPr>
          <w:p w14:paraId="396F177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(12.9</w:t>
            </w:r>
          </w:p>
        </w:tc>
        <w:tc>
          <w:tcPr>
            <w:tcW w:w="220" w:type="dxa"/>
            <w:shd w:val="clear" w:color="auto" w:fill="CFF0FC"/>
            <w:noWrap/>
            <w:tcMar>
              <w:top w:w="15" w:type="dxa"/>
              <w:left w:w="0" w:type="dxa"/>
              <w:bottom w:w="0" w:type="dxa"/>
              <w:right w:w="15" w:type="dxa"/>
            </w:tcMar>
            <w:vAlign w:val="bottom"/>
            <w:hideMark/>
          </w:tcPr>
          <w:p w14:paraId="75E36B2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3092588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95A6CF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331" w:type="dxa"/>
            <w:shd w:val="clear" w:color="auto" w:fill="CFF0FC"/>
            <w:noWrap/>
            <w:tcMar>
              <w:top w:w="15" w:type="dxa"/>
              <w:left w:w="0" w:type="dxa"/>
              <w:bottom w:w="0" w:type="dxa"/>
              <w:right w:w="15" w:type="dxa"/>
            </w:tcMar>
            <w:vAlign w:val="bottom"/>
            <w:hideMark/>
          </w:tcPr>
          <w:p w14:paraId="1D13DFC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(0.9</w:t>
            </w:r>
          </w:p>
        </w:tc>
        <w:tc>
          <w:tcPr>
            <w:tcW w:w="243" w:type="dxa"/>
            <w:shd w:val="clear" w:color="auto" w:fill="CFF0FC"/>
            <w:noWrap/>
            <w:tcMar>
              <w:top w:w="15" w:type="dxa"/>
              <w:left w:w="0" w:type="dxa"/>
              <w:bottom w:w="0" w:type="dxa"/>
              <w:right w:w="15" w:type="dxa"/>
            </w:tcMar>
            <w:vAlign w:val="bottom"/>
            <w:hideMark/>
          </w:tcPr>
          <w:p w14:paraId="1E7BD1A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0F267B5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525573C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387" w:type="dxa"/>
            <w:shd w:val="clear" w:color="auto" w:fill="CFF0FC"/>
            <w:noWrap/>
            <w:tcMar>
              <w:top w:w="15" w:type="dxa"/>
              <w:left w:w="0" w:type="dxa"/>
              <w:bottom w:w="0" w:type="dxa"/>
              <w:right w:w="15" w:type="dxa"/>
            </w:tcMar>
            <w:vAlign w:val="bottom"/>
            <w:hideMark/>
          </w:tcPr>
          <w:p w14:paraId="33471FE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(12.0</w:t>
            </w:r>
          </w:p>
        </w:tc>
        <w:tc>
          <w:tcPr>
            <w:tcW w:w="221" w:type="dxa"/>
            <w:shd w:val="clear" w:color="auto" w:fill="CFF0FC"/>
            <w:noWrap/>
            <w:tcMar>
              <w:top w:w="15" w:type="dxa"/>
              <w:left w:w="0" w:type="dxa"/>
              <w:bottom w:w="0" w:type="dxa"/>
              <w:right w:w="15" w:type="dxa"/>
            </w:tcMar>
            <w:vAlign w:val="bottom"/>
            <w:hideMark/>
          </w:tcPr>
          <w:p w14:paraId="4A9F20B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bl>
    <w:p w14:paraId="555AF9FD" w14:textId="77777777" w:rsidR="00AC4931" w:rsidRPr="00AC4931" w:rsidRDefault="00AC4931" w:rsidP="00AC4931">
      <w:pPr>
        <w:widowControl/>
        <w:ind w:left="919" w:hanging="546"/>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7CF4FAF6" w14:textId="77777777" w:rsidTr="00AC4931">
        <w:tc>
          <w:tcPr>
            <w:tcW w:w="919" w:type="dxa"/>
            <w:noWrap/>
            <w:hideMark/>
          </w:tcPr>
          <w:p w14:paraId="1E355081"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7E5E266C"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Effects from currency translations.</w:t>
            </w:r>
          </w:p>
        </w:tc>
      </w:tr>
      <w:tr w:rsidR="00AC4931" w:rsidRPr="00AC4931" w14:paraId="3FFF0BC0" w14:textId="77777777" w:rsidTr="00AC4931">
        <w:tc>
          <w:tcPr>
            <w:tcW w:w="919" w:type="dxa"/>
            <w:noWrap/>
            <w:hideMark/>
          </w:tcPr>
          <w:p w14:paraId="5D4CA7C7"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w:t>
            </w:r>
          </w:p>
        </w:tc>
        <w:tc>
          <w:tcPr>
            <w:tcW w:w="0" w:type="auto"/>
            <w:hideMark/>
          </w:tcPr>
          <w:p w14:paraId="60CD533C"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Including Corporate and Other sales.</w:t>
            </w:r>
          </w:p>
        </w:tc>
      </w:tr>
    </w:tbl>
    <w:p w14:paraId="36728E41" w14:textId="77777777" w:rsidR="00AC4931" w:rsidRPr="00AC4931" w:rsidRDefault="00AC4931" w:rsidP="00AC4931">
      <w:pPr>
        <w:widowControl/>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p w14:paraId="63C834B8" w14:textId="77777777" w:rsidR="00AC4931" w:rsidRPr="00AC4931" w:rsidRDefault="00AC4931" w:rsidP="00AC4931">
      <w:pPr>
        <w:widowControl/>
        <w:rPr>
          <w:rFonts w:ascii="微软雅黑" w:eastAsia="微软雅黑" w:hAnsi="微软雅黑" w:cs="宋体" w:hint="eastAsia"/>
          <w:color w:val="000000"/>
          <w:kern w:val="0"/>
          <w:sz w:val="18"/>
          <w:szCs w:val="18"/>
        </w:rPr>
      </w:pPr>
      <w:r w:rsidRPr="00AC4931">
        <w:rPr>
          <w:rFonts w:ascii="微软雅黑" w:eastAsia="微软雅黑" w:hAnsi="微软雅黑" w:cs="宋体" w:hint="eastAsia"/>
          <w:color w:val="000000"/>
          <w:kern w:val="0"/>
          <w:sz w:val="18"/>
          <w:szCs w:val="18"/>
        </w:rPr>
        <w:t> </w:t>
      </w:r>
    </w:p>
    <w:p w14:paraId="129B6045"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shd w:val="clear" w:color="auto" w:fill="FFFFFF"/>
        </w:rPr>
        <w:t>Consolidated net sales decreased by 12.9% compared to full year 2019. Excluding negative currency translation effects of 0.9%, the organic sales decrease (see section Non-U.S. GAAP Performance Measures) was 12.0%.</w:t>
      </w:r>
    </w:p>
    <w:p w14:paraId="6DC9005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31F2289"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shd w:val="clear" w:color="auto" w:fill="FFFFFF"/>
        </w:rPr>
        <w:t>Sales of all our airbag products except textiles declined organically (see section Non-U.S. GAAP Performance Measures) by between 11% and 53% (depending on the region) for the full year, reflecting the 16.8% decline in LVP. Textiles increased by 66%, reflecting new sales of textiles for manufacturing of personal protection equipment. Sales of replacement inflators decreased by around $85 million to $57 million.</w:t>
      </w:r>
    </w:p>
    <w:p w14:paraId="6C7CB144"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shd w:val="clear" w:color="auto" w:fill="FFFFFF"/>
        </w:rPr>
        <w:t>Seatbelt sales declined organically (see section Non-U.S. GAAP Performance Measures) by 7.7%. Japan showed a slight organic seatbelt sales growth, while all other regions showed organic sales declines between 1% and 21%. Sales of more advanced and higher value-added seatbelts declined significantly less than total seatbelts sales did and grew strongly in China and Japan.</w:t>
      </w:r>
    </w:p>
    <w:p w14:paraId="06A97332" w14:textId="77777777" w:rsidR="00AC4931" w:rsidRPr="00AC4931" w:rsidRDefault="00AC4931" w:rsidP="00AC4931">
      <w:pPr>
        <w:widowControl/>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lastRenderedPageBreak/>
        <w:t> </w:t>
      </w:r>
    </w:p>
    <w:p w14:paraId="2DB4F173" w14:textId="77777777" w:rsidR="00AC4931" w:rsidRPr="00AC4931" w:rsidRDefault="00AC4931" w:rsidP="00AC4931">
      <w:pPr>
        <w:widowControl/>
        <w:spacing w:before="1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Sales by Region</w:t>
      </w:r>
    </w:p>
    <w:p w14:paraId="119F89AB" w14:textId="77777777" w:rsidR="00AC4931" w:rsidRPr="00AC4931" w:rsidRDefault="00AC4931" w:rsidP="00AC4931">
      <w:pPr>
        <w:widowControl/>
        <w:rPr>
          <w:rFonts w:ascii="Times New Roman" w:eastAsia="宋体" w:hAnsi="Times New Roman" w:cs="Times New Roman"/>
          <w:b/>
          <w:bCs/>
          <w:color w:val="000000"/>
          <w:kern w:val="0"/>
          <w:sz w:val="18"/>
          <w:szCs w:val="18"/>
        </w:rPr>
      </w:pPr>
      <w:r w:rsidRPr="00AC4931">
        <w:rPr>
          <w:rFonts w:ascii="Times New Roman" w:eastAsia="宋体" w:hAnsi="Times New Roman" w:cs="Times New Roman"/>
          <w:b/>
          <w:bCs/>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8589"/>
        <w:gridCol w:w="274"/>
        <w:gridCol w:w="199"/>
        <w:gridCol w:w="1576"/>
        <w:gridCol w:w="199"/>
        <w:gridCol w:w="273"/>
        <w:gridCol w:w="199"/>
        <w:gridCol w:w="1576"/>
        <w:gridCol w:w="199"/>
        <w:gridCol w:w="273"/>
        <w:gridCol w:w="199"/>
        <w:gridCol w:w="1577"/>
        <w:gridCol w:w="236"/>
        <w:gridCol w:w="273"/>
        <w:gridCol w:w="200"/>
        <w:gridCol w:w="2357"/>
        <w:gridCol w:w="252"/>
        <w:gridCol w:w="273"/>
        <w:gridCol w:w="199"/>
        <w:gridCol w:w="1455"/>
        <w:gridCol w:w="236"/>
      </w:tblGrid>
      <w:tr w:rsidR="00AC4931" w:rsidRPr="00AC4931" w14:paraId="44077F45" w14:textId="77777777" w:rsidTr="00AC4931">
        <w:tc>
          <w:tcPr>
            <w:tcW w:w="8545" w:type="dxa"/>
            <w:shd w:val="clear" w:color="auto" w:fill="FFFFFF"/>
            <w:tcMar>
              <w:top w:w="15" w:type="dxa"/>
              <w:left w:w="0" w:type="dxa"/>
              <w:bottom w:w="0" w:type="dxa"/>
              <w:right w:w="15" w:type="dxa"/>
            </w:tcMar>
            <w:vAlign w:val="bottom"/>
            <w:hideMark/>
          </w:tcPr>
          <w:p w14:paraId="30712423"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72" w:type="dxa"/>
            <w:shd w:val="clear" w:color="auto" w:fill="FFFFFF"/>
            <w:tcMar>
              <w:top w:w="15" w:type="dxa"/>
              <w:left w:w="0" w:type="dxa"/>
              <w:bottom w:w="0" w:type="dxa"/>
              <w:right w:w="15" w:type="dxa"/>
            </w:tcMar>
            <w:vAlign w:val="bottom"/>
            <w:hideMark/>
          </w:tcPr>
          <w:p w14:paraId="7F84235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noWrap/>
            <w:tcMar>
              <w:top w:w="15" w:type="dxa"/>
              <w:left w:w="0" w:type="dxa"/>
              <w:bottom w:w="0" w:type="dxa"/>
              <w:right w:w="15" w:type="dxa"/>
            </w:tcMar>
            <w:vAlign w:val="bottom"/>
            <w:hideMark/>
          </w:tcPr>
          <w:p w14:paraId="0B4C852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53" w:type="dxa"/>
            <w:shd w:val="clear" w:color="auto" w:fill="FFFFFF"/>
            <w:noWrap/>
            <w:tcMar>
              <w:top w:w="15" w:type="dxa"/>
              <w:left w:w="0" w:type="dxa"/>
              <w:bottom w:w="0" w:type="dxa"/>
              <w:right w:w="15" w:type="dxa"/>
            </w:tcMar>
            <w:vAlign w:val="bottom"/>
            <w:hideMark/>
          </w:tcPr>
          <w:p w14:paraId="119D7DE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noWrap/>
            <w:tcMar>
              <w:top w:w="15" w:type="dxa"/>
              <w:left w:w="0" w:type="dxa"/>
              <w:bottom w:w="0" w:type="dxa"/>
              <w:right w:w="15" w:type="dxa"/>
            </w:tcMar>
            <w:vAlign w:val="bottom"/>
            <w:hideMark/>
          </w:tcPr>
          <w:p w14:paraId="61F3614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50E8C02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noWrap/>
            <w:tcMar>
              <w:top w:w="15" w:type="dxa"/>
              <w:left w:w="0" w:type="dxa"/>
              <w:bottom w:w="0" w:type="dxa"/>
              <w:right w:w="15" w:type="dxa"/>
            </w:tcMar>
            <w:vAlign w:val="bottom"/>
            <w:hideMark/>
          </w:tcPr>
          <w:p w14:paraId="0C1FA72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53" w:type="dxa"/>
            <w:shd w:val="clear" w:color="auto" w:fill="FFFFFF"/>
            <w:noWrap/>
            <w:tcMar>
              <w:top w:w="15" w:type="dxa"/>
              <w:left w:w="0" w:type="dxa"/>
              <w:bottom w:w="0" w:type="dxa"/>
              <w:right w:w="15" w:type="dxa"/>
            </w:tcMar>
            <w:vAlign w:val="bottom"/>
            <w:hideMark/>
          </w:tcPr>
          <w:p w14:paraId="355D467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noWrap/>
            <w:tcMar>
              <w:top w:w="15" w:type="dxa"/>
              <w:left w:w="0" w:type="dxa"/>
              <w:bottom w:w="0" w:type="dxa"/>
              <w:right w:w="15" w:type="dxa"/>
            </w:tcMar>
            <w:vAlign w:val="bottom"/>
            <w:hideMark/>
          </w:tcPr>
          <w:p w14:paraId="5665D46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1B92F0C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noWrap/>
            <w:tcMar>
              <w:top w:w="15" w:type="dxa"/>
              <w:left w:w="0" w:type="dxa"/>
              <w:bottom w:w="0" w:type="dxa"/>
              <w:right w:w="15" w:type="dxa"/>
            </w:tcMar>
            <w:vAlign w:val="bottom"/>
            <w:hideMark/>
          </w:tcPr>
          <w:p w14:paraId="6F2AD47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54" w:type="dxa"/>
            <w:shd w:val="clear" w:color="auto" w:fill="FFFFFF"/>
            <w:noWrap/>
            <w:tcMar>
              <w:top w:w="15" w:type="dxa"/>
              <w:left w:w="0" w:type="dxa"/>
              <w:bottom w:w="0" w:type="dxa"/>
              <w:right w:w="15" w:type="dxa"/>
            </w:tcMar>
            <w:vAlign w:val="bottom"/>
            <w:hideMark/>
          </w:tcPr>
          <w:p w14:paraId="59257D1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20" w:type="dxa"/>
            <w:shd w:val="clear" w:color="auto" w:fill="FFFFFF"/>
            <w:noWrap/>
            <w:tcMar>
              <w:top w:w="15" w:type="dxa"/>
              <w:left w:w="0" w:type="dxa"/>
              <w:bottom w:w="0" w:type="dxa"/>
              <w:right w:w="15" w:type="dxa"/>
            </w:tcMar>
            <w:vAlign w:val="bottom"/>
            <w:hideMark/>
          </w:tcPr>
          <w:p w14:paraId="0E3DE86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78097E9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689" w:type="dxa"/>
            <w:gridSpan w:val="6"/>
            <w:tcBorders>
              <w:bottom w:val="single" w:sz="6" w:space="0" w:color="000000"/>
            </w:tcBorders>
            <w:shd w:val="clear" w:color="auto" w:fill="FFFFFF"/>
            <w:tcMar>
              <w:top w:w="15" w:type="dxa"/>
              <w:left w:w="0" w:type="dxa"/>
              <w:bottom w:w="0" w:type="dxa"/>
              <w:right w:w="15" w:type="dxa"/>
            </w:tcMar>
            <w:vAlign w:val="bottom"/>
            <w:hideMark/>
          </w:tcPr>
          <w:p w14:paraId="1F4AA2D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Components of Change in Net Sales</w:t>
            </w:r>
          </w:p>
        </w:tc>
        <w:tc>
          <w:tcPr>
            <w:tcW w:w="222" w:type="dxa"/>
            <w:shd w:val="clear" w:color="auto" w:fill="FFFFFF"/>
            <w:noWrap/>
            <w:tcMar>
              <w:top w:w="15" w:type="dxa"/>
              <w:left w:w="0" w:type="dxa"/>
              <w:bottom w:w="0" w:type="dxa"/>
              <w:right w:w="15" w:type="dxa"/>
            </w:tcMar>
            <w:vAlign w:val="bottom"/>
            <w:hideMark/>
          </w:tcPr>
          <w:p w14:paraId="0D5654F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1EFB753" w14:textId="77777777" w:rsidTr="00AC4931">
        <w:tc>
          <w:tcPr>
            <w:tcW w:w="8545" w:type="dxa"/>
            <w:shd w:val="clear" w:color="auto" w:fill="FFFFFF"/>
            <w:tcMar>
              <w:top w:w="15" w:type="dxa"/>
              <w:left w:w="0" w:type="dxa"/>
              <w:bottom w:w="0" w:type="dxa"/>
              <w:right w:w="15" w:type="dxa"/>
            </w:tcMar>
            <w:vAlign w:val="bottom"/>
            <w:hideMark/>
          </w:tcPr>
          <w:p w14:paraId="6EAA629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1995239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8" w:type="dxa"/>
            <w:gridSpan w:val="2"/>
            <w:tcBorders>
              <w:bottom w:val="single" w:sz="6" w:space="0" w:color="000000"/>
            </w:tcBorders>
            <w:shd w:val="clear" w:color="auto" w:fill="FFFFFF"/>
            <w:tcMar>
              <w:top w:w="15" w:type="dxa"/>
              <w:left w:w="0" w:type="dxa"/>
              <w:bottom w:w="0" w:type="dxa"/>
              <w:right w:w="15" w:type="dxa"/>
            </w:tcMar>
            <w:vAlign w:val="bottom"/>
            <w:hideMark/>
          </w:tcPr>
          <w:p w14:paraId="0983C8C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p w14:paraId="1FB9469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(MUSD)</w:t>
            </w:r>
          </w:p>
        </w:tc>
        <w:tc>
          <w:tcPr>
            <w:tcW w:w="190" w:type="dxa"/>
            <w:shd w:val="clear" w:color="auto" w:fill="FFFFFF"/>
            <w:noWrap/>
            <w:tcMar>
              <w:top w:w="15" w:type="dxa"/>
              <w:left w:w="0" w:type="dxa"/>
              <w:bottom w:w="0" w:type="dxa"/>
              <w:right w:w="15" w:type="dxa"/>
            </w:tcMar>
            <w:vAlign w:val="bottom"/>
            <w:hideMark/>
          </w:tcPr>
          <w:p w14:paraId="21D6DF3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4B3DDCD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8" w:type="dxa"/>
            <w:gridSpan w:val="2"/>
            <w:tcBorders>
              <w:bottom w:val="single" w:sz="6" w:space="0" w:color="000000"/>
            </w:tcBorders>
            <w:shd w:val="clear" w:color="auto" w:fill="FFFFFF"/>
            <w:tcMar>
              <w:top w:w="15" w:type="dxa"/>
              <w:left w:w="0" w:type="dxa"/>
              <w:bottom w:w="0" w:type="dxa"/>
              <w:right w:w="15" w:type="dxa"/>
            </w:tcMar>
            <w:vAlign w:val="bottom"/>
            <w:hideMark/>
          </w:tcPr>
          <w:p w14:paraId="1F4E86E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p w14:paraId="229A922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(MUSD)</w:t>
            </w:r>
          </w:p>
        </w:tc>
        <w:tc>
          <w:tcPr>
            <w:tcW w:w="190" w:type="dxa"/>
            <w:shd w:val="clear" w:color="auto" w:fill="FFFFFF"/>
            <w:noWrap/>
            <w:tcMar>
              <w:top w:w="15" w:type="dxa"/>
              <w:left w:w="0" w:type="dxa"/>
              <w:bottom w:w="0" w:type="dxa"/>
              <w:right w:w="15" w:type="dxa"/>
            </w:tcMar>
            <w:vAlign w:val="bottom"/>
            <w:hideMark/>
          </w:tcPr>
          <w:p w14:paraId="1EE6BA0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147AF3F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9" w:type="dxa"/>
            <w:gridSpan w:val="2"/>
            <w:tcBorders>
              <w:bottom w:val="single" w:sz="6" w:space="0" w:color="000000"/>
            </w:tcBorders>
            <w:shd w:val="clear" w:color="auto" w:fill="FFFFFF"/>
            <w:tcMar>
              <w:top w:w="15" w:type="dxa"/>
              <w:left w:w="0" w:type="dxa"/>
              <w:bottom w:w="0" w:type="dxa"/>
              <w:right w:w="15" w:type="dxa"/>
            </w:tcMar>
            <w:vAlign w:val="bottom"/>
            <w:hideMark/>
          </w:tcPr>
          <w:p w14:paraId="4BEEDDC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Reported</w:t>
            </w:r>
          </w:p>
          <w:p w14:paraId="25BF870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change</w:t>
            </w:r>
          </w:p>
        </w:tc>
        <w:tc>
          <w:tcPr>
            <w:tcW w:w="220" w:type="dxa"/>
            <w:shd w:val="clear" w:color="auto" w:fill="FFFFFF"/>
            <w:noWrap/>
            <w:tcMar>
              <w:top w:w="15" w:type="dxa"/>
              <w:left w:w="0" w:type="dxa"/>
              <w:bottom w:w="0" w:type="dxa"/>
              <w:right w:w="15" w:type="dxa"/>
            </w:tcMar>
            <w:vAlign w:val="bottom"/>
            <w:hideMark/>
          </w:tcPr>
          <w:p w14:paraId="3FAB8F3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2" w:type="dxa"/>
            <w:shd w:val="clear" w:color="auto" w:fill="FFFFFF"/>
            <w:tcMar>
              <w:top w:w="15" w:type="dxa"/>
              <w:left w:w="0" w:type="dxa"/>
              <w:bottom w:w="0" w:type="dxa"/>
              <w:right w:w="15" w:type="dxa"/>
            </w:tcMar>
            <w:vAlign w:val="bottom"/>
            <w:hideMark/>
          </w:tcPr>
          <w:p w14:paraId="33A277B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53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D6900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Currency effects</w:t>
            </w:r>
            <w:r w:rsidRPr="00AC4931">
              <w:rPr>
                <w:rFonts w:ascii="Arial" w:eastAsia="宋体" w:hAnsi="Arial" w:cs="Arial"/>
                <w:b/>
                <w:bCs/>
                <w:color w:val="000000"/>
                <w:kern w:val="0"/>
                <w:sz w:val="18"/>
                <w:szCs w:val="18"/>
                <w:vertAlign w:val="superscript"/>
              </w:rPr>
              <w:t>1)</w:t>
            </w:r>
          </w:p>
        </w:tc>
        <w:tc>
          <w:tcPr>
            <w:tcW w:w="243" w:type="dxa"/>
            <w:shd w:val="clear" w:color="auto" w:fill="FFFFFF"/>
            <w:noWrap/>
            <w:tcMar>
              <w:top w:w="15" w:type="dxa"/>
              <w:left w:w="0" w:type="dxa"/>
              <w:bottom w:w="0" w:type="dxa"/>
              <w:right w:w="15" w:type="dxa"/>
            </w:tcMar>
            <w:vAlign w:val="bottom"/>
            <w:hideMark/>
          </w:tcPr>
          <w:p w14:paraId="146118E5"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272" w:type="dxa"/>
            <w:tcBorders>
              <w:top w:val="single" w:sz="6" w:space="0" w:color="000000"/>
            </w:tcBorders>
            <w:shd w:val="clear" w:color="auto" w:fill="FFFFFF"/>
            <w:tcMar>
              <w:top w:w="15" w:type="dxa"/>
              <w:left w:w="0" w:type="dxa"/>
              <w:bottom w:w="0" w:type="dxa"/>
              <w:right w:w="15" w:type="dxa"/>
            </w:tcMar>
            <w:vAlign w:val="bottom"/>
            <w:hideMark/>
          </w:tcPr>
          <w:p w14:paraId="6C04B87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9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C25C50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Organic</w:t>
            </w:r>
          </w:p>
        </w:tc>
        <w:tc>
          <w:tcPr>
            <w:tcW w:w="222" w:type="dxa"/>
            <w:shd w:val="clear" w:color="auto" w:fill="FFFFFF"/>
            <w:noWrap/>
            <w:tcMar>
              <w:top w:w="15" w:type="dxa"/>
              <w:left w:w="0" w:type="dxa"/>
              <w:bottom w:w="0" w:type="dxa"/>
              <w:right w:w="15" w:type="dxa"/>
            </w:tcMar>
            <w:vAlign w:val="bottom"/>
            <w:hideMark/>
          </w:tcPr>
          <w:p w14:paraId="2004C46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356A0C88" w14:textId="77777777" w:rsidTr="00AC4931">
        <w:tc>
          <w:tcPr>
            <w:tcW w:w="8545" w:type="dxa"/>
            <w:shd w:val="clear" w:color="auto" w:fill="CFF0FC"/>
            <w:tcMar>
              <w:top w:w="15" w:type="dxa"/>
              <w:left w:w="0" w:type="dxa"/>
              <w:bottom w:w="0" w:type="dxa"/>
              <w:right w:w="15" w:type="dxa"/>
            </w:tcMar>
            <w:hideMark/>
          </w:tcPr>
          <w:p w14:paraId="1458DA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Asia</w:t>
            </w:r>
          </w:p>
        </w:tc>
        <w:tc>
          <w:tcPr>
            <w:tcW w:w="272" w:type="dxa"/>
            <w:shd w:val="clear" w:color="auto" w:fill="CFF0FC"/>
            <w:tcMar>
              <w:top w:w="15" w:type="dxa"/>
              <w:left w:w="0" w:type="dxa"/>
              <w:bottom w:w="0" w:type="dxa"/>
              <w:right w:w="15" w:type="dxa"/>
            </w:tcMar>
            <w:vAlign w:val="bottom"/>
            <w:hideMark/>
          </w:tcPr>
          <w:p w14:paraId="2FC0310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7B25EA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53" w:type="dxa"/>
            <w:tcBorders>
              <w:top w:val="single" w:sz="6" w:space="0" w:color="000000"/>
            </w:tcBorders>
            <w:shd w:val="clear" w:color="auto" w:fill="CFF0FC"/>
            <w:noWrap/>
            <w:tcMar>
              <w:top w:w="15" w:type="dxa"/>
              <w:left w:w="0" w:type="dxa"/>
              <w:bottom w:w="0" w:type="dxa"/>
              <w:right w:w="15" w:type="dxa"/>
            </w:tcMar>
            <w:vAlign w:val="bottom"/>
            <w:hideMark/>
          </w:tcPr>
          <w:p w14:paraId="78B1887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3,043</w:t>
            </w:r>
          </w:p>
        </w:tc>
        <w:tc>
          <w:tcPr>
            <w:tcW w:w="190" w:type="dxa"/>
            <w:shd w:val="clear" w:color="auto" w:fill="CFF0FC"/>
            <w:noWrap/>
            <w:tcMar>
              <w:top w:w="15" w:type="dxa"/>
              <w:left w:w="0" w:type="dxa"/>
              <w:bottom w:w="0" w:type="dxa"/>
              <w:right w:w="15" w:type="dxa"/>
            </w:tcMar>
            <w:vAlign w:val="bottom"/>
            <w:hideMark/>
          </w:tcPr>
          <w:p w14:paraId="4DCC3F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2FBB52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4060DD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53" w:type="dxa"/>
            <w:tcBorders>
              <w:top w:val="single" w:sz="6" w:space="0" w:color="000000"/>
            </w:tcBorders>
            <w:shd w:val="clear" w:color="auto" w:fill="CFF0FC"/>
            <w:noWrap/>
            <w:tcMar>
              <w:top w:w="15" w:type="dxa"/>
              <w:left w:w="0" w:type="dxa"/>
              <w:bottom w:w="0" w:type="dxa"/>
              <w:right w:w="15" w:type="dxa"/>
            </w:tcMar>
            <w:vAlign w:val="bottom"/>
            <w:hideMark/>
          </w:tcPr>
          <w:p w14:paraId="5F2D627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3,177</w:t>
            </w:r>
          </w:p>
        </w:tc>
        <w:tc>
          <w:tcPr>
            <w:tcW w:w="190" w:type="dxa"/>
            <w:shd w:val="clear" w:color="auto" w:fill="CFF0FC"/>
            <w:noWrap/>
            <w:tcMar>
              <w:top w:w="15" w:type="dxa"/>
              <w:left w:w="0" w:type="dxa"/>
              <w:bottom w:w="0" w:type="dxa"/>
              <w:right w:w="15" w:type="dxa"/>
            </w:tcMar>
            <w:vAlign w:val="bottom"/>
            <w:hideMark/>
          </w:tcPr>
          <w:p w14:paraId="6B2886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0CC9C4B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338D70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4" w:type="dxa"/>
            <w:tcBorders>
              <w:top w:val="single" w:sz="6" w:space="0" w:color="000000"/>
            </w:tcBorders>
            <w:shd w:val="clear" w:color="auto" w:fill="CFF0FC"/>
            <w:noWrap/>
            <w:tcMar>
              <w:top w:w="15" w:type="dxa"/>
              <w:left w:w="0" w:type="dxa"/>
              <w:bottom w:w="0" w:type="dxa"/>
              <w:right w:w="15" w:type="dxa"/>
            </w:tcMar>
            <w:vAlign w:val="bottom"/>
            <w:hideMark/>
          </w:tcPr>
          <w:p w14:paraId="541D44C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w:t>
            </w:r>
          </w:p>
        </w:tc>
        <w:tc>
          <w:tcPr>
            <w:tcW w:w="220" w:type="dxa"/>
            <w:shd w:val="clear" w:color="auto" w:fill="CFF0FC"/>
            <w:noWrap/>
            <w:tcMar>
              <w:top w:w="15" w:type="dxa"/>
              <w:left w:w="0" w:type="dxa"/>
              <w:bottom w:w="0" w:type="dxa"/>
              <w:right w:w="15" w:type="dxa"/>
            </w:tcMar>
            <w:vAlign w:val="bottom"/>
            <w:hideMark/>
          </w:tcPr>
          <w:p w14:paraId="01E382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100689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5C5F1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30" w:type="dxa"/>
            <w:tcBorders>
              <w:top w:val="single" w:sz="6" w:space="0" w:color="000000"/>
            </w:tcBorders>
            <w:shd w:val="clear" w:color="auto" w:fill="CFF0FC"/>
            <w:noWrap/>
            <w:tcMar>
              <w:top w:w="15" w:type="dxa"/>
              <w:left w:w="0" w:type="dxa"/>
              <w:bottom w:w="0" w:type="dxa"/>
              <w:right w:w="15" w:type="dxa"/>
            </w:tcMar>
            <w:vAlign w:val="bottom"/>
            <w:hideMark/>
          </w:tcPr>
          <w:p w14:paraId="75CBCAA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243" w:type="dxa"/>
            <w:shd w:val="clear" w:color="auto" w:fill="CFF0FC"/>
            <w:noWrap/>
            <w:tcMar>
              <w:top w:w="15" w:type="dxa"/>
              <w:left w:w="0" w:type="dxa"/>
              <w:bottom w:w="0" w:type="dxa"/>
              <w:right w:w="15" w:type="dxa"/>
            </w:tcMar>
            <w:vAlign w:val="bottom"/>
            <w:hideMark/>
          </w:tcPr>
          <w:p w14:paraId="262B0D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5CBCC8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5152F0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87" w:type="dxa"/>
            <w:tcBorders>
              <w:top w:val="single" w:sz="6" w:space="0" w:color="000000"/>
            </w:tcBorders>
            <w:shd w:val="clear" w:color="auto" w:fill="CFF0FC"/>
            <w:noWrap/>
            <w:tcMar>
              <w:top w:w="15" w:type="dxa"/>
              <w:left w:w="0" w:type="dxa"/>
              <w:bottom w:w="0" w:type="dxa"/>
              <w:right w:w="15" w:type="dxa"/>
            </w:tcMar>
            <w:vAlign w:val="bottom"/>
            <w:hideMark/>
          </w:tcPr>
          <w:p w14:paraId="75DA0E3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w:t>
            </w:r>
          </w:p>
        </w:tc>
        <w:tc>
          <w:tcPr>
            <w:tcW w:w="222" w:type="dxa"/>
            <w:shd w:val="clear" w:color="auto" w:fill="CFF0FC"/>
            <w:noWrap/>
            <w:tcMar>
              <w:top w:w="15" w:type="dxa"/>
              <w:left w:w="0" w:type="dxa"/>
              <w:bottom w:w="0" w:type="dxa"/>
              <w:right w:w="15" w:type="dxa"/>
            </w:tcMar>
            <w:vAlign w:val="bottom"/>
            <w:hideMark/>
          </w:tcPr>
          <w:p w14:paraId="496150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94F408D" w14:textId="77777777" w:rsidTr="00AC4931">
        <w:tc>
          <w:tcPr>
            <w:tcW w:w="8545" w:type="dxa"/>
            <w:shd w:val="clear" w:color="auto" w:fill="FFFFFF"/>
            <w:tcMar>
              <w:top w:w="15" w:type="dxa"/>
              <w:left w:w="0" w:type="dxa"/>
              <w:bottom w:w="0" w:type="dxa"/>
              <w:right w:w="15" w:type="dxa"/>
            </w:tcMar>
            <w:hideMark/>
          </w:tcPr>
          <w:p w14:paraId="406F89F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Whereof: China</w:t>
            </w:r>
          </w:p>
        </w:tc>
        <w:tc>
          <w:tcPr>
            <w:tcW w:w="272" w:type="dxa"/>
            <w:shd w:val="clear" w:color="auto" w:fill="FFFFFF"/>
            <w:tcMar>
              <w:top w:w="15" w:type="dxa"/>
              <w:left w:w="0" w:type="dxa"/>
              <w:bottom w:w="0" w:type="dxa"/>
              <w:right w:w="15" w:type="dxa"/>
            </w:tcMar>
            <w:vAlign w:val="bottom"/>
            <w:hideMark/>
          </w:tcPr>
          <w:p w14:paraId="120D5474"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246D99B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53" w:type="dxa"/>
            <w:shd w:val="clear" w:color="auto" w:fill="FFFFFF"/>
            <w:noWrap/>
            <w:tcMar>
              <w:top w:w="15" w:type="dxa"/>
              <w:left w:w="0" w:type="dxa"/>
              <w:bottom w:w="0" w:type="dxa"/>
              <w:right w:w="15" w:type="dxa"/>
            </w:tcMar>
            <w:vAlign w:val="bottom"/>
            <w:hideMark/>
          </w:tcPr>
          <w:p w14:paraId="1BADF3F2"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1,541</w:t>
            </w:r>
          </w:p>
        </w:tc>
        <w:tc>
          <w:tcPr>
            <w:tcW w:w="190" w:type="dxa"/>
            <w:shd w:val="clear" w:color="auto" w:fill="FFFFFF"/>
            <w:noWrap/>
            <w:tcMar>
              <w:top w:w="15" w:type="dxa"/>
              <w:left w:w="0" w:type="dxa"/>
              <w:bottom w:w="0" w:type="dxa"/>
              <w:right w:w="15" w:type="dxa"/>
            </w:tcMar>
            <w:vAlign w:val="bottom"/>
            <w:hideMark/>
          </w:tcPr>
          <w:p w14:paraId="7B7439D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72" w:type="dxa"/>
            <w:shd w:val="clear" w:color="auto" w:fill="FFFFFF"/>
            <w:tcMar>
              <w:top w:w="15" w:type="dxa"/>
              <w:left w:w="0" w:type="dxa"/>
              <w:bottom w:w="0" w:type="dxa"/>
              <w:right w:w="15" w:type="dxa"/>
            </w:tcMar>
            <w:vAlign w:val="bottom"/>
            <w:hideMark/>
          </w:tcPr>
          <w:p w14:paraId="34DAFBE4"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4FFE222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53" w:type="dxa"/>
            <w:shd w:val="clear" w:color="auto" w:fill="FFFFFF"/>
            <w:noWrap/>
            <w:tcMar>
              <w:top w:w="15" w:type="dxa"/>
              <w:left w:w="0" w:type="dxa"/>
              <w:bottom w:w="0" w:type="dxa"/>
              <w:right w:w="15" w:type="dxa"/>
            </w:tcMar>
            <w:vAlign w:val="bottom"/>
            <w:hideMark/>
          </w:tcPr>
          <w:p w14:paraId="6370570E"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1,525</w:t>
            </w:r>
          </w:p>
        </w:tc>
        <w:tc>
          <w:tcPr>
            <w:tcW w:w="190" w:type="dxa"/>
            <w:shd w:val="clear" w:color="auto" w:fill="FFFFFF"/>
            <w:noWrap/>
            <w:tcMar>
              <w:top w:w="15" w:type="dxa"/>
              <w:left w:w="0" w:type="dxa"/>
              <w:bottom w:w="0" w:type="dxa"/>
              <w:right w:w="15" w:type="dxa"/>
            </w:tcMar>
            <w:vAlign w:val="bottom"/>
            <w:hideMark/>
          </w:tcPr>
          <w:p w14:paraId="67C892B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72" w:type="dxa"/>
            <w:shd w:val="clear" w:color="auto" w:fill="FFFFFF"/>
            <w:tcMar>
              <w:top w:w="15" w:type="dxa"/>
              <w:left w:w="0" w:type="dxa"/>
              <w:bottom w:w="0" w:type="dxa"/>
              <w:right w:w="15" w:type="dxa"/>
            </w:tcMar>
            <w:vAlign w:val="bottom"/>
            <w:hideMark/>
          </w:tcPr>
          <w:p w14:paraId="14B1867F"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79816DF5"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54" w:type="dxa"/>
            <w:shd w:val="clear" w:color="auto" w:fill="FFFFFF"/>
            <w:noWrap/>
            <w:tcMar>
              <w:top w:w="15" w:type="dxa"/>
              <w:left w:w="0" w:type="dxa"/>
              <w:bottom w:w="0" w:type="dxa"/>
              <w:right w:w="15" w:type="dxa"/>
            </w:tcMar>
            <w:vAlign w:val="bottom"/>
            <w:hideMark/>
          </w:tcPr>
          <w:p w14:paraId="75643634"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1.0</w:t>
            </w:r>
          </w:p>
        </w:tc>
        <w:tc>
          <w:tcPr>
            <w:tcW w:w="220" w:type="dxa"/>
            <w:shd w:val="clear" w:color="auto" w:fill="FFFFFF"/>
            <w:noWrap/>
            <w:tcMar>
              <w:top w:w="15" w:type="dxa"/>
              <w:left w:w="0" w:type="dxa"/>
              <w:bottom w:w="0" w:type="dxa"/>
              <w:right w:w="15" w:type="dxa"/>
            </w:tcMar>
            <w:vAlign w:val="bottom"/>
            <w:hideMark/>
          </w:tcPr>
          <w:p w14:paraId="20805FC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272" w:type="dxa"/>
            <w:shd w:val="clear" w:color="auto" w:fill="FFFFFF"/>
            <w:tcMar>
              <w:top w:w="15" w:type="dxa"/>
              <w:left w:w="0" w:type="dxa"/>
              <w:bottom w:w="0" w:type="dxa"/>
              <w:right w:w="15" w:type="dxa"/>
            </w:tcMar>
            <w:vAlign w:val="bottom"/>
            <w:hideMark/>
          </w:tcPr>
          <w:p w14:paraId="77E81F80"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F0D5E2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330" w:type="dxa"/>
            <w:shd w:val="clear" w:color="auto" w:fill="FFFFFF"/>
            <w:noWrap/>
            <w:tcMar>
              <w:top w:w="15" w:type="dxa"/>
              <w:left w:w="0" w:type="dxa"/>
              <w:bottom w:w="0" w:type="dxa"/>
              <w:right w:w="15" w:type="dxa"/>
            </w:tcMar>
            <w:vAlign w:val="bottom"/>
            <w:hideMark/>
          </w:tcPr>
          <w:p w14:paraId="5EE199F7"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0.0</w:t>
            </w:r>
          </w:p>
        </w:tc>
        <w:tc>
          <w:tcPr>
            <w:tcW w:w="243" w:type="dxa"/>
            <w:shd w:val="clear" w:color="auto" w:fill="FFFFFF"/>
            <w:noWrap/>
            <w:tcMar>
              <w:top w:w="15" w:type="dxa"/>
              <w:left w:w="0" w:type="dxa"/>
              <w:bottom w:w="0" w:type="dxa"/>
              <w:right w:w="15" w:type="dxa"/>
            </w:tcMar>
            <w:vAlign w:val="bottom"/>
            <w:hideMark/>
          </w:tcPr>
          <w:p w14:paraId="0FDC817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272" w:type="dxa"/>
            <w:shd w:val="clear" w:color="auto" w:fill="FFFFFF"/>
            <w:tcMar>
              <w:top w:w="15" w:type="dxa"/>
              <w:left w:w="0" w:type="dxa"/>
              <w:bottom w:w="0" w:type="dxa"/>
              <w:right w:w="15" w:type="dxa"/>
            </w:tcMar>
            <w:vAlign w:val="bottom"/>
            <w:hideMark/>
          </w:tcPr>
          <w:p w14:paraId="196022F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182A9BC0"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387" w:type="dxa"/>
            <w:shd w:val="clear" w:color="auto" w:fill="FFFFFF"/>
            <w:noWrap/>
            <w:tcMar>
              <w:top w:w="15" w:type="dxa"/>
              <w:left w:w="0" w:type="dxa"/>
              <w:bottom w:w="0" w:type="dxa"/>
              <w:right w:w="15" w:type="dxa"/>
            </w:tcMar>
            <w:vAlign w:val="bottom"/>
            <w:hideMark/>
          </w:tcPr>
          <w:p w14:paraId="35A5E0CE"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1.0</w:t>
            </w:r>
          </w:p>
        </w:tc>
        <w:tc>
          <w:tcPr>
            <w:tcW w:w="222" w:type="dxa"/>
            <w:shd w:val="clear" w:color="auto" w:fill="FFFFFF"/>
            <w:noWrap/>
            <w:tcMar>
              <w:top w:w="15" w:type="dxa"/>
              <w:left w:w="0" w:type="dxa"/>
              <w:bottom w:w="0" w:type="dxa"/>
              <w:right w:w="15" w:type="dxa"/>
            </w:tcMar>
            <w:vAlign w:val="bottom"/>
            <w:hideMark/>
          </w:tcPr>
          <w:p w14:paraId="37AE005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504E7F45" w14:textId="77777777" w:rsidTr="00AC4931">
        <w:tc>
          <w:tcPr>
            <w:tcW w:w="8545" w:type="dxa"/>
            <w:shd w:val="clear" w:color="auto" w:fill="CFF0FC"/>
            <w:tcMar>
              <w:top w:w="15" w:type="dxa"/>
              <w:left w:w="0" w:type="dxa"/>
              <w:bottom w:w="0" w:type="dxa"/>
              <w:right w:w="15" w:type="dxa"/>
            </w:tcMar>
            <w:hideMark/>
          </w:tcPr>
          <w:p w14:paraId="606C373D" w14:textId="77777777" w:rsidR="00AC4931" w:rsidRPr="00AC4931" w:rsidRDefault="00AC4931" w:rsidP="00AC4931">
            <w:pPr>
              <w:widowControl/>
              <w:ind w:left="821"/>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Japan</w:t>
            </w:r>
          </w:p>
        </w:tc>
        <w:tc>
          <w:tcPr>
            <w:tcW w:w="272" w:type="dxa"/>
            <w:shd w:val="clear" w:color="auto" w:fill="CFF0FC"/>
            <w:tcMar>
              <w:top w:w="15" w:type="dxa"/>
              <w:left w:w="0" w:type="dxa"/>
              <w:bottom w:w="0" w:type="dxa"/>
              <w:right w:w="15" w:type="dxa"/>
            </w:tcMar>
            <w:vAlign w:val="bottom"/>
            <w:hideMark/>
          </w:tcPr>
          <w:p w14:paraId="32900D15"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5B52A40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53" w:type="dxa"/>
            <w:shd w:val="clear" w:color="auto" w:fill="CFF0FC"/>
            <w:noWrap/>
            <w:tcMar>
              <w:top w:w="15" w:type="dxa"/>
              <w:left w:w="0" w:type="dxa"/>
              <w:bottom w:w="0" w:type="dxa"/>
              <w:right w:w="15" w:type="dxa"/>
            </w:tcMar>
            <w:vAlign w:val="bottom"/>
            <w:hideMark/>
          </w:tcPr>
          <w:p w14:paraId="0C6AE89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733</w:t>
            </w:r>
          </w:p>
        </w:tc>
        <w:tc>
          <w:tcPr>
            <w:tcW w:w="190" w:type="dxa"/>
            <w:shd w:val="clear" w:color="auto" w:fill="CFF0FC"/>
            <w:noWrap/>
            <w:tcMar>
              <w:top w:w="15" w:type="dxa"/>
              <w:left w:w="0" w:type="dxa"/>
              <w:bottom w:w="0" w:type="dxa"/>
              <w:right w:w="15" w:type="dxa"/>
            </w:tcMar>
            <w:vAlign w:val="bottom"/>
            <w:hideMark/>
          </w:tcPr>
          <w:p w14:paraId="7C690EF0"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656F0E96"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708F850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53" w:type="dxa"/>
            <w:shd w:val="clear" w:color="auto" w:fill="CFF0FC"/>
            <w:noWrap/>
            <w:tcMar>
              <w:top w:w="15" w:type="dxa"/>
              <w:left w:w="0" w:type="dxa"/>
              <w:bottom w:w="0" w:type="dxa"/>
              <w:right w:w="15" w:type="dxa"/>
            </w:tcMar>
            <w:vAlign w:val="bottom"/>
            <w:hideMark/>
          </w:tcPr>
          <w:p w14:paraId="4CEE628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811</w:t>
            </w:r>
          </w:p>
        </w:tc>
        <w:tc>
          <w:tcPr>
            <w:tcW w:w="190" w:type="dxa"/>
            <w:shd w:val="clear" w:color="auto" w:fill="CFF0FC"/>
            <w:noWrap/>
            <w:tcMar>
              <w:top w:w="15" w:type="dxa"/>
              <w:left w:w="0" w:type="dxa"/>
              <w:bottom w:w="0" w:type="dxa"/>
              <w:right w:w="15" w:type="dxa"/>
            </w:tcMar>
            <w:vAlign w:val="bottom"/>
            <w:hideMark/>
          </w:tcPr>
          <w:p w14:paraId="70460BD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4A40FF30"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3A8AA4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4" w:type="dxa"/>
            <w:shd w:val="clear" w:color="auto" w:fill="CFF0FC"/>
            <w:noWrap/>
            <w:tcMar>
              <w:top w:w="15" w:type="dxa"/>
              <w:left w:w="0" w:type="dxa"/>
              <w:bottom w:w="0" w:type="dxa"/>
              <w:right w:w="15" w:type="dxa"/>
            </w:tcMar>
            <w:vAlign w:val="bottom"/>
            <w:hideMark/>
          </w:tcPr>
          <w:p w14:paraId="73D13C8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(9.6</w:t>
            </w:r>
          </w:p>
        </w:tc>
        <w:tc>
          <w:tcPr>
            <w:tcW w:w="220" w:type="dxa"/>
            <w:shd w:val="clear" w:color="auto" w:fill="CFF0FC"/>
            <w:noWrap/>
            <w:tcMar>
              <w:top w:w="15" w:type="dxa"/>
              <w:left w:w="0" w:type="dxa"/>
              <w:bottom w:w="0" w:type="dxa"/>
              <w:right w:w="15" w:type="dxa"/>
            </w:tcMar>
            <w:vAlign w:val="bottom"/>
            <w:hideMark/>
          </w:tcPr>
          <w:p w14:paraId="3D0C34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1835C04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11EFAD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330" w:type="dxa"/>
            <w:shd w:val="clear" w:color="auto" w:fill="CFF0FC"/>
            <w:noWrap/>
            <w:tcMar>
              <w:top w:w="15" w:type="dxa"/>
              <w:left w:w="0" w:type="dxa"/>
              <w:bottom w:w="0" w:type="dxa"/>
              <w:right w:w="15" w:type="dxa"/>
            </w:tcMar>
            <w:vAlign w:val="bottom"/>
            <w:hideMark/>
          </w:tcPr>
          <w:p w14:paraId="7C895AF9"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1.9</w:t>
            </w:r>
          </w:p>
        </w:tc>
        <w:tc>
          <w:tcPr>
            <w:tcW w:w="243" w:type="dxa"/>
            <w:shd w:val="clear" w:color="auto" w:fill="CFF0FC"/>
            <w:noWrap/>
            <w:tcMar>
              <w:top w:w="15" w:type="dxa"/>
              <w:left w:w="0" w:type="dxa"/>
              <w:bottom w:w="0" w:type="dxa"/>
              <w:right w:w="15" w:type="dxa"/>
            </w:tcMar>
            <w:vAlign w:val="bottom"/>
            <w:hideMark/>
          </w:tcPr>
          <w:p w14:paraId="3C73F8F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48240FE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2A82CC6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387" w:type="dxa"/>
            <w:shd w:val="clear" w:color="auto" w:fill="CFF0FC"/>
            <w:noWrap/>
            <w:tcMar>
              <w:top w:w="15" w:type="dxa"/>
              <w:left w:w="0" w:type="dxa"/>
              <w:bottom w:w="0" w:type="dxa"/>
              <w:right w:w="15" w:type="dxa"/>
            </w:tcMar>
            <w:vAlign w:val="bottom"/>
            <w:hideMark/>
          </w:tcPr>
          <w:p w14:paraId="76E8BA86"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(11.5</w:t>
            </w:r>
          </w:p>
        </w:tc>
        <w:tc>
          <w:tcPr>
            <w:tcW w:w="222" w:type="dxa"/>
            <w:shd w:val="clear" w:color="auto" w:fill="CFF0FC"/>
            <w:noWrap/>
            <w:tcMar>
              <w:top w:w="15" w:type="dxa"/>
              <w:left w:w="0" w:type="dxa"/>
              <w:bottom w:w="0" w:type="dxa"/>
              <w:right w:w="15" w:type="dxa"/>
            </w:tcMar>
            <w:vAlign w:val="bottom"/>
            <w:hideMark/>
          </w:tcPr>
          <w:p w14:paraId="5948937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041D5C92" w14:textId="77777777" w:rsidTr="00AC4931">
        <w:tc>
          <w:tcPr>
            <w:tcW w:w="8545" w:type="dxa"/>
            <w:shd w:val="clear" w:color="auto" w:fill="FFFFFF"/>
            <w:tcMar>
              <w:top w:w="15" w:type="dxa"/>
              <w:left w:w="0" w:type="dxa"/>
              <w:bottom w:w="0" w:type="dxa"/>
              <w:right w:w="15" w:type="dxa"/>
            </w:tcMar>
            <w:hideMark/>
          </w:tcPr>
          <w:p w14:paraId="6E754CA3" w14:textId="77777777" w:rsidR="00AC4931" w:rsidRPr="00AC4931" w:rsidRDefault="00AC4931" w:rsidP="00AC4931">
            <w:pPr>
              <w:widowControl/>
              <w:ind w:left="821"/>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Rest of Asia</w:t>
            </w:r>
          </w:p>
        </w:tc>
        <w:tc>
          <w:tcPr>
            <w:tcW w:w="272" w:type="dxa"/>
            <w:shd w:val="clear" w:color="auto" w:fill="FFFFFF"/>
            <w:tcMar>
              <w:top w:w="15" w:type="dxa"/>
              <w:left w:w="0" w:type="dxa"/>
              <w:bottom w:w="0" w:type="dxa"/>
              <w:right w:w="15" w:type="dxa"/>
            </w:tcMar>
            <w:vAlign w:val="bottom"/>
            <w:hideMark/>
          </w:tcPr>
          <w:p w14:paraId="2509E980"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084F96B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53" w:type="dxa"/>
            <w:shd w:val="clear" w:color="auto" w:fill="FFFFFF"/>
            <w:noWrap/>
            <w:tcMar>
              <w:top w:w="15" w:type="dxa"/>
              <w:left w:w="0" w:type="dxa"/>
              <w:bottom w:w="0" w:type="dxa"/>
              <w:right w:w="15" w:type="dxa"/>
            </w:tcMar>
            <w:vAlign w:val="bottom"/>
            <w:hideMark/>
          </w:tcPr>
          <w:p w14:paraId="70559B55"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769</w:t>
            </w:r>
          </w:p>
        </w:tc>
        <w:tc>
          <w:tcPr>
            <w:tcW w:w="190" w:type="dxa"/>
            <w:shd w:val="clear" w:color="auto" w:fill="FFFFFF"/>
            <w:noWrap/>
            <w:tcMar>
              <w:top w:w="15" w:type="dxa"/>
              <w:left w:w="0" w:type="dxa"/>
              <w:bottom w:w="0" w:type="dxa"/>
              <w:right w:w="15" w:type="dxa"/>
            </w:tcMar>
            <w:vAlign w:val="bottom"/>
            <w:hideMark/>
          </w:tcPr>
          <w:p w14:paraId="1F34F63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72" w:type="dxa"/>
            <w:shd w:val="clear" w:color="auto" w:fill="FFFFFF"/>
            <w:tcMar>
              <w:top w:w="15" w:type="dxa"/>
              <w:left w:w="0" w:type="dxa"/>
              <w:bottom w:w="0" w:type="dxa"/>
              <w:right w:w="15" w:type="dxa"/>
            </w:tcMar>
            <w:vAlign w:val="bottom"/>
            <w:hideMark/>
          </w:tcPr>
          <w:p w14:paraId="4DD5F92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24C3A22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53" w:type="dxa"/>
            <w:shd w:val="clear" w:color="auto" w:fill="FFFFFF"/>
            <w:noWrap/>
            <w:tcMar>
              <w:top w:w="15" w:type="dxa"/>
              <w:left w:w="0" w:type="dxa"/>
              <w:bottom w:w="0" w:type="dxa"/>
              <w:right w:w="15" w:type="dxa"/>
            </w:tcMar>
            <w:vAlign w:val="bottom"/>
            <w:hideMark/>
          </w:tcPr>
          <w:p w14:paraId="0030CEB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841</w:t>
            </w:r>
          </w:p>
        </w:tc>
        <w:tc>
          <w:tcPr>
            <w:tcW w:w="190" w:type="dxa"/>
            <w:shd w:val="clear" w:color="auto" w:fill="FFFFFF"/>
            <w:noWrap/>
            <w:tcMar>
              <w:top w:w="15" w:type="dxa"/>
              <w:left w:w="0" w:type="dxa"/>
              <w:bottom w:w="0" w:type="dxa"/>
              <w:right w:w="15" w:type="dxa"/>
            </w:tcMar>
            <w:vAlign w:val="bottom"/>
            <w:hideMark/>
          </w:tcPr>
          <w:p w14:paraId="6B76474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72" w:type="dxa"/>
            <w:shd w:val="clear" w:color="auto" w:fill="FFFFFF"/>
            <w:tcMar>
              <w:top w:w="15" w:type="dxa"/>
              <w:left w:w="0" w:type="dxa"/>
              <w:bottom w:w="0" w:type="dxa"/>
              <w:right w:w="15" w:type="dxa"/>
            </w:tcMar>
            <w:vAlign w:val="bottom"/>
            <w:hideMark/>
          </w:tcPr>
          <w:p w14:paraId="339A172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39766A90"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54" w:type="dxa"/>
            <w:shd w:val="clear" w:color="auto" w:fill="FFFFFF"/>
            <w:noWrap/>
            <w:tcMar>
              <w:top w:w="15" w:type="dxa"/>
              <w:left w:w="0" w:type="dxa"/>
              <w:bottom w:w="0" w:type="dxa"/>
              <w:right w:w="15" w:type="dxa"/>
            </w:tcMar>
            <w:vAlign w:val="bottom"/>
            <w:hideMark/>
          </w:tcPr>
          <w:p w14:paraId="0EE2EFC8"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(8.5</w:t>
            </w:r>
          </w:p>
        </w:tc>
        <w:tc>
          <w:tcPr>
            <w:tcW w:w="220" w:type="dxa"/>
            <w:shd w:val="clear" w:color="auto" w:fill="FFFFFF"/>
            <w:noWrap/>
            <w:tcMar>
              <w:top w:w="15" w:type="dxa"/>
              <w:left w:w="0" w:type="dxa"/>
              <w:bottom w:w="0" w:type="dxa"/>
              <w:right w:w="15" w:type="dxa"/>
            </w:tcMar>
            <w:vAlign w:val="bottom"/>
            <w:hideMark/>
          </w:tcPr>
          <w:p w14:paraId="33157A7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272" w:type="dxa"/>
            <w:shd w:val="clear" w:color="auto" w:fill="FFFFFF"/>
            <w:tcMar>
              <w:top w:w="15" w:type="dxa"/>
              <w:left w:w="0" w:type="dxa"/>
              <w:bottom w:w="0" w:type="dxa"/>
              <w:right w:w="15" w:type="dxa"/>
            </w:tcMar>
            <w:vAlign w:val="bottom"/>
            <w:hideMark/>
          </w:tcPr>
          <w:p w14:paraId="5A08D50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FE1D35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330" w:type="dxa"/>
            <w:shd w:val="clear" w:color="auto" w:fill="FFFFFF"/>
            <w:noWrap/>
            <w:tcMar>
              <w:top w:w="15" w:type="dxa"/>
              <w:left w:w="0" w:type="dxa"/>
              <w:bottom w:w="0" w:type="dxa"/>
              <w:right w:w="15" w:type="dxa"/>
            </w:tcMar>
            <w:vAlign w:val="bottom"/>
            <w:hideMark/>
          </w:tcPr>
          <w:p w14:paraId="3575DAB2"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(2.0</w:t>
            </w:r>
          </w:p>
        </w:tc>
        <w:tc>
          <w:tcPr>
            <w:tcW w:w="243" w:type="dxa"/>
            <w:shd w:val="clear" w:color="auto" w:fill="FFFFFF"/>
            <w:noWrap/>
            <w:tcMar>
              <w:top w:w="15" w:type="dxa"/>
              <w:left w:w="0" w:type="dxa"/>
              <w:bottom w:w="0" w:type="dxa"/>
              <w:right w:w="15" w:type="dxa"/>
            </w:tcMar>
            <w:vAlign w:val="bottom"/>
            <w:hideMark/>
          </w:tcPr>
          <w:p w14:paraId="05539E95"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272" w:type="dxa"/>
            <w:shd w:val="clear" w:color="auto" w:fill="FFFFFF"/>
            <w:tcMar>
              <w:top w:w="15" w:type="dxa"/>
              <w:left w:w="0" w:type="dxa"/>
              <w:bottom w:w="0" w:type="dxa"/>
              <w:right w:w="15" w:type="dxa"/>
            </w:tcMar>
            <w:vAlign w:val="bottom"/>
            <w:hideMark/>
          </w:tcPr>
          <w:p w14:paraId="73F76B4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75DB88F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387" w:type="dxa"/>
            <w:shd w:val="clear" w:color="auto" w:fill="FFFFFF"/>
            <w:noWrap/>
            <w:tcMar>
              <w:top w:w="15" w:type="dxa"/>
              <w:left w:w="0" w:type="dxa"/>
              <w:bottom w:w="0" w:type="dxa"/>
              <w:right w:w="15" w:type="dxa"/>
            </w:tcMar>
            <w:vAlign w:val="bottom"/>
            <w:hideMark/>
          </w:tcPr>
          <w:p w14:paraId="0223380B"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(6.5</w:t>
            </w:r>
          </w:p>
        </w:tc>
        <w:tc>
          <w:tcPr>
            <w:tcW w:w="222" w:type="dxa"/>
            <w:shd w:val="clear" w:color="auto" w:fill="FFFFFF"/>
            <w:noWrap/>
            <w:tcMar>
              <w:top w:w="15" w:type="dxa"/>
              <w:left w:w="0" w:type="dxa"/>
              <w:bottom w:w="0" w:type="dxa"/>
              <w:right w:w="15" w:type="dxa"/>
            </w:tcMar>
            <w:vAlign w:val="bottom"/>
            <w:hideMark/>
          </w:tcPr>
          <w:p w14:paraId="1C29A14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r>
      <w:tr w:rsidR="00AC4931" w:rsidRPr="00AC4931" w14:paraId="442D874C" w14:textId="77777777" w:rsidTr="00AC4931">
        <w:tc>
          <w:tcPr>
            <w:tcW w:w="8545" w:type="dxa"/>
            <w:shd w:val="clear" w:color="auto" w:fill="CFF0FC"/>
            <w:tcMar>
              <w:top w:w="15" w:type="dxa"/>
              <w:left w:w="0" w:type="dxa"/>
              <w:bottom w:w="0" w:type="dxa"/>
              <w:right w:w="15" w:type="dxa"/>
            </w:tcMar>
            <w:hideMark/>
          </w:tcPr>
          <w:p w14:paraId="7574F8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Americas</w:t>
            </w:r>
          </w:p>
        </w:tc>
        <w:tc>
          <w:tcPr>
            <w:tcW w:w="272" w:type="dxa"/>
            <w:shd w:val="clear" w:color="auto" w:fill="CFF0FC"/>
            <w:tcMar>
              <w:top w:w="15" w:type="dxa"/>
              <w:left w:w="0" w:type="dxa"/>
              <w:bottom w:w="0" w:type="dxa"/>
              <w:right w:w="15" w:type="dxa"/>
            </w:tcMar>
            <w:vAlign w:val="bottom"/>
            <w:hideMark/>
          </w:tcPr>
          <w:p w14:paraId="236E077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4F2126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3" w:type="dxa"/>
            <w:shd w:val="clear" w:color="auto" w:fill="CFF0FC"/>
            <w:noWrap/>
            <w:tcMar>
              <w:top w:w="15" w:type="dxa"/>
              <w:left w:w="0" w:type="dxa"/>
              <w:bottom w:w="0" w:type="dxa"/>
              <w:right w:w="15" w:type="dxa"/>
            </w:tcMar>
            <w:vAlign w:val="bottom"/>
            <w:hideMark/>
          </w:tcPr>
          <w:p w14:paraId="45C6B85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2,337</w:t>
            </w:r>
          </w:p>
        </w:tc>
        <w:tc>
          <w:tcPr>
            <w:tcW w:w="190" w:type="dxa"/>
            <w:shd w:val="clear" w:color="auto" w:fill="CFF0FC"/>
            <w:noWrap/>
            <w:tcMar>
              <w:top w:w="15" w:type="dxa"/>
              <w:left w:w="0" w:type="dxa"/>
              <w:bottom w:w="0" w:type="dxa"/>
              <w:right w:w="15" w:type="dxa"/>
            </w:tcMar>
            <w:vAlign w:val="bottom"/>
            <w:hideMark/>
          </w:tcPr>
          <w:p w14:paraId="739B3B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2554B8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3E33DB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3" w:type="dxa"/>
            <w:shd w:val="clear" w:color="auto" w:fill="CFF0FC"/>
            <w:noWrap/>
            <w:tcMar>
              <w:top w:w="15" w:type="dxa"/>
              <w:left w:w="0" w:type="dxa"/>
              <w:bottom w:w="0" w:type="dxa"/>
              <w:right w:w="15" w:type="dxa"/>
            </w:tcMar>
            <w:vAlign w:val="bottom"/>
            <w:hideMark/>
          </w:tcPr>
          <w:p w14:paraId="668AF05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2,907</w:t>
            </w:r>
          </w:p>
        </w:tc>
        <w:tc>
          <w:tcPr>
            <w:tcW w:w="190" w:type="dxa"/>
            <w:shd w:val="clear" w:color="auto" w:fill="CFF0FC"/>
            <w:noWrap/>
            <w:tcMar>
              <w:top w:w="15" w:type="dxa"/>
              <w:left w:w="0" w:type="dxa"/>
              <w:bottom w:w="0" w:type="dxa"/>
              <w:right w:w="15" w:type="dxa"/>
            </w:tcMar>
            <w:vAlign w:val="bottom"/>
            <w:hideMark/>
          </w:tcPr>
          <w:p w14:paraId="7B342B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1B6B2B3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79647F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4" w:type="dxa"/>
            <w:shd w:val="clear" w:color="auto" w:fill="CFF0FC"/>
            <w:noWrap/>
            <w:tcMar>
              <w:top w:w="15" w:type="dxa"/>
              <w:left w:w="0" w:type="dxa"/>
              <w:bottom w:w="0" w:type="dxa"/>
              <w:right w:w="15" w:type="dxa"/>
            </w:tcMar>
            <w:vAlign w:val="bottom"/>
            <w:hideMark/>
          </w:tcPr>
          <w:p w14:paraId="1F6D81F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(19.6</w:t>
            </w:r>
          </w:p>
        </w:tc>
        <w:tc>
          <w:tcPr>
            <w:tcW w:w="220" w:type="dxa"/>
            <w:shd w:val="clear" w:color="auto" w:fill="CFF0FC"/>
            <w:noWrap/>
            <w:tcMar>
              <w:top w:w="15" w:type="dxa"/>
              <w:left w:w="0" w:type="dxa"/>
              <w:bottom w:w="0" w:type="dxa"/>
              <w:right w:w="15" w:type="dxa"/>
            </w:tcMar>
            <w:vAlign w:val="bottom"/>
            <w:hideMark/>
          </w:tcPr>
          <w:p w14:paraId="471F68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1B0251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30E22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30" w:type="dxa"/>
            <w:shd w:val="clear" w:color="auto" w:fill="CFF0FC"/>
            <w:noWrap/>
            <w:tcMar>
              <w:top w:w="15" w:type="dxa"/>
              <w:left w:w="0" w:type="dxa"/>
              <w:bottom w:w="0" w:type="dxa"/>
              <w:right w:w="15" w:type="dxa"/>
            </w:tcMar>
            <w:vAlign w:val="bottom"/>
            <w:hideMark/>
          </w:tcPr>
          <w:p w14:paraId="105DD30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(3.3</w:t>
            </w:r>
          </w:p>
        </w:tc>
        <w:tc>
          <w:tcPr>
            <w:tcW w:w="243" w:type="dxa"/>
            <w:shd w:val="clear" w:color="auto" w:fill="CFF0FC"/>
            <w:noWrap/>
            <w:tcMar>
              <w:top w:w="15" w:type="dxa"/>
              <w:left w:w="0" w:type="dxa"/>
              <w:bottom w:w="0" w:type="dxa"/>
              <w:right w:w="15" w:type="dxa"/>
            </w:tcMar>
            <w:vAlign w:val="bottom"/>
            <w:hideMark/>
          </w:tcPr>
          <w:p w14:paraId="7A75AE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0FC580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26D937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87" w:type="dxa"/>
            <w:shd w:val="clear" w:color="auto" w:fill="CFF0FC"/>
            <w:noWrap/>
            <w:tcMar>
              <w:top w:w="15" w:type="dxa"/>
              <w:left w:w="0" w:type="dxa"/>
              <w:bottom w:w="0" w:type="dxa"/>
              <w:right w:w="15" w:type="dxa"/>
            </w:tcMar>
            <w:vAlign w:val="bottom"/>
            <w:hideMark/>
          </w:tcPr>
          <w:p w14:paraId="7645A91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(16.3</w:t>
            </w:r>
          </w:p>
        </w:tc>
        <w:tc>
          <w:tcPr>
            <w:tcW w:w="222" w:type="dxa"/>
            <w:shd w:val="clear" w:color="auto" w:fill="CFF0FC"/>
            <w:noWrap/>
            <w:tcMar>
              <w:top w:w="15" w:type="dxa"/>
              <w:left w:w="0" w:type="dxa"/>
              <w:bottom w:w="0" w:type="dxa"/>
              <w:right w:w="15" w:type="dxa"/>
            </w:tcMar>
            <w:vAlign w:val="bottom"/>
            <w:hideMark/>
          </w:tcPr>
          <w:p w14:paraId="6974E2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E599CEC" w14:textId="77777777" w:rsidTr="00AC4931">
        <w:tc>
          <w:tcPr>
            <w:tcW w:w="8545" w:type="dxa"/>
            <w:shd w:val="clear" w:color="auto" w:fill="FFFFFF"/>
            <w:tcMar>
              <w:top w:w="15" w:type="dxa"/>
              <w:left w:w="0" w:type="dxa"/>
              <w:bottom w:w="0" w:type="dxa"/>
              <w:right w:w="15" w:type="dxa"/>
            </w:tcMar>
            <w:hideMark/>
          </w:tcPr>
          <w:p w14:paraId="21AC4A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Europe</w:t>
            </w:r>
          </w:p>
        </w:tc>
        <w:tc>
          <w:tcPr>
            <w:tcW w:w="272" w:type="dxa"/>
            <w:shd w:val="clear" w:color="auto" w:fill="FFFFFF"/>
            <w:tcMar>
              <w:top w:w="15" w:type="dxa"/>
              <w:left w:w="0" w:type="dxa"/>
              <w:bottom w:w="0" w:type="dxa"/>
              <w:right w:w="15" w:type="dxa"/>
            </w:tcMar>
            <w:vAlign w:val="bottom"/>
            <w:hideMark/>
          </w:tcPr>
          <w:p w14:paraId="69B791B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425D54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3" w:type="dxa"/>
            <w:tcBorders>
              <w:bottom w:val="single" w:sz="6" w:space="0" w:color="000000"/>
            </w:tcBorders>
            <w:shd w:val="clear" w:color="auto" w:fill="FFFFFF"/>
            <w:noWrap/>
            <w:tcMar>
              <w:top w:w="15" w:type="dxa"/>
              <w:left w:w="0" w:type="dxa"/>
              <w:bottom w:w="0" w:type="dxa"/>
              <w:right w:w="15" w:type="dxa"/>
            </w:tcMar>
            <w:vAlign w:val="bottom"/>
            <w:hideMark/>
          </w:tcPr>
          <w:p w14:paraId="119293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2,067</w:t>
            </w:r>
          </w:p>
        </w:tc>
        <w:tc>
          <w:tcPr>
            <w:tcW w:w="190" w:type="dxa"/>
            <w:shd w:val="clear" w:color="auto" w:fill="FFFFFF"/>
            <w:noWrap/>
            <w:tcMar>
              <w:top w:w="15" w:type="dxa"/>
              <w:left w:w="0" w:type="dxa"/>
              <w:bottom w:w="0" w:type="dxa"/>
              <w:right w:w="15" w:type="dxa"/>
            </w:tcMar>
            <w:vAlign w:val="bottom"/>
            <w:hideMark/>
          </w:tcPr>
          <w:p w14:paraId="3F3A1F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2" w:type="dxa"/>
            <w:shd w:val="clear" w:color="auto" w:fill="FFFFFF"/>
            <w:tcMar>
              <w:top w:w="15" w:type="dxa"/>
              <w:left w:w="0" w:type="dxa"/>
              <w:bottom w:w="0" w:type="dxa"/>
              <w:right w:w="15" w:type="dxa"/>
            </w:tcMar>
            <w:vAlign w:val="bottom"/>
            <w:hideMark/>
          </w:tcPr>
          <w:p w14:paraId="33CF0FC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299C4F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3" w:type="dxa"/>
            <w:tcBorders>
              <w:bottom w:val="single" w:sz="6" w:space="0" w:color="000000"/>
            </w:tcBorders>
            <w:shd w:val="clear" w:color="auto" w:fill="FFFFFF"/>
            <w:noWrap/>
            <w:tcMar>
              <w:top w:w="15" w:type="dxa"/>
              <w:left w:w="0" w:type="dxa"/>
              <w:bottom w:w="0" w:type="dxa"/>
              <w:right w:w="15" w:type="dxa"/>
            </w:tcMar>
            <w:vAlign w:val="bottom"/>
            <w:hideMark/>
          </w:tcPr>
          <w:p w14:paraId="6CB4329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2,464</w:t>
            </w:r>
          </w:p>
        </w:tc>
        <w:tc>
          <w:tcPr>
            <w:tcW w:w="190" w:type="dxa"/>
            <w:shd w:val="clear" w:color="auto" w:fill="FFFFFF"/>
            <w:noWrap/>
            <w:tcMar>
              <w:top w:w="15" w:type="dxa"/>
              <w:left w:w="0" w:type="dxa"/>
              <w:bottom w:w="0" w:type="dxa"/>
              <w:right w:w="15" w:type="dxa"/>
            </w:tcMar>
            <w:vAlign w:val="bottom"/>
            <w:hideMark/>
          </w:tcPr>
          <w:p w14:paraId="580664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2" w:type="dxa"/>
            <w:shd w:val="clear" w:color="auto" w:fill="FFFFFF"/>
            <w:tcMar>
              <w:top w:w="15" w:type="dxa"/>
              <w:left w:w="0" w:type="dxa"/>
              <w:bottom w:w="0" w:type="dxa"/>
              <w:right w:w="15" w:type="dxa"/>
            </w:tcMar>
            <w:vAlign w:val="bottom"/>
            <w:hideMark/>
          </w:tcPr>
          <w:p w14:paraId="0859269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5F2B40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54" w:type="dxa"/>
            <w:shd w:val="clear" w:color="auto" w:fill="FFFFFF"/>
            <w:noWrap/>
            <w:tcMar>
              <w:top w:w="15" w:type="dxa"/>
              <w:left w:w="0" w:type="dxa"/>
              <w:bottom w:w="0" w:type="dxa"/>
              <w:right w:w="15" w:type="dxa"/>
            </w:tcMar>
            <w:vAlign w:val="bottom"/>
            <w:hideMark/>
          </w:tcPr>
          <w:p w14:paraId="194A1B2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(16.1</w:t>
            </w:r>
          </w:p>
        </w:tc>
        <w:tc>
          <w:tcPr>
            <w:tcW w:w="220" w:type="dxa"/>
            <w:shd w:val="clear" w:color="auto" w:fill="FFFFFF"/>
            <w:noWrap/>
            <w:tcMar>
              <w:top w:w="15" w:type="dxa"/>
              <w:left w:w="0" w:type="dxa"/>
              <w:bottom w:w="0" w:type="dxa"/>
              <w:right w:w="15" w:type="dxa"/>
            </w:tcMar>
            <w:vAlign w:val="bottom"/>
            <w:hideMark/>
          </w:tcPr>
          <w:p w14:paraId="4B0147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2" w:type="dxa"/>
            <w:shd w:val="clear" w:color="auto" w:fill="FFFFFF"/>
            <w:tcMar>
              <w:top w:w="15" w:type="dxa"/>
              <w:left w:w="0" w:type="dxa"/>
              <w:bottom w:w="0" w:type="dxa"/>
              <w:right w:w="15" w:type="dxa"/>
            </w:tcMar>
            <w:vAlign w:val="bottom"/>
            <w:hideMark/>
          </w:tcPr>
          <w:p w14:paraId="0B2084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99409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30" w:type="dxa"/>
            <w:shd w:val="clear" w:color="auto" w:fill="FFFFFF"/>
            <w:noWrap/>
            <w:tcMar>
              <w:top w:w="15" w:type="dxa"/>
              <w:left w:w="0" w:type="dxa"/>
              <w:bottom w:w="0" w:type="dxa"/>
              <w:right w:w="15" w:type="dxa"/>
            </w:tcMar>
            <w:vAlign w:val="bottom"/>
            <w:hideMark/>
          </w:tcPr>
          <w:p w14:paraId="3F4939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w:t>
            </w:r>
          </w:p>
        </w:tc>
        <w:tc>
          <w:tcPr>
            <w:tcW w:w="243" w:type="dxa"/>
            <w:shd w:val="clear" w:color="auto" w:fill="FFFFFF"/>
            <w:noWrap/>
            <w:tcMar>
              <w:top w:w="15" w:type="dxa"/>
              <w:left w:w="0" w:type="dxa"/>
              <w:bottom w:w="0" w:type="dxa"/>
              <w:right w:w="15" w:type="dxa"/>
            </w:tcMar>
            <w:vAlign w:val="bottom"/>
            <w:hideMark/>
          </w:tcPr>
          <w:p w14:paraId="7739FF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2" w:type="dxa"/>
            <w:shd w:val="clear" w:color="auto" w:fill="FFFFFF"/>
            <w:tcMar>
              <w:top w:w="15" w:type="dxa"/>
              <w:left w:w="0" w:type="dxa"/>
              <w:bottom w:w="0" w:type="dxa"/>
              <w:right w:w="15" w:type="dxa"/>
            </w:tcMar>
            <w:vAlign w:val="bottom"/>
            <w:hideMark/>
          </w:tcPr>
          <w:p w14:paraId="071A0E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0DBA04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87" w:type="dxa"/>
            <w:shd w:val="clear" w:color="auto" w:fill="FFFFFF"/>
            <w:noWrap/>
            <w:tcMar>
              <w:top w:w="15" w:type="dxa"/>
              <w:left w:w="0" w:type="dxa"/>
              <w:bottom w:w="0" w:type="dxa"/>
              <w:right w:w="15" w:type="dxa"/>
            </w:tcMar>
            <w:vAlign w:val="bottom"/>
            <w:hideMark/>
          </w:tcPr>
          <w:p w14:paraId="344B0A1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(17.0</w:t>
            </w:r>
          </w:p>
        </w:tc>
        <w:tc>
          <w:tcPr>
            <w:tcW w:w="222" w:type="dxa"/>
            <w:shd w:val="clear" w:color="auto" w:fill="FFFFFF"/>
            <w:noWrap/>
            <w:tcMar>
              <w:top w:w="15" w:type="dxa"/>
              <w:left w:w="0" w:type="dxa"/>
              <w:bottom w:w="0" w:type="dxa"/>
              <w:right w:w="15" w:type="dxa"/>
            </w:tcMar>
            <w:vAlign w:val="bottom"/>
            <w:hideMark/>
          </w:tcPr>
          <w:p w14:paraId="3DCE4C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9FACCD4" w14:textId="77777777" w:rsidTr="00AC4931">
        <w:tc>
          <w:tcPr>
            <w:tcW w:w="8545" w:type="dxa"/>
            <w:shd w:val="clear" w:color="auto" w:fill="CFF0FC"/>
            <w:tcMar>
              <w:top w:w="15" w:type="dxa"/>
              <w:left w:w="0" w:type="dxa"/>
              <w:bottom w:w="0" w:type="dxa"/>
              <w:right w:w="15" w:type="dxa"/>
            </w:tcMar>
            <w:hideMark/>
          </w:tcPr>
          <w:p w14:paraId="3EE5DC1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Global</w:t>
            </w:r>
          </w:p>
        </w:tc>
        <w:tc>
          <w:tcPr>
            <w:tcW w:w="272" w:type="dxa"/>
            <w:shd w:val="clear" w:color="auto" w:fill="CFF0FC"/>
            <w:tcMar>
              <w:top w:w="15" w:type="dxa"/>
              <w:left w:w="0" w:type="dxa"/>
              <w:bottom w:w="0" w:type="dxa"/>
              <w:right w:w="15" w:type="dxa"/>
            </w:tcMar>
            <w:vAlign w:val="bottom"/>
            <w:hideMark/>
          </w:tcPr>
          <w:p w14:paraId="1338DD0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0783653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53" w:type="dxa"/>
            <w:tcBorders>
              <w:top w:val="single" w:sz="6" w:space="0" w:color="000000"/>
            </w:tcBorders>
            <w:shd w:val="clear" w:color="auto" w:fill="CFF0FC"/>
            <w:noWrap/>
            <w:tcMar>
              <w:top w:w="15" w:type="dxa"/>
              <w:left w:w="0" w:type="dxa"/>
              <w:bottom w:w="0" w:type="dxa"/>
              <w:right w:w="15" w:type="dxa"/>
            </w:tcMar>
            <w:vAlign w:val="bottom"/>
            <w:hideMark/>
          </w:tcPr>
          <w:p w14:paraId="56CF313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7,447</w:t>
            </w:r>
          </w:p>
        </w:tc>
        <w:tc>
          <w:tcPr>
            <w:tcW w:w="190" w:type="dxa"/>
            <w:shd w:val="clear" w:color="auto" w:fill="CFF0FC"/>
            <w:noWrap/>
            <w:tcMar>
              <w:top w:w="15" w:type="dxa"/>
              <w:left w:w="0" w:type="dxa"/>
              <w:bottom w:w="0" w:type="dxa"/>
              <w:right w:w="15" w:type="dxa"/>
            </w:tcMar>
            <w:vAlign w:val="bottom"/>
            <w:hideMark/>
          </w:tcPr>
          <w:p w14:paraId="659F1DC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2447757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6471A22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53" w:type="dxa"/>
            <w:tcBorders>
              <w:top w:val="single" w:sz="6" w:space="0" w:color="000000"/>
            </w:tcBorders>
            <w:shd w:val="clear" w:color="auto" w:fill="CFF0FC"/>
            <w:noWrap/>
            <w:tcMar>
              <w:top w:w="15" w:type="dxa"/>
              <w:left w:w="0" w:type="dxa"/>
              <w:bottom w:w="0" w:type="dxa"/>
              <w:right w:w="15" w:type="dxa"/>
            </w:tcMar>
            <w:vAlign w:val="bottom"/>
            <w:hideMark/>
          </w:tcPr>
          <w:p w14:paraId="7666A92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8,548</w:t>
            </w:r>
          </w:p>
        </w:tc>
        <w:tc>
          <w:tcPr>
            <w:tcW w:w="190" w:type="dxa"/>
            <w:shd w:val="clear" w:color="auto" w:fill="CFF0FC"/>
            <w:noWrap/>
            <w:tcMar>
              <w:top w:w="15" w:type="dxa"/>
              <w:left w:w="0" w:type="dxa"/>
              <w:bottom w:w="0" w:type="dxa"/>
              <w:right w:w="15" w:type="dxa"/>
            </w:tcMar>
            <w:vAlign w:val="bottom"/>
            <w:hideMark/>
          </w:tcPr>
          <w:p w14:paraId="5B74281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2" w:type="dxa"/>
            <w:shd w:val="clear" w:color="auto" w:fill="CFF0FC"/>
            <w:tcMar>
              <w:top w:w="15" w:type="dxa"/>
              <w:left w:w="0" w:type="dxa"/>
              <w:bottom w:w="0" w:type="dxa"/>
              <w:right w:w="15" w:type="dxa"/>
            </w:tcMar>
            <w:vAlign w:val="bottom"/>
            <w:hideMark/>
          </w:tcPr>
          <w:p w14:paraId="1232DBF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442E466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54" w:type="dxa"/>
            <w:shd w:val="clear" w:color="auto" w:fill="CFF0FC"/>
            <w:noWrap/>
            <w:tcMar>
              <w:top w:w="15" w:type="dxa"/>
              <w:left w:w="0" w:type="dxa"/>
              <w:bottom w:w="0" w:type="dxa"/>
              <w:right w:w="15" w:type="dxa"/>
            </w:tcMar>
            <w:vAlign w:val="bottom"/>
            <w:hideMark/>
          </w:tcPr>
          <w:p w14:paraId="3E4F16C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(12.9</w:t>
            </w:r>
          </w:p>
        </w:tc>
        <w:tc>
          <w:tcPr>
            <w:tcW w:w="220" w:type="dxa"/>
            <w:shd w:val="clear" w:color="auto" w:fill="CFF0FC"/>
            <w:noWrap/>
            <w:tcMar>
              <w:top w:w="15" w:type="dxa"/>
              <w:left w:w="0" w:type="dxa"/>
              <w:bottom w:w="0" w:type="dxa"/>
              <w:right w:w="15" w:type="dxa"/>
            </w:tcMar>
            <w:vAlign w:val="bottom"/>
            <w:hideMark/>
          </w:tcPr>
          <w:p w14:paraId="7B2905A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6FCB27E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FC64DA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330" w:type="dxa"/>
            <w:shd w:val="clear" w:color="auto" w:fill="CFF0FC"/>
            <w:noWrap/>
            <w:tcMar>
              <w:top w:w="15" w:type="dxa"/>
              <w:left w:w="0" w:type="dxa"/>
              <w:bottom w:w="0" w:type="dxa"/>
              <w:right w:w="15" w:type="dxa"/>
            </w:tcMar>
            <w:vAlign w:val="bottom"/>
            <w:hideMark/>
          </w:tcPr>
          <w:p w14:paraId="559D512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(0.9</w:t>
            </w:r>
          </w:p>
        </w:tc>
        <w:tc>
          <w:tcPr>
            <w:tcW w:w="243" w:type="dxa"/>
            <w:shd w:val="clear" w:color="auto" w:fill="CFF0FC"/>
            <w:noWrap/>
            <w:tcMar>
              <w:top w:w="15" w:type="dxa"/>
              <w:left w:w="0" w:type="dxa"/>
              <w:bottom w:w="0" w:type="dxa"/>
              <w:right w:w="15" w:type="dxa"/>
            </w:tcMar>
            <w:vAlign w:val="bottom"/>
            <w:hideMark/>
          </w:tcPr>
          <w:p w14:paraId="0F3E8D4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72" w:type="dxa"/>
            <w:shd w:val="clear" w:color="auto" w:fill="CFF0FC"/>
            <w:tcMar>
              <w:top w:w="15" w:type="dxa"/>
              <w:left w:w="0" w:type="dxa"/>
              <w:bottom w:w="0" w:type="dxa"/>
              <w:right w:w="15" w:type="dxa"/>
            </w:tcMar>
            <w:vAlign w:val="bottom"/>
            <w:hideMark/>
          </w:tcPr>
          <w:p w14:paraId="6DBE7CE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3FCBDA1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387" w:type="dxa"/>
            <w:shd w:val="clear" w:color="auto" w:fill="CFF0FC"/>
            <w:noWrap/>
            <w:tcMar>
              <w:top w:w="15" w:type="dxa"/>
              <w:left w:w="0" w:type="dxa"/>
              <w:bottom w:w="0" w:type="dxa"/>
              <w:right w:w="15" w:type="dxa"/>
            </w:tcMar>
            <w:vAlign w:val="bottom"/>
            <w:hideMark/>
          </w:tcPr>
          <w:p w14:paraId="0A7B0C4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(12.0</w:t>
            </w:r>
          </w:p>
        </w:tc>
        <w:tc>
          <w:tcPr>
            <w:tcW w:w="222" w:type="dxa"/>
            <w:shd w:val="clear" w:color="auto" w:fill="CFF0FC"/>
            <w:noWrap/>
            <w:tcMar>
              <w:top w:w="15" w:type="dxa"/>
              <w:left w:w="0" w:type="dxa"/>
              <w:bottom w:w="0" w:type="dxa"/>
              <w:right w:w="15" w:type="dxa"/>
            </w:tcMar>
            <w:vAlign w:val="bottom"/>
            <w:hideMark/>
          </w:tcPr>
          <w:p w14:paraId="2D9220A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bl>
    <w:p w14:paraId="0590C307" w14:textId="77777777" w:rsidR="00AC4931" w:rsidRPr="00AC4931" w:rsidRDefault="00AC4931" w:rsidP="00AC4931">
      <w:pPr>
        <w:widowControl/>
        <w:ind w:left="919" w:hanging="546"/>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p w14:paraId="1D968723"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33</w:t>
      </w:r>
    </w:p>
    <w:p w14:paraId="32CB07E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1FB1FF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A06ABB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CF6428E"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2D8D056">
          <v:rect id="_x0000_i1060" style="width:0;height:1.5pt" o:hralign="center" o:hrstd="t" o:hrnoshade="t" o:hr="t" fillcolor="black" stroked="f"/>
        </w:pict>
      </w:r>
    </w:p>
    <w:p w14:paraId="4E64087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EA5B6F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669E81E"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7FAA96F"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22015ED1" w14:textId="77777777" w:rsidTr="00AC4931">
        <w:tc>
          <w:tcPr>
            <w:tcW w:w="919" w:type="dxa"/>
            <w:noWrap/>
            <w:hideMark/>
          </w:tcPr>
          <w:p w14:paraId="3642B555"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1)</w:t>
            </w:r>
          </w:p>
        </w:tc>
        <w:tc>
          <w:tcPr>
            <w:tcW w:w="0" w:type="auto"/>
            <w:hideMark/>
          </w:tcPr>
          <w:p w14:paraId="38334596"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Effects from currency translations.</w:t>
            </w:r>
          </w:p>
        </w:tc>
      </w:tr>
    </w:tbl>
    <w:p w14:paraId="299F2ACE"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For the full year 2020, Autoliv’s sales decreased organically (see section Non-U.S. GAAP Performance Measures) by 12.0% compared to full year 2019, around 5pp better than LVP (according to IHS Markit). Sales declined organically in all regions except China. Our organic sales development outperformed LVP in all regions - by around 7pp in Americas, 6pp in China, and 5pp in Europe.</w:t>
      </w:r>
    </w:p>
    <w:p w14:paraId="5A39E120" w14:textId="77777777" w:rsidR="00AC4931" w:rsidRPr="00AC4931" w:rsidRDefault="00AC4931" w:rsidP="00AC4931">
      <w:pPr>
        <w:widowControl/>
        <w:spacing w:before="240"/>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8402"/>
        <w:gridCol w:w="192"/>
        <w:gridCol w:w="200"/>
        <w:gridCol w:w="1176"/>
        <w:gridCol w:w="237"/>
        <w:gridCol w:w="191"/>
        <w:gridCol w:w="199"/>
        <w:gridCol w:w="1461"/>
        <w:gridCol w:w="237"/>
        <w:gridCol w:w="191"/>
        <w:gridCol w:w="199"/>
        <w:gridCol w:w="1461"/>
        <w:gridCol w:w="200"/>
        <w:gridCol w:w="191"/>
        <w:gridCol w:w="199"/>
        <w:gridCol w:w="1463"/>
        <w:gridCol w:w="237"/>
        <w:gridCol w:w="191"/>
        <w:gridCol w:w="199"/>
        <w:gridCol w:w="1463"/>
        <w:gridCol w:w="237"/>
        <w:gridCol w:w="191"/>
        <w:gridCol w:w="199"/>
        <w:gridCol w:w="1461"/>
        <w:gridCol w:w="237"/>
      </w:tblGrid>
      <w:tr w:rsidR="00AC4931" w:rsidRPr="00AC4931" w14:paraId="5B25C795" w14:textId="77777777" w:rsidTr="00AC4931">
        <w:tc>
          <w:tcPr>
            <w:tcW w:w="8338" w:type="dxa"/>
            <w:shd w:val="clear" w:color="auto" w:fill="FFFFFF"/>
            <w:tcMar>
              <w:top w:w="15" w:type="dxa"/>
              <w:left w:w="0" w:type="dxa"/>
              <w:bottom w:w="0" w:type="dxa"/>
              <w:right w:w="15" w:type="dxa"/>
            </w:tcMar>
            <w:vAlign w:val="bottom"/>
            <w:hideMark/>
          </w:tcPr>
          <w:p w14:paraId="797E5C9E" w14:textId="77777777" w:rsidR="00AC4931" w:rsidRPr="00AC4931" w:rsidRDefault="00AC4931" w:rsidP="00AC4931">
            <w:pPr>
              <w:widowControl/>
              <w:jc w:val="left"/>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u w:val="single"/>
              </w:rPr>
              <w:t>2020 Organic growth</w:t>
            </w:r>
            <w:r w:rsidRPr="00AC4931">
              <w:rPr>
                <w:rFonts w:ascii="Arial" w:eastAsia="宋体" w:hAnsi="Arial" w:cs="Arial"/>
                <w:b/>
                <w:bCs/>
                <w:color w:val="000000"/>
                <w:kern w:val="0"/>
                <w:sz w:val="18"/>
                <w:szCs w:val="18"/>
                <w:u w:val="single"/>
                <w:vertAlign w:val="superscript"/>
              </w:rPr>
              <w:t>1</w:t>
            </w:r>
            <w:r w:rsidRPr="00AC4931">
              <w:rPr>
                <w:rFonts w:ascii="Arial" w:eastAsia="宋体" w:hAnsi="Arial" w:cs="Arial"/>
                <w:b/>
                <w:bCs/>
                <w:color w:val="000000"/>
                <w:kern w:val="0"/>
                <w:sz w:val="18"/>
                <w:szCs w:val="18"/>
                <w:vertAlign w:val="superscript"/>
              </w:rPr>
              <w:t>)</w:t>
            </w:r>
          </w:p>
        </w:tc>
        <w:tc>
          <w:tcPr>
            <w:tcW w:w="190" w:type="dxa"/>
            <w:shd w:val="clear" w:color="auto" w:fill="FFFFFF"/>
            <w:tcMar>
              <w:top w:w="15" w:type="dxa"/>
              <w:left w:w="0" w:type="dxa"/>
              <w:bottom w:w="0" w:type="dxa"/>
              <w:right w:w="15" w:type="dxa"/>
            </w:tcMar>
            <w:vAlign w:val="bottom"/>
            <w:hideMark/>
          </w:tcPr>
          <w:p w14:paraId="7FB40AF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6" w:type="dxa"/>
            <w:gridSpan w:val="2"/>
            <w:tcBorders>
              <w:bottom w:val="single" w:sz="6" w:space="0" w:color="000000"/>
            </w:tcBorders>
            <w:shd w:val="clear" w:color="auto" w:fill="FFFFFF"/>
            <w:tcMar>
              <w:top w:w="15" w:type="dxa"/>
              <w:left w:w="0" w:type="dxa"/>
              <w:bottom w:w="0" w:type="dxa"/>
              <w:right w:w="15" w:type="dxa"/>
            </w:tcMar>
            <w:vAlign w:val="bottom"/>
            <w:hideMark/>
          </w:tcPr>
          <w:p w14:paraId="391673D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Americas</w:t>
            </w:r>
          </w:p>
        </w:tc>
        <w:tc>
          <w:tcPr>
            <w:tcW w:w="220" w:type="dxa"/>
            <w:shd w:val="clear" w:color="auto" w:fill="FFFFFF"/>
            <w:noWrap/>
            <w:tcMar>
              <w:top w:w="15" w:type="dxa"/>
              <w:left w:w="0" w:type="dxa"/>
              <w:bottom w:w="0" w:type="dxa"/>
              <w:right w:w="15" w:type="dxa"/>
            </w:tcMar>
            <w:vAlign w:val="bottom"/>
            <w:hideMark/>
          </w:tcPr>
          <w:p w14:paraId="2D66B02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5781D3F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40" w:type="dxa"/>
            <w:gridSpan w:val="2"/>
            <w:tcBorders>
              <w:bottom w:val="single" w:sz="6" w:space="0" w:color="000000"/>
            </w:tcBorders>
            <w:shd w:val="clear" w:color="auto" w:fill="FFFFFF"/>
            <w:tcMar>
              <w:top w:w="15" w:type="dxa"/>
              <w:left w:w="0" w:type="dxa"/>
              <w:bottom w:w="0" w:type="dxa"/>
              <w:right w:w="15" w:type="dxa"/>
            </w:tcMar>
            <w:vAlign w:val="bottom"/>
            <w:hideMark/>
          </w:tcPr>
          <w:p w14:paraId="2AAC885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Europe</w:t>
            </w:r>
          </w:p>
        </w:tc>
        <w:tc>
          <w:tcPr>
            <w:tcW w:w="220" w:type="dxa"/>
            <w:shd w:val="clear" w:color="auto" w:fill="FFFFFF"/>
            <w:noWrap/>
            <w:tcMar>
              <w:top w:w="15" w:type="dxa"/>
              <w:left w:w="0" w:type="dxa"/>
              <w:bottom w:w="0" w:type="dxa"/>
              <w:right w:w="15" w:type="dxa"/>
            </w:tcMar>
            <w:vAlign w:val="bottom"/>
            <w:hideMark/>
          </w:tcPr>
          <w:p w14:paraId="37F81A0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440B218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40" w:type="dxa"/>
            <w:gridSpan w:val="2"/>
            <w:tcBorders>
              <w:bottom w:val="single" w:sz="6" w:space="0" w:color="000000"/>
            </w:tcBorders>
            <w:shd w:val="clear" w:color="auto" w:fill="FFFFFF"/>
            <w:tcMar>
              <w:top w:w="15" w:type="dxa"/>
              <w:left w:w="0" w:type="dxa"/>
              <w:bottom w:w="0" w:type="dxa"/>
              <w:right w:w="15" w:type="dxa"/>
            </w:tcMar>
            <w:vAlign w:val="bottom"/>
            <w:hideMark/>
          </w:tcPr>
          <w:p w14:paraId="7A1257F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China</w:t>
            </w:r>
          </w:p>
        </w:tc>
        <w:tc>
          <w:tcPr>
            <w:tcW w:w="191" w:type="dxa"/>
            <w:shd w:val="clear" w:color="auto" w:fill="FFFFFF"/>
            <w:noWrap/>
            <w:tcMar>
              <w:top w:w="15" w:type="dxa"/>
              <w:left w:w="0" w:type="dxa"/>
              <w:bottom w:w="0" w:type="dxa"/>
              <w:right w:w="15" w:type="dxa"/>
            </w:tcMar>
            <w:vAlign w:val="bottom"/>
            <w:hideMark/>
          </w:tcPr>
          <w:p w14:paraId="2CC483D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0A03312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42" w:type="dxa"/>
            <w:gridSpan w:val="2"/>
            <w:tcBorders>
              <w:bottom w:val="single" w:sz="6" w:space="0" w:color="000000"/>
            </w:tcBorders>
            <w:shd w:val="clear" w:color="auto" w:fill="FFFFFF"/>
            <w:tcMar>
              <w:top w:w="15" w:type="dxa"/>
              <w:left w:w="0" w:type="dxa"/>
              <w:bottom w:w="0" w:type="dxa"/>
              <w:right w:w="15" w:type="dxa"/>
            </w:tcMar>
            <w:vAlign w:val="bottom"/>
            <w:hideMark/>
          </w:tcPr>
          <w:p w14:paraId="3781F27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Japan</w:t>
            </w:r>
          </w:p>
        </w:tc>
        <w:tc>
          <w:tcPr>
            <w:tcW w:w="220" w:type="dxa"/>
            <w:shd w:val="clear" w:color="auto" w:fill="FFFFFF"/>
            <w:noWrap/>
            <w:tcMar>
              <w:top w:w="15" w:type="dxa"/>
              <w:left w:w="0" w:type="dxa"/>
              <w:bottom w:w="0" w:type="dxa"/>
              <w:right w:w="15" w:type="dxa"/>
            </w:tcMar>
            <w:vAlign w:val="bottom"/>
            <w:hideMark/>
          </w:tcPr>
          <w:p w14:paraId="0F3FDA1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1F9F28F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42" w:type="dxa"/>
            <w:gridSpan w:val="2"/>
            <w:tcBorders>
              <w:bottom w:val="single" w:sz="6" w:space="0" w:color="000000"/>
            </w:tcBorders>
            <w:shd w:val="clear" w:color="auto" w:fill="FFFFFF"/>
            <w:tcMar>
              <w:top w:w="15" w:type="dxa"/>
              <w:left w:w="0" w:type="dxa"/>
              <w:bottom w:w="0" w:type="dxa"/>
              <w:right w:w="15" w:type="dxa"/>
            </w:tcMar>
            <w:vAlign w:val="bottom"/>
            <w:hideMark/>
          </w:tcPr>
          <w:p w14:paraId="37F30F1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Rest of</w:t>
            </w:r>
          </w:p>
          <w:p w14:paraId="029738F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Asia</w:t>
            </w:r>
          </w:p>
        </w:tc>
        <w:tc>
          <w:tcPr>
            <w:tcW w:w="220" w:type="dxa"/>
            <w:shd w:val="clear" w:color="auto" w:fill="FFFFFF"/>
            <w:noWrap/>
            <w:tcMar>
              <w:top w:w="15" w:type="dxa"/>
              <w:left w:w="0" w:type="dxa"/>
              <w:bottom w:w="0" w:type="dxa"/>
              <w:right w:w="15" w:type="dxa"/>
            </w:tcMar>
            <w:vAlign w:val="bottom"/>
            <w:hideMark/>
          </w:tcPr>
          <w:p w14:paraId="7E70C0A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469CBD7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40" w:type="dxa"/>
            <w:gridSpan w:val="2"/>
            <w:tcBorders>
              <w:bottom w:val="single" w:sz="6" w:space="0" w:color="000000"/>
            </w:tcBorders>
            <w:shd w:val="clear" w:color="auto" w:fill="FFFFFF"/>
            <w:tcMar>
              <w:top w:w="15" w:type="dxa"/>
              <w:left w:w="0" w:type="dxa"/>
              <w:bottom w:w="0" w:type="dxa"/>
              <w:right w:w="15" w:type="dxa"/>
            </w:tcMar>
            <w:vAlign w:val="bottom"/>
            <w:hideMark/>
          </w:tcPr>
          <w:p w14:paraId="061D382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Global</w:t>
            </w:r>
          </w:p>
        </w:tc>
        <w:tc>
          <w:tcPr>
            <w:tcW w:w="221" w:type="dxa"/>
            <w:shd w:val="clear" w:color="auto" w:fill="FFFFFF"/>
            <w:noWrap/>
            <w:tcMar>
              <w:top w:w="15" w:type="dxa"/>
              <w:left w:w="0" w:type="dxa"/>
              <w:bottom w:w="0" w:type="dxa"/>
              <w:right w:w="15" w:type="dxa"/>
            </w:tcMar>
            <w:vAlign w:val="bottom"/>
            <w:hideMark/>
          </w:tcPr>
          <w:p w14:paraId="29FFF34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6793E10" w14:textId="77777777" w:rsidTr="00AC4931">
        <w:tc>
          <w:tcPr>
            <w:tcW w:w="8338" w:type="dxa"/>
            <w:shd w:val="clear" w:color="auto" w:fill="CFF0FC"/>
            <w:tcMar>
              <w:top w:w="15" w:type="dxa"/>
              <w:left w:w="0" w:type="dxa"/>
              <w:bottom w:w="0" w:type="dxa"/>
              <w:right w:w="15" w:type="dxa"/>
            </w:tcMar>
            <w:vAlign w:val="center"/>
            <w:hideMark/>
          </w:tcPr>
          <w:p w14:paraId="53668D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Autoliv</w:t>
            </w:r>
          </w:p>
        </w:tc>
        <w:tc>
          <w:tcPr>
            <w:tcW w:w="190" w:type="dxa"/>
            <w:shd w:val="clear" w:color="auto" w:fill="CFF0FC"/>
            <w:tcMar>
              <w:top w:w="15" w:type="dxa"/>
              <w:left w:w="0" w:type="dxa"/>
              <w:bottom w:w="0" w:type="dxa"/>
              <w:right w:w="15" w:type="dxa"/>
            </w:tcMar>
            <w:vAlign w:val="center"/>
            <w:hideMark/>
          </w:tcPr>
          <w:p w14:paraId="205210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center"/>
            <w:hideMark/>
          </w:tcPr>
          <w:p w14:paraId="07445F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51" w:type="dxa"/>
            <w:tcBorders>
              <w:top w:val="single" w:sz="6" w:space="0" w:color="000000"/>
            </w:tcBorders>
            <w:shd w:val="clear" w:color="auto" w:fill="CFF0FC"/>
            <w:noWrap/>
            <w:tcMar>
              <w:top w:w="15" w:type="dxa"/>
              <w:left w:w="0" w:type="dxa"/>
              <w:bottom w:w="0" w:type="dxa"/>
              <w:right w:w="15" w:type="dxa"/>
            </w:tcMar>
            <w:vAlign w:val="center"/>
            <w:hideMark/>
          </w:tcPr>
          <w:p w14:paraId="6511803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(16.3</w:t>
            </w:r>
          </w:p>
        </w:tc>
        <w:tc>
          <w:tcPr>
            <w:tcW w:w="220" w:type="dxa"/>
            <w:shd w:val="clear" w:color="auto" w:fill="CFF0FC"/>
            <w:noWrap/>
            <w:tcMar>
              <w:top w:w="15" w:type="dxa"/>
              <w:left w:w="0" w:type="dxa"/>
              <w:bottom w:w="0" w:type="dxa"/>
              <w:right w:w="15" w:type="dxa"/>
            </w:tcMar>
            <w:vAlign w:val="center"/>
            <w:hideMark/>
          </w:tcPr>
          <w:p w14:paraId="6B7033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center"/>
            <w:hideMark/>
          </w:tcPr>
          <w:p w14:paraId="4A79F1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center"/>
            <w:hideMark/>
          </w:tcPr>
          <w:p w14:paraId="4340C3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35" w:type="dxa"/>
            <w:tcBorders>
              <w:top w:val="single" w:sz="6" w:space="0" w:color="000000"/>
            </w:tcBorders>
            <w:shd w:val="clear" w:color="auto" w:fill="CFF0FC"/>
            <w:noWrap/>
            <w:tcMar>
              <w:top w:w="15" w:type="dxa"/>
              <w:left w:w="0" w:type="dxa"/>
              <w:bottom w:w="0" w:type="dxa"/>
              <w:right w:w="15" w:type="dxa"/>
            </w:tcMar>
            <w:vAlign w:val="center"/>
            <w:hideMark/>
          </w:tcPr>
          <w:p w14:paraId="2686437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(17.0</w:t>
            </w:r>
          </w:p>
        </w:tc>
        <w:tc>
          <w:tcPr>
            <w:tcW w:w="220" w:type="dxa"/>
            <w:shd w:val="clear" w:color="auto" w:fill="CFF0FC"/>
            <w:noWrap/>
            <w:tcMar>
              <w:top w:w="15" w:type="dxa"/>
              <w:left w:w="0" w:type="dxa"/>
              <w:bottom w:w="0" w:type="dxa"/>
              <w:right w:w="15" w:type="dxa"/>
            </w:tcMar>
            <w:vAlign w:val="center"/>
            <w:hideMark/>
          </w:tcPr>
          <w:p w14:paraId="07D75C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center"/>
            <w:hideMark/>
          </w:tcPr>
          <w:p w14:paraId="6C0B9C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center"/>
            <w:hideMark/>
          </w:tcPr>
          <w:p w14:paraId="1487C4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35" w:type="dxa"/>
            <w:tcBorders>
              <w:top w:val="single" w:sz="6" w:space="0" w:color="000000"/>
            </w:tcBorders>
            <w:shd w:val="clear" w:color="auto" w:fill="CFF0FC"/>
            <w:noWrap/>
            <w:tcMar>
              <w:top w:w="15" w:type="dxa"/>
              <w:left w:w="0" w:type="dxa"/>
              <w:bottom w:w="0" w:type="dxa"/>
              <w:right w:w="15" w:type="dxa"/>
            </w:tcMar>
            <w:vAlign w:val="center"/>
            <w:hideMark/>
          </w:tcPr>
          <w:p w14:paraId="378E946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w:t>
            </w:r>
          </w:p>
        </w:tc>
        <w:tc>
          <w:tcPr>
            <w:tcW w:w="191" w:type="dxa"/>
            <w:shd w:val="clear" w:color="auto" w:fill="CFF0FC"/>
            <w:noWrap/>
            <w:tcMar>
              <w:top w:w="15" w:type="dxa"/>
              <w:left w:w="0" w:type="dxa"/>
              <w:bottom w:w="0" w:type="dxa"/>
              <w:right w:w="15" w:type="dxa"/>
            </w:tcMar>
            <w:vAlign w:val="center"/>
            <w:hideMark/>
          </w:tcPr>
          <w:p w14:paraId="73E0E7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center"/>
            <w:hideMark/>
          </w:tcPr>
          <w:p w14:paraId="162A5568"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center"/>
            <w:hideMark/>
          </w:tcPr>
          <w:p w14:paraId="711B42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37" w:type="dxa"/>
            <w:tcBorders>
              <w:top w:val="single" w:sz="6" w:space="0" w:color="000000"/>
            </w:tcBorders>
            <w:shd w:val="clear" w:color="auto" w:fill="CFF0FC"/>
            <w:noWrap/>
            <w:tcMar>
              <w:top w:w="15" w:type="dxa"/>
              <w:left w:w="0" w:type="dxa"/>
              <w:bottom w:w="0" w:type="dxa"/>
              <w:right w:w="15" w:type="dxa"/>
            </w:tcMar>
            <w:vAlign w:val="center"/>
            <w:hideMark/>
          </w:tcPr>
          <w:p w14:paraId="3DDFCD3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(11.5</w:t>
            </w:r>
          </w:p>
        </w:tc>
        <w:tc>
          <w:tcPr>
            <w:tcW w:w="220" w:type="dxa"/>
            <w:shd w:val="clear" w:color="auto" w:fill="CFF0FC"/>
            <w:noWrap/>
            <w:tcMar>
              <w:top w:w="15" w:type="dxa"/>
              <w:left w:w="0" w:type="dxa"/>
              <w:bottom w:w="0" w:type="dxa"/>
              <w:right w:w="15" w:type="dxa"/>
            </w:tcMar>
            <w:vAlign w:val="center"/>
            <w:hideMark/>
          </w:tcPr>
          <w:p w14:paraId="4DD120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center"/>
            <w:hideMark/>
          </w:tcPr>
          <w:p w14:paraId="6AEB2123"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center"/>
            <w:hideMark/>
          </w:tcPr>
          <w:p w14:paraId="596321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37" w:type="dxa"/>
            <w:tcBorders>
              <w:top w:val="single" w:sz="6" w:space="0" w:color="000000"/>
            </w:tcBorders>
            <w:shd w:val="clear" w:color="auto" w:fill="CFF0FC"/>
            <w:noWrap/>
            <w:tcMar>
              <w:top w:w="15" w:type="dxa"/>
              <w:left w:w="0" w:type="dxa"/>
              <w:bottom w:w="0" w:type="dxa"/>
              <w:right w:w="15" w:type="dxa"/>
            </w:tcMar>
            <w:vAlign w:val="center"/>
            <w:hideMark/>
          </w:tcPr>
          <w:p w14:paraId="4B04E5E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(6.5</w:t>
            </w:r>
          </w:p>
        </w:tc>
        <w:tc>
          <w:tcPr>
            <w:tcW w:w="220" w:type="dxa"/>
            <w:shd w:val="clear" w:color="auto" w:fill="CFF0FC"/>
            <w:noWrap/>
            <w:tcMar>
              <w:top w:w="15" w:type="dxa"/>
              <w:left w:w="0" w:type="dxa"/>
              <w:bottom w:w="0" w:type="dxa"/>
              <w:right w:w="15" w:type="dxa"/>
            </w:tcMar>
            <w:vAlign w:val="center"/>
            <w:hideMark/>
          </w:tcPr>
          <w:p w14:paraId="15F489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center"/>
            <w:hideMark/>
          </w:tcPr>
          <w:p w14:paraId="615D814D"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center"/>
            <w:hideMark/>
          </w:tcPr>
          <w:p w14:paraId="5B3646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35" w:type="dxa"/>
            <w:tcBorders>
              <w:top w:val="single" w:sz="6" w:space="0" w:color="000000"/>
            </w:tcBorders>
            <w:shd w:val="clear" w:color="auto" w:fill="CFF0FC"/>
            <w:noWrap/>
            <w:tcMar>
              <w:top w:w="15" w:type="dxa"/>
              <w:left w:w="0" w:type="dxa"/>
              <w:bottom w:w="0" w:type="dxa"/>
              <w:right w:w="15" w:type="dxa"/>
            </w:tcMar>
            <w:vAlign w:val="center"/>
            <w:hideMark/>
          </w:tcPr>
          <w:p w14:paraId="4C2D540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(12.0</w:t>
            </w:r>
          </w:p>
        </w:tc>
        <w:tc>
          <w:tcPr>
            <w:tcW w:w="221" w:type="dxa"/>
            <w:shd w:val="clear" w:color="auto" w:fill="CFF0FC"/>
            <w:noWrap/>
            <w:tcMar>
              <w:top w:w="15" w:type="dxa"/>
              <w:left w:w="0" w:type="dxa"/>
              <w:bottom w:w="0" w:type="dxa"/>
              <w:right w:w="15" w:type="dxa"/>
            </w:tcMar>
            <w:vAlign w:val="center"/>
            <w:hideMark/>
          </w:tcPr>
          <w:p w14:paraId="01FE5E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AE1AD53" w14:textId="77777777" w:rsidTr="00AC4931">
        <w:tc>
          <w:tcPr>
            <w:tcW w:w="8338" w:type="dxa"/>
            <w:shd w:val="clear" w:color="auto" w:fill="FFFFFF"/>
            <w:tcMar>
              <w:top w:w="15" w:type="dxa"/>
              <w:left w:w="0" w:type="dxa"/>
              <w:bottom w:w="0" w:type="dxa"/>
              <w:right w:w="15" w:type="dxa"/>
            </w:tcMar>
            <w:vAlign w:val="center"/>
            <w:hideMark/>
          </w:tcPr>
          <w:p w14:paraId="444EA3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Main growth drivers</w:t>
            </w:r>
          </w:p>
        </w:tc>
        <w:tc>
          <w:tcPr>
            <w:tcW w:w="190" w:type="dxa"/>
            <w:shd w:val="clear" w:color="auto" w:fill="FFFFFF"/>
            <w:tcMar>
              <w:top w:w="15" w:type="dxa"/>
              <w:left w:w="0" w:type="dxa"/>
              <w:bottom w:w="0" w:type="dxa"/>
              <w:right w:w="15" w:type="dxa"/>
            </w:tcMar>
            <w:vAlign w:val="center"/>
            <w:hideMark/>
          </w:tcPr>
          <w:p w14:paraId="17EB5A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56" w:type="dxa"/>
            <w:gridSpan w:val="2"/>
            <w:shd w:val="clear" w:color="auto" w:fill="FFFFFF"/>
            <w:tcMar>
              <w:top w:w="15" w:type="dxa"/>
              <w:left w:w="0" w:type="dxa"/>
              <w:bottom w:w="0" w:type="dxa"/>
              <w:right w:w="15" w:type="dxa"/>
            </w:tcMar>
            <w:vAlign w:val="center"/>
            <w:hideMark/>
          </w:tcPr>
          <w:p w14:paraId="3B0C1FD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Tesla,</w:t>
            </w:r>
          </w:p>
          <w:p w14:paraId="5B2DA07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Mazda</w:t>
            </w:r>
          </w:p>
        </w:tc>
        <w:tc>
          <w:tcPr>
            <w:tcW w:w="220" w:type="dxa"/>
            <w:shd w:val="clear" w:color="auto" w:fill="FFFFFF"/>
            <w:noWrap/>
            <w:tcMar>
              <w:top w:w="15" w:type="dxa"/>
              <w:left w:w="0" w:type="dxa"/>
              <w:bottom w:w="0" w:type="dxa"/>
              <w:right w:w="15" w:type="dxa"/>
            </w:tcMar>
            <w:vAlign w:val="center"/>
            <w:hideMark/>
          </w:tcPr>
          <w:p w14:paraId="0070F1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center"/>
            <w:hideMark/>
          </w:tcPr>
          <w:p w14:paraId="07DF76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40" w:type="dxa"/>
            <w:gridSpan w:val="2"/>
            <w:shd w:val="clear" w:color="auto" w:fill="FFFFFF"/>
            <w:tcMar>
              <w:top w:w="15" w:type="dxa"/>
              <w:left w:w="0" w:type="dxa"/>
              <w:bottom w:w="0" w:type="dxa"/>
              <w:right w:w="15" w:type="dxa"/>
            </w:tcMar>
            <w:vAlign w:val="center"/>
            <w:hideMark/>
          </w:tcPr>
          <w:p w14:paraId="22C93BD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Toyota,</w:t>
            </w:r>
          </w:p>
          <w:p w14:paraId="1D0A69D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PSA</w:t>
            </w:r>
          </w:p>
        </w:tc>
        <w:tc>
          <w:tcPr>
            <w:tcW w:w="220" w:type="dxa"/>
            <w:shd w:val="clear" w:color="auto" w:fill="FFFFFF"/>
            <w:noWrap/>
            <w:tcMar>
              <w:top w:w="15" w:type="dxa"/>
              <w:left w:w="0" w:type="dxa"/>
              <w:bottom w:w="0" w:type="dxa"/>
              <w:right w:w="15" w:type="dxa"/>
            </w:tcMar>
            <w:vAlign w:val="center"/>
            <w:hideMark/>
          </w:tcPr>
          <w:p w14:paraId="338BF3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center"/>
            <w:hideMark/>
          </w:tcPr>
          <w:p w14:paraId="1B0C3E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40" w:type="dxa"/>
            <w:gridSpan w:val="2"/>
            <w:shd w:val="clear" w:color="auto" w:fill="FFFFFF"/>
            <w:tcMar>
              <w:top w:w="15" w:type="dxa"/>
              <w:left w:w="0" w:type="dxa"/>
              <w:bottom w:w="0" w:type="dxa"/>
              <w:right w:w="15" w:type="dxa"/>
            </w:tcMar>
            <w:vAlign w:val="center"/>
            <w:hideMark/>
          </w:tcPr>
          <w:p w14:paraId="3FB3AEA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GM,</w:t>
            </w:r>
          </w:p>
          <w:p w14:paraId="6B3F14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Ford,</w:t>
            </w:r>
          </w:p>
          <w:p w14:paraId="6E0D77A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Toyota</w:t>
            </w:r>
          </w:p>
        </w:tc>
        <w:tc>
          <w:tcPr>
            <w:tcW w:w="191" w:type="dxa"/>
            <w:shd w:val="clear" w:color="auto" w:fill="FFFFFF"/>
            <w:noWrap/>
            <w:tcMar>
              <w:top w:w="15" w:type="dxa"/>
              <w:left w:w="0" w:type="dxa"/>
              <w:bottom w:w="0" w:type="dxa"/>
              <w:right w:w="15" w:type="dxa"/>
            </w:tcMar>
            <w:vAlign w:val="center"/>
            <w:hideMark/>
          </w:tcPr>
          <w:p w14:paraId="15B510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center"/>
            <w:hideMark/>
          </w:tcPr>
          <w:p w14:paraId="5E3675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42" w:type="dxa"/>
            <w:gridSpan w:val="2"/>
            <w:shd w:val="clear" w:color="auto" w:fill="FFFFFF"/>
            <w:tcMar>
              <w:top w:w="15" w:type="dxa"/>
              <w:left w:w="0" w:type="dxa"/>
              <w:bottom w:w="0" w:type="dxa"/>
              <w:right w:w="15" w:type="dxa"/>
            </w:tcMar>
            <w:vAlign w:val="center"/>
            <w:hideMark/>
          </w:tcPr>
          <w:p w14:paraId="6A541AF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Honda,</w:t>
            </w:r>
          </w:p>
          <w:p w14:paraId="379A54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Suzuki,</w:t>
            </w:r>
          </w:p>
          <w:p w14:paraId="36B6567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Toyota</w:t>
            </w:r>
          </w:p>
        </w:tc>
        <w:tc>
          <w:tcPr>
            <w:tcW w:w="220" w:type="dxa"/>
            <w:shd w:val="clear" w:color="auto" w:fill="FFFFFF"/>
            <w:noWrap/>
            <w:tcMar>
              <w:top w:w="15" w:type="dxa"/>
              <w:left w:w="0" w:type="dxa"/>
              <w:bottom w:w="0" w:type="dxa"/>
              <w:right w:w="15" w:type="dxa"/>
            </w:tcMar>
            <w:vAlign w:val="center"/>
            <w:hideMark/>
          </w:tcPr>
          <w:p w14:paraId="0C1ECA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center"/>
            <w:hideMark/>
          </w:tcPr>
          <w:p w14:paraId="144593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42" w:type="dxa"/>
            <w:gridSpan w:val="2"/>
            <w:shd w:val="clear" w:color="auto" w:fill="FFFFFF"/>
            <w:tcMar>
              <w:top w:w="15" w:type="dxa"/>
              <w:left w:w="0" w:type="dxa"/>
              <w:bottom w:w="0" w:type="dxa"/>
              <w:right w:w="15" w:type="dxa"/>
            </w:tcMar>
            <w:vAlign w:val="center"/>
            <w:hideMark/>
          </w:tcPr>
          <w:p w14:paraId="4C25123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GM,</w:t>
            </w:r>
          </w:p>
          <w:p w14:paraId="45395A3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Renault,</w:t>
            </w:r>
          </w:p>
          <w:p w14:paraId="4446E8B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Nissan</w:t>
            </w:r>
          </w:p>
        </w:tc>
        <w:tc>
          <w:tcPr>
            <w:tcW w:w="220" w:type="dxa"/>
            <w:shd w:val="clear" w:color="auto" w:fill="FFFFFF"/>
            <w:noWrap/>
            <w:tcMar>
              <w:top w:w="15" w:type="dxa"/>
              <w:left w:w="0" w:type="dxa"/>
              <w:bottom w:w="0" w:type="dxa"/>
              <w:right w:w="15" w:type="dxa"/>
            </w:tcMar>
            <w:vAlign w:val="center"/>
            <w:hideMark/>
          </w:tcPr>
          <w:p w14:paraId="6F5999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center"/>
            <w:hideMark/>
          </w:tcPr>
          <w:p w14:paraId="5B6977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40" w:type="dxa"/>
            <w:gridSpan w:val="2"/>
            <w:shd w:val="clear" w:color="auto" w:fill="FFFFFF"/>
            <w:tcMar>
              <w:top w:w="15" w:type="dxa"/>
              <w:left w:w="0" w:type="dxa"/>
              <w:bottom w:w="0" w:type="dxa"/>
              <w:right w:w="15" w:type="dxa"/>
            </w:tcMar>
            <w:vAlign w:val="center"/>
            <w:hideMark/>
          </w:tcPr>
          <w:p w14:paraId="782250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Tesla,</w:t>
            </w:r>
          </w:p>
          <w:p w14:paraId="57700D0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GM,</w:t>
            </w:r>
          </w:p>
          <w:p w14:paraId="00B11B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Suzuki</w:t>
            </w:r>
          </w:p>
        </w:tc>
        <w:tc>
          <w:tcPr>
            <w:tcW w:w="221" w:type="dxa"/>
            <w:shd w:val="clear" w:color="auto" w:fill="FFFFFF"/>
            <w:noWrap/>
            <w:tcMar>
              <w:top w:w="15" w:type="dxa"/>
              <w:left w:w="0" w:type="dxa"/>
              <w:bottom w:w="0" w:type="dxa"/>
              <w:right w:w="15" w:type="dxa"/>
            </w:tcMar>
            <w:vAlign w:val="center"/>
            <w:hideMark/>
          </w:tcPr>
          <w:p w14:paraId="2582ED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020874D" w14:textId="77777777" w:rsidTr="00AC4931">
        <w:tc>
          <w:tcPr>
            <w:tcW w:w="8338" w:type="dxa"/>
            <w:shd w:val="clear" w:color="auto" w:fill="CFF0FC"/>
            <w:tcMar>
              <w:top w:w="15" w:type="dxa"/>
              <w:left w:w="0" w:type="dxa"/>
              <w:bottom w:w="0" w:type="dxa"/>
              <w:right w:w="15" w:type="dxa"/>
            </w:tcMar>
            <w:vAlign w:val="center"/>
            <w:hideMark/>
          </w:tcPr>
          <w:p w14:paraId="2EC304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Main decline drivers</w:t>
            </w:r>
          </w:p>
        </w:tc>
        <w:tc>
          <w:tcPr>
            <w:tcW w:w="190" w:type="dxa"/>
            <w:shd w:val="clear" w:color="auto" w:fill="CFF0FC"/>
            <w:tcMar>
              <w:top w:w="15" w:type="dxa"/>
              <w:left w:w="0" w:type="dxa"/>
              <w:bottom w:w="0" w:type="dxa"/>
              <w:right w:w="15" w:type="dxa"/>
            </w:tcMar>
            <w:vAlign w:val="center"/>
            <w:hideMark/>
          </w:tcPr>
          <w:p w14:paraId="0A94A0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56" w:type="dxa"/>
            <w:gridSpan w:val="2"/>
            <w:shd w:val="clear" w:color="auto" w:fill="CFF0FC"/>
            <w:tcMar>
              <w:top w:w="15" w:type="dxa"/>
              <w:left w:w="0" w:type="dxa"/>
              <w:bottom w:w="0" w:type="dxa"/>
              <w:right w:w="15" w:type="dxa"/>
            </w:tcMar>
            <w:vAlign w:val="center"/>
            <w:hideMark/>
          </w:tcPr>
          <w:p w14:paraId="02D9D1A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FCA,</w:t>
            </w:r>
          </w:p>
          <w:p w14:paraId="794C505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Honda,</w:t>
            </w:r>
          </w:p>
          <w:p w14:paraId="7FB2EDF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Nissan</w:t>
            </w:r>
          </w:p>
        </w:tc>
        <w:tc>
          <w:tcPr>
            <w:tcW w:w="220" w:type="dxa"/>
            <w:shd w:val="clear" w:color="auto" w:fill="CFF0FC"/>
            <w:noWrap/>
            <w:tcMar>
              <w:top w:w="15" w:type="dxa"/>
              <w:left w:w="0" w:type="dxa"/>
              <w:bottom w:w="0" w:type="dxa"/>
              <w:right w:w="15" w:type="dxa"/>
            </w:tcMar>
            <w:vAlign w:val="center"/>
            <w:hideMark/>
          </w:tcPr>
          <w:p w14:paraId="0E5EFE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center"/>
            <w:hideMark/>
          </w:tcPr>
          <w:p w14:paraId="6D5E3C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40" w:type="dxa"/>
            <w:gridSpan w:val="2"/>
            <w:shd w:val="clear" w:color="auto" w:fill="CFF0FC"/>
            <w:tcMar>
              <w:top w:w="15" w:type="dxa"/>
              <w:left w:w="0" w:type="dxa"/>
              <w:bottom w:w="0" w:type="dxa"/>
              <w:right w:w="15" w:type="dxa"/>
            </w:tcMar>
            <w:vAlign w:val="center"/>
            <w:hideMark/>
          </w:tcPr>
          <w:p w14:paraId="5347811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Daimler,</w:t>
            </w:r>
          </w:p>
          <w:p w14:paraId="792F27B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Renault,</w:t>
            </w:r>
          </w:p>
          <w:p w14:paraId="2114713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VW</w:t>
            </w:r>
          </w:p>
        </w:tc>
        <w:tc>
          <w:tcPr>
            <w:tcW w:w="220" w:type="dxa"/>
            <w:shd w:val="clear" w:color="auto" w:fill="CFF0FC"/>
            <w:noWrap/>
            <w:tcMar>
              <w:top w:w="15" w:type="dxa"/>
              <w:left w:w="0" w:type="dxa"/>
              <w:bottom w:w="0" w:type="dxa"/>
              <w:right w:w="15" w:type="dxa"/>
            </w:tcMar>
            <w:vAlign w:val="center"/>
            <w:hideMark/>
          </w:tcPr>
          <w:p w14:paraId="28478E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center"/>
            <w:hideMark/>
          </w:tcPr>
          <w:p w14:paraId="5C4460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40" w:type="dxa"/>
            <w:gridSpan w:val="2"/>
            <w:shd w:val="clear" w:color="auto" w:fill="CFF0FC"/>
            <w:tcMar>
              <w:top w:w="15" w:type="dxa"/>
              <w:left w:w="0" w:type="dxa"/>
              <w:bottom w:w="0" w:type="dxa"/>
              <w:right w:w="15" w:type="dxa"/>
            </w:tcMar>
            <w:vAlign w:val="center"/>
            <w:hideMark/>
          </w:tcPr>
          <w:p w14:paraId="463B3A6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Nissan,</w:t>
            </w:r>
          </w:p>
          <w:p w14:paraId="693D6E2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Geely,</w:t>
            </w:r>
          </w:p>
          <w:p w14:paraId="74B84A2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Daimler</w:t>
            </w:r>
          </w:p>
        </w:tc>
        <w:tc>
          <w:tcPr>
            <w:tcW w:w="191" w:type="dxa"/>
            <w:shd w:val="clear" w:color="auto" w:fill="CFF0FC"/>
            <w:noWrap/>
            <w:tcMar>
              <w:top w:w="15" w:type="dxa"/>
              <w:left w:w="0" w:type="dxa"/>
              <w:bottom w:w="0" w:type="dxa"/>
              <w:right w:w="15" w:type="dxa"/>
            </w:tcMar>
            <w:vAlign w:val="center"/>
            <w:hideMark/>
          </w:tcPr>
          <w:p w14:paraId="5D018E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center"/>
            <w:hideMark/>
          </w:tcPr>
          <w:p w14:paraId="1FC60B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42" w:type="dxa"/>
            <w:gridSpan w:val="2"/>
            <w:shd w:val="clear" w:color="auto" w:fill="CFF0FC"/>
            <w:tcMar>
              <w:top w:w="15" w:type="dxa"/>
              <w:left w:w="0" w:type="dxa"/>
              <w:bottom w:w="0" w:type="dxa"/>
              <w:right w:w="15" w:type="dxa"/>
            </w:tcMar>
            <w:vAlign w:val="center"/>
            <w:hideMark/>
          </w:tcPr>
          <w:p w14:paraId="0BC6CA2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Mitsubishi,</w:t>
            </w:r>
          </w:p>
          <w:p w14:paraId="6446A49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Nissan,</w:t>
            </w:r>
          </w:p>
          <w:p w14:paraId="052628C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Mazda</w:t>
            </w:r>
          </w:p>
        </w:tc>
        <w:tc>
          <w:tcPr>
            <w:tcW w:w="220" w:type="dxa"/>
            <w:shd w:val="clear" w:color="auto" w:fill="CFF0FC"/>
            <w:noWrap/>
            <w:tcMar>
              <w:top w:w="15" w:type="dxa"/>
              <w:left w:w="0" w:type="dxa"/>
              <w:bottom w:w="0" w:type="dxa"/>
              <w:right w:w="15" w:type="dxa"/>
            </w:tcMar>
            <w:vAlign w:val="center"/>
            <w:hideMark/>
          </w:tcPr>
          <w:p w14:paraId="23F80D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center"/>
            <w:hideMark/>
          </w:tcPr>
          <w:p w14:paraId="7E27D6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42" w:type="dxa"/>
            <w:gridSpan w:val="2"/>
            <w:shd w:val="clear" w:color="auto" w:fill="CFF0FC"/>
            <w:tcMar>
              <w:top w:w="15" w:type="dxa"/>
              <w:left w:w="0" w:type="dxa"/>
              <w:bottom w:w="0" w:type="dxa"/>
              <w:right w:w="15" w:type="dxa"/>
            </w:tcMar>
            <w:vAlign w:val="center"/>
            <w:hideMark/>
          </w:tcPr>
          <w:p w14:paraId="596F207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Mitsubishi,</w:t>
            </w:r>
          </w:p>
          <w:p w14:paraId="173E5C5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Toyota,</w:t>
            </w:r>
          </w:p>
          <w:p w14:paraId="4E6A266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Suzuki</w:t>
            </w:r>
          </w:p>
        </w:tc>
        <w:tc>
          <w:tcPr>
            <w:tcW w:w="220" w:type="dxa"/>
            <w:shd w:val="clear" w:color="auto" w:fill="CFF0FC"/>
            <w:noWrap/>
            <w:tcMar>
              <w:top w:w="15" w:type="dxa"/>
              <w:left w:w="0" w:type="dxa"/>
              <w:bottom w:w="0" w:type="dxa"/>
              <w:right w:w="15" w:type="dxa"/>
            </w:tcMar>
            <w:vAlign w:val="center"/>
            <w:hideMark/>
          </w:tcPr>
          <w:p w14:paraId="595087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center"/>
            <w:hideMark/>
          </w:tcPr>
          <w:p w14:paraId="0159CF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40" w:type="dxa"/>
            <w:gridSpan w:val="2"/>
            <w:shd w:val="clear" w:color="auto" w:fill="CFF0FC"/>
            <w:tcMar>
              <w:top w:w="15" w:type="dxa"/>
              <w:left w:w="0" w:type="dxa"/>
              <w:bottom w:w="0" w:type="dxa"/>
              <w:right w:w="15" w:type="dxa"/>
            </w:tcMar>
            <w:vAlign w:val="center"/>
            <w:hideMark/>
          </w:tcPr>
          <w:p w14:paraId="6D81AE9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Nissan,</w:t>
            </w:r>
          </w:p>
          <w:p w14:paraId="2312AE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FCA,</w:t>
            </w:r>
          </w:p>
          <w:p w14:paraId="1EBA17A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Daimler</w:t>
            </w:r>
          </w:p>
        </w:tc>
        <w:tc>
          <w:tcPr>
            <w:tcW w:w="221" w:type="dxa"/>
            <w:shd w:val="clear" w:color="auto" w:fill="CFF0FC"/>
            <w:noWrap/>
            <w:tcMar>
              <w:top w:w="15" w:type="dxa"/>
              <w:left w:w="0" w:type="dxa"/>
              <w:bottom w:w="0" w:type="dxa"/>
              <w:right w:w="15" w:type="dxa"/>
            </w:tcMar>
            <w:vAlign w:val="center"/>
            <w:hideMark/>
          </w:tcPr>
          <w:p w14:paraId="642A91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B579466" w14:textId="77777777" w:rsidTr="00AC4931">
        <w:tc>
          <w:tcPr>
            <w:tcW w:w="8338" w:type="dxa"/>
            <w:shd w:val="clear" w:color="auto" w:fill="FFFFFF"/>
            <w:tcMar>
              <w:top w:w="15" w:type="dxa"/>
              <w:left w:w="0" w:type="dxa"/>
              <w:bottom w:w="0" w:type="dxa"/>
              <w:right w:w="15" w:type="dxa"/>
            </w:tcMar>
            <w:vAlign w:val="bottom"/>
            <w:hideMark/>
          </w:tcPr>
          <w:p w14:paraId="0AF3845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1)</w:t>
            </w:r>
            <w:r w:rsidRPr="00AC4931">
              <w:rPr>
                <w:rFonts w:ascii="Arial" w:eastAsia="宋体" w:hAnsi="Arial" w:cs="Arial"/>
                <w:color w:val="000000"/>
                <w:kern w:val="0"/>
                <w:sz w:val="16"/>
                <w:szCs w:val="16"/>
              </w:rPr>
              <w:t> Non-U.S. GAAP Measure</w:t>
            </w:r>
          </w:p>
        </w:tc>
        <w:tc>
          <w:tcPr>
            <w:tcW w:w="190" w:type="dxa"/>
            <w:shd w:val="clear" w:color="auto" w:fill="FFFFFF"/>
            <w:tcMar>
              <w:top w:w="15" w:type="dxa"/>
              <w:left w:w="0" w:type="dxa"/>
              <w:bottom w:w="0" w:type="dxa"/>
              <w:right w:w="15" w:type="dxa"/>
            </w:tcMar>
            <w:vAlign w:val="bottom"/>
            <w:hideMark/>
          </w:tcPr>
          <w:p w14:paraId="3B27EE1E"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0" w:type="dxa"/>
            <w:shd w:val="clear" w:color="auto" w:fill="FFFFFF"/>
            <w:noWrap/>
            <w:tcMar>
              <w:top w:w="15" w:type="dxa"/>
              <w:left w:w="0" w:type="dxa"/>
              <w:bottom w:w="0" w:type="dxa"/>
              <w:right w:w="15" w:type="dxa"/>
            </w:tcMar>
            <w:vAlign w:val="bottom"/>
            <w:hideMark/>
          </w:tcPr>
          <w:p w14:paraId="05E6D4CF"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151" w:type="dxa"/>
            <w:shd w:val="clear" w:color="auto" w:fill="FFFFFF"/>
            <w:noWrap/>
            <w:tcMar>
              <w:top w:w="15" w:type="dxa"/>
              <w:left w:w="0" w:type="dxa"/>
              <w:bottom w:w="0" w:type="dxa"/>
              <w:right w:w="15" w:type="dxa"/>
            </w:tcMar>
            <w:vAlign w:val="bottom"/>
            <w:hideMark/>
          </w:tcPr>
          <w:p w14:paraId="037ECFDC"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220" w:type="dxa"/>
            <w:shd w:val="clear" w:color="auto" w:fill="FFFFFF"/>
            <w:noWrap/>
            <w:tcMar>
              <w:top w:w="15" w:type="dxa"/>
              <w:left w:w="0" w:type="dxa"/>
              <w:bottom w:w="0" w:type="dxa"/>
              <w:right w:w="15" w:type="dxa"/>
            </w:tcMar>
            <w:vAlign w:val="bottom"/>
            <w:hideMark/>
          </w:tcPr>
          <w:p w14:paraId="32F8E96A"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0" w:type="dxa"/>
            <w:shd w:val="clear" w:color="auto" w:fill="FFFFFF"/>
            <w:tcMar>
              <w:top w:w="15" w:type="dxa"/>
              <w:left w:w="0" w:type="dxa"/>
              <w:bottom w:w="0" w:type="dxa"/>
              <w:right w:w="15" w:type="dxa"/>
            </w:tcMar>
            <w:vAlign w:val="bottom"/>
            <w:hideMark/>
          </w:tcPr>
          <w:p w14:paraId="121F4DB8"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0" w:type="dxa"/>
            <w:shd w:val="clear" w:color="auto" w:fill="FFFFFF"/>
            <w:noWrap/>
            <w:tcMar>
              <w:top w:w="15" w:type="dxa"/>
              <w:left w:w="0" w:type="dxa"/>
              <w:bottom w:w="0" w:type="dxa"/>
              <w:right w:w="15" w:type="dxa"/>
            </w:tcMar>
            <w:vAlign w:val="bottom"/>
            <w:hideMark/>
          </w:tcPr>
          <w:p w14:paraId="55F546E3"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435" w:type="dxa"/>
            <w:shd w:val="clear" w:color="auto" w:fill="FFFFFF"/>
            <w:noWrap/>
            <w:tcMar>
              <w:top w:w="15" w:type="dxa"/>
              <w:left w:w="0" w:type="dxa"/>
              <w:bottom w:w="0" w:type="dxa"/>
              <w:right w:w="15" w:type="dxa"/>
            </w:tcMar>
            <w:vAlign w:val="bottom"/>
            <w:hideMark/>
          </w:tcPr>
          <w:p w14:paraId="3DAD5166"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220" w:type="dxa"/>
            <w:shd w:val="clear" w:color="auto" w:fill="FFFFFF"/>
            <w:noWrap/>
            <w:tcMar>
              <w:top w:w="15" w:type="dxa"/>
              <w:left w:w="0" w:type="dxa"/>
              <w:bottom w:w="0" w:type="dxa"/>
              <w:right w:w="15" w:type="dxa"/>
            </w:tcMar>
            <w:vAlign w:val="bottom"/>
            <w:hideMark/>
          </w:tcPr>
          <w:p w14:paraId="3D189537"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0" w:type="dxa"/>
            <w:shd w:val="clear" w:color="auto" w:fill="FFFFFF"/>
            <w:tcMar>
              <w:top w:w="15" w:type="dxa"/>
              <w:left w:w="0" w:type="dxa"/>
              <w:bottom w:w="0" w:type="dxa"/>
              <w:right w:w="15" w:type="dxa"/>
            </w:tcMar>
            <w:vAlign w:val="bottom"/>
            <w:hideMark/>
          </w:tcPr>
          <w:p w14:paraId="73212CAE"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0" w:type="dxa"/>
            <w:shd w:val="clear" w:color="auto" w:fill="FFFFFF"/>
            <w:noWrap/>
            <w:tcMar>
              <w:top w:w="15" w:type="dxa"/>
              <w:left w:w="0" w:type="dxa"/>
              <w:bottom w:w="0" w:type="dxa"/>
              <w:right w:w="15" w:type="dxa"/>
            </w:tcMar>
            <w:vAlign w:val="bottom"/>
            <w:hideMark/>
          </w:tcPr>
          <w:p w14:paraId="5ABBF6E9"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435" w:type="dxa"/>
            <w:shd w:val="clear" w:color="auto" w:fill="FFFFFF"/>
            <w:noWrap/>
            <w:tcMar>
              <w:top w:w="15" w:type="dxa"/>
              <w:left w:w="0" w:type="dxa"/>
              <w:bottom w:w="0" w:type="dxa"/>
              <w:right w:w="15" w:type="dxa"/>
            </w:tcMar>
            <w:vAlign w:val="bottom"/>
            <w:hideMark/>
          </w:tcPr>
          <w:p w14:paraId="77FC3177"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102A6DB"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0" w:type="dxa"/>
            <w:shd w:val="clear" w:color="auto" w:fill="FFFFFF"/>
            <w:tcMar>
              <w:top w:w="15" w:type="dxa"/>
              <w:left w:w="0" w:type="dxa"/>
              <w:bottom w:w="0" w:type="dxa"/>
              <w:right w:w="15" w:type="dxa"/>
            </w:tcMar>
            <w:vAlign w:val="bottom"/>
            <w:hideMark/>
          </w:tcPr>
          <w:p w14:paraId="7DC7E683"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0" w:type="dxa"/>
            <w:shd w:val="clear" w:color="auto" w:fill="FFFFFF"/>
            <w:noWrap/>
            <w:tcMar>
              <w:top w:w="15" w:type="dxa"/>
              <w:left w:w="0" w:type="dxa"/>
              <w:bottom w:w="0" w:type="dxa"/>
              <w:right w:w="15" w:type="dxa"/>
            </w:tcMar>
            <w:vAlign w:val="bottom"/>
            <w:hideMark/>
          </w:tcPr>
          <w:p w14:paraId="78E33050"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437" w:type="dxa"/>
            <w:shd w:val="clear" w:color="auto" w:fill="FFFFFF"/>
            <w:noWrap/>
            <w:tcMar>
              <w:top w:w="15" w:type="dxa"/>
              <w:left w:w="0" w:type="dxa"/>
              <w:bottom w:w="0" w:type="dxa"/>
              <w:right w:w="15" w:type="dxa"/>
            </w:tcMar>
            <w:vAlign w:val="bottom"/>
            <w:hideMark/>
          </w:tcPr>
          <w:p w14:paraId="3EC16FAA"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220" w:type="dxa"/>
            <w:shd w:val="clear" w:color="auto" w:fill="FFFFFF"/>
            <w:noWrap/>
            <w:tcMar>
              <w:top w:w="15" w:type="dxa"/>
              <w:left w:w="0" w:type="dxa"/>
              <w:bottom w:w="0" w:type="dxa"/>
              <w:right w:w="15" w:type="dxa"/>
            </w:tcMar>
            <w:vAlign w:val="bottom"/>
            <w:hideMark/>
          </w:tcPr>
          <w:p w14:paraId="1DE59750"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0" w:type="dxa"/>
            <w:shd w:val="clear" w:color="auto" w:fill="FFFFFF"/>
            <w:tcMar>
              <w:top w:w="15" w:type="dxa"/>
              <w:left w:w="0" w:type="dxa"/>
              <w:bottom w:w="0" w:type="dxa"/>
              <w:right w:w="15" w:type="dxa"/>
            </w:tcMar>
            <w:vAlign w:val="bottom"/>
            <w:hideMark/>
          </w:tcPr>
          <w:p w14:paraId="0BEAA7A4"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0" w:type="dxa"/>
            <w:shd w:val="clear" w:color="auto" w:fill="FFFFFF"/>
            <w:noWrap/>
            <w:tcMar>
              <w:top w:w="15" w:type="dxa"/>
              <w:left w:w="0" w:type="dxa"/>
              <w:bottom w:w="0" w:type="dxa"/>
              <w:right w:w="15" w:type="dxa"/>
            </w:tcMar>
            <w:vAlign w:val="bottom"/>
            <w:hideMark/>
          </w:tcPr>
          <w:p w14:paraId="442DEE4F"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437" w:type="dxa"/>
            <w:shd w:val="clear" w:color="auto" w:fill="FFFFFF"/>
            <w:noWrap/>
            <w:tcMar>
              <w:top w:w="15" w:type="dxa"/>
              <w:left w:w="0" w:type="dxa"/>
              <w:bottom w:w="0" w:type="dxa"/>
              <w:right w:w="15" w:type="dxa"/>
            </w:tcMar>
            <w:vAlign w:val="bottom"/>
            <w:hideMark/>
          </w:tcPr>
          <w:p w14:paraId="311C1B3A"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220" w:type="dxa"/>
            <w:shd w:val="clear" w:color="auto" w:fill="FFFFFF"/>
            <w:noWrap/>
            <w:tcMar>
              <w:top w:w="15" w:type="dxa"/>
              <w:left w:w="0" w:type="dxa"/>
              <w:bottom w:w="0" w:type="dxa"/>
              <w:right w:w="15" w:type="dxa"/>
            </w:tcMar>
            <w:vAlign w:val="bottom"/>
            <w:hideMark/>
          </w:tcPr>
          <w:p w14:paraId="1E4D4156"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0" w:type="dxa"/>
            <w:shd w:val="clear" w:color="auto" w:fill="FFFFFF"/>
            <w:tcMar>
              <w:top w:w="15" w:type="dxa"/>
              <w:left w:w="0" w:type="dxa"/>
              <w:bottom w:w="0" w:type="dxa"/>
              <w:right w:w="15" w:type="dxa"/>
            </w:tcMar>
            <w:vAlign w:val="bottom"/>
            <w:hideMark/>
          </w:tcPr>
          <w:p w14:paraId="14D03BBD"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90" w:type="dxa"/>
            <w:shd w:val="clear" w:color="auto" w:fill="FFFFFF"/>
            <w:noWrap/>
            <w:tcMar>
              <w:top w:w="15" w:type="dxa"/>
              <w:left w:w="0" w:type="dxa"/>
              <w:bottom w:w="0" w:type="dxa"/>
              <w:right w:w="15" w:type="dxa"/>
            </w:tcMar>
            <w:vAlign w:val="bottom"/>
            <w:hideMark/>
          </w:tcPr>
          <w:p w14:paraId="13907DAE"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1435" w:type="dxa"/>
            <w:shd w:val="clear" w:color="auto" w:fill="FFFFFF"/>
            <w:noWrap/>
            <w:tcMar>
              <w:top w:w="15" w:type="dxa"/>
              <w:left w:w="0" w:type="dxa"/>
              <w:bottom w:w="0" w:type="dxa"/>
              <w:right w:w="15" w:type="dxa"/>
            </w:tcMar>
            <w:vAlign w:val="bottom"/>
            <w:hideMark/>
          </w:tcPr>
          <w:p w14:paraId="293242A5"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221" w:type="dxa"/>
            <w:shd w:val="clear" w:color="auto" w:fill="FFFFFF"/>
            <w:noWrap/>
            <w:tcMar>
              <w:top w:w="15" w:type="dxa"/>
              <w:left w:w="0" w:type="dxa"/>
              <w:bottom w:w="0" w:type="dxa"/>
              <w:right w:w="15" w:type="dxa"/>
            </w:tcMar>
            <w:vAlign w:val="bottom"/>
            <w:hideMark/>
          </w:tcPr>
          <w:p w14:paraId="083383E5"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29E4ED57"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2587"/>
        <w:gridCol w:w="199"/>
        <w:gridCol w:w="1972"/>
        <w:gridCol w:w="235"/>
        <w:gridCol w:w="362"/>
        <w:gridCol w:w="198"/>
        <w:gridCol w:w="2018"/>
        <w:gridCol w:w="235"/>
        <w:gridCol w:w="362"/>
        <w:gridCol w:w="198"/>
        <w:gridCol w:w="1972"/>
        <w:gridCol w:w="276"/>
      </w:tblGrid>
      <w:tr w:rsidR="00AC4931" w:rsidRPr="00AC4931" w14:paraId="7C6DFD32" w14:textId="77777777" w:rsidTr="00AC4931">
        <w:tc>
          <w:tcPr>
            <w:tcW w:w="12573" w:type="dxa"/>
            <w:shd w:val="clear" w:color="auto" w:fill="FFFFFF"/>
            <w:tcMar>
              <w:top w:w="15" w:type="dxa"/>
              <w:left w:w="0" w:type="dxa"/>
              <w:bottom w:w="0" w:type="dxa"/>
              <w:right w:w="15" w:type="dxa"/>
            </w:tcMar>
            <w:vAlign w:val="bottom"/>
            <w:hideMark/>
          </w:tcPr>
          <w:p w14:paraId="4E71E5BE" w14:textId="77777777" w:rsidR="00AC4931" w:rsidRPr="00AC4931" w:rsidRDefault="00AC4931" w:rsidP="00AC4931">
            <w:pPr>
              <w:widowControl/>
              <w:jc w:val="left"/>
              <w:rPr>
                <w:rFonts w:ascii="Arial" w:eastAsia="宋体" w:hAnsi="Arial" w:cs="Arial" w:hint="eastAsia"/>
                <w:kern w:val="0"/>
                <w:sz w:val="20"/>
                <w:szCs w:val="20"/>
              </w:rPr>
            </w:pPr>
            <w:r w:rsidRPr="00AC4931">
              <w:rPr>
                <w:rFonts w:ascii="Arial" w:eastAsia="宋体" w:hAnsi="Arial" w:cs="Arial"/>
                <w:kern w:val="0"/>
                <w:sz w:val="20"/>
                <w:szCs w:val="20"/>
              </w:rPr>
              <w:lastRenderedPageBreak/>
              <w:t> </w:t>
            </w:r>
          </w:p>
        </w:tc>
        <w:tc>
          <w:tcPr>
            <w:tcW w:w="4948" w:type="dxa"/>
            <w:gridSpan w:val="6"/>
            <w:tcBorders>
              <w:bottom w:val="single" w:sz="6" w:space="0" w:color="000000"/>
            </w:tcBorders>
            <w:shd w:val="clear" w:color="auto" w:fill="FFFFFF"/>
            <w:tcMar>
              <w:top w:w="15" w:type="dxa"/>
              <w:left w:w="0" w:type="dxa"/>
              <w:bottom w:w="0" w:type="dxa"/>
              <w:right w:w="15" w:type="dxa"/>
            </w:tcMar>
            <w:vAlign w:val="bottom"/>
            <w:hideMark/>
          </w:tcPr>
          <w:p w14:paraId="02877A4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Years ended December 31</w:t>
            </w:r>
          </w:p>
        </w:tc>
        <w:tc>
          <w:tcPr>
            <w:tcW w:w="220" w:type="dxa"/>
            <w:shd w:val="clear" w:color="auto" w:fill="FFFFFF"/>
            <w:noWrap/>
            <w:tcMar>
              <w:top w:w="15" w:type="dxa"/>
              <w:left w:w="0" w:type="dxa"/>
              <w:bottom w:w="0" w:type="dxa"/>
              <w:right w:w="15" w:type="dxa"/>
            </w:tcMar>
            <w:vAlign w:val="bottom"/>
            <w:hideMark/>
          </w:tcPr>
          <w:p w14:paraId="226A978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62" w:type="dxa"/>
            <w:shd w:val="clear" w:color="auto" w:fill="FFFFFF"/>
            <w:tcMar>
              <w:top w:w="15" w:type="dxa"/>
              <w:left w:w="0" w:type="dxa"/>
              <w:bottom w:w="0" w:type="dxa"/>
              <w:right w:w="15" w:type="dxa"/>
            </w:tcMar>
            <w:vAlign w:val="center"/>
            <w:hideMark/>
          </w:tcPr>
          <w:p w14:paraId="6E434C63" w14:textId="77777777" w:rsidR="00AC4931" w:rsidRPr="00AC4931" w:rsidRDefault="00AC4931" w:rsidP="00AC4931">
            <w:pPr>
              <w:widowControl/>
              <w:jc w:val="center"/>
              <w:rPr>
                <w:rFonts w:ascii="Times New Roman" w:eastAsia="宋体" w:hAnsi="Times New Roman" w:cs="Times New Roman"/>
                <w:b/>
                <w:bCs/>
                <w:color w:val="000000"/>
                <w:kern w:val="0"/>
                <w:sz w:val="16"/>
                <w:szCs w:val="16"/>
              </w:rPr>
            </w:pPr>
            <w:r w:rsidRPr="00AC4931">
              <w:rPr>
                <w:rFonts w:ascii="Times New Roman" w:eastAsia="宋体" w:hAnsi="Times New Roman" w:cs="Times New Roman"/>
                <w:b/>
                <w:bCs/>
                <w:color w:val="000000"/>
                <w:kern w:val="0"/>
                <w:sz w:val="16"/>
                <w:szCs w:val="16"/>
              </w:rPr>
              <w:t> </w:t>
            </w:r>
          </w:p>
        </w:tc>
        <w:tc>
          <w:tcPr>
            <w:tcW w:w="190" w:type="dxa"/>
            <w:shd w:val="clear" w:color="auto" w:fill="FFFFFF"/>
            <w:noWrap/>
            <w:tcMar>
              <w:top w:w="15" w:type="dxa"/>
              <w:left w:w="0" w:type="dxa"/>
              <w:bottom w:w="0" w:type="dxa"/>
              <w:right w:w="15" w:type="dxa"/>
            </w:tcMar>
            <w:vAlign w:val="center"/>
            <w:hideMark/>
          </w:tcPr>
          <w:p w14:paraId="26D673F8" w14:textId="77777777" w:rsidR="00AC4931" w:rsidRPr="00AC4931" w:rsidRDefault="00AC4931" w:rsidP="00AC4931">
            <w:pPr>
              <w:widowControl/>
              <w:jc w:val="left"/>
              <w:rPr>
                <w:rFonts w:ascii="Times New Roman" w:eastAsia="宋体" w:hAnsi="Times New Roman" w:cs="Times New Roman"/>
                <w:b/>
                <w:bCs/>
                <w:color w:val="000000"/>
                <w:kern w:val="0"/>
                <w:sz w:val="16"/>
                <w:szCs w:val="16"/>
              </w:rPr>
            </w:pPr>
            <w:r w:rsidRPr="00AC4931">
              <w:rPr>
                <w:rFonts w:ascii="Times New Roman" w:eastAsia="宋体" w:hAnsi="Times New Roman" w:cs="Times New Roman"/>
                <w:b/>
                <w:bCs/>
                <w:color w:val="000000"/>
                <w:kern w:val="0"/>
                <w:sz w:val="16"/>
                <w:szCs w:val="16"/>
              </w:rPr>
              <w:t> </w:t>
            </w:r>
          </w:p>
        </w:tc>
        <w:tc>
          <w:tcPr>
            <w:tcW w:w="1955" w:type="dxa"/>
            <w:shd w:val="clear" w:color="auto" w:fill="FFFFFF"/>
            <w:noWrap/>
            <w:tcMar>
              <w:top w:w="15" w:type="dxa"/>
              <w:left w:w="0" w:type="dxa"/>
              <w:bottom w:w="0" w:type="dxa"/>
              <w:right w:w="15" w:type="dxa"/>
            </w:tcMar>
            <w:vAlign w:val="center"/>
            <w:hideMark/>
          </w:tcPr>
          <w:p w14:paraId="0C2BAA44" w14:textId="77777777" w:rsidR="00AC4931" w:rsidRPr="00AC4931" w:rsidRDefault="00AC4931" w:rsidP="00AC4931">
            <w:pPr>
              <w:widowControl/>
              <w:jc w:val="left"/>
              <w:rPr>
                <w:rFonts w:ascii="Times New Roman" w:eastAsia="宋体" w:hAnsi="Times New Roman" w:cs="Times New Roman"/>
                <w:b/>
                <w:bCs/>
                <w:color w:val="000000"/>
                <w:kern w:val="0"/>
                <w:sz w:val="16"/>
                <w:szCs w:val="16"/>
              </w:rPr>
            </w:pPr>
            <w:r w:rsidRPr="00AC4931">
              <w:rPr>
                <w:rFonts w:ascii="Times New Roman" w:eastAsia="宋体" w:hAnsi="Times New Roman" w:cs="Times New Roman"/>
                <w:b/>
                <w:bCs/>
                <w:color w:val="000000"/>
                <w:kern w:val="0"/>
                <w:sz w:val="16"/>
                <w:szCs w:val="16"/>
              </w:rPr>
              <w:t> </w:t>
            </w:r>
          </w:p>
        </w:tc>
        <w:tc>
          <w:tcPr>
            <w:tcW w:w="261" w:type="dxa"/>
            <w:shd w:val="clear" w:color="auto" w:fill="FFFFFF"/>
            <w:noWrap/>
            <w:tcMar>
              <w:top w:w="15" w:type="dxa"/>
              <w:left w:w="0" w:type="dxa"/>
              <w:bottom w:w="0" w:type="dxa"/>
              <w:right w:w="15" w:type="dxa"/>
            </w:tcMar>
            <w:vAlign w:val="center"/>
            <w:hideMark/>
          </w:tcPr>
          <w:p w14:paraId="022FBCE3" w14:textId="77777777" w:rsidR="00AC4931" w:rsidRPr="00AC4931" w:rsidRDefault="00AC4931" w:rsidP="00AC4931">
            <w:pPr>
              <w:widowControl/>
              <w:jc w:val="left"/>
              <w:rPr>
                <w:rFonts w:ascii="Times New Roman" w:eastAsia="宋体" w:hAnsi="Times New Roman" w:cs="Times New Roman"/>
                <w:b/>
                <w:bCs/>
                <w:color w:val="000000"/>
                <w:kern w:val="0"/>
                <w:sz w:val="16"/>
                <w:szCs w:val="16"/>
              </w:rPr>
            </w:pPr>
            <w:r w:rsidRPr="00AC4931">
              <w:rPr>
                <w:rFonts w:ascii="Times New Roman" w:eastAsia="宋体" w:hAnsi="Times New Roman" w:cs="Times New Roman"/>
                <w:b/>
                <w:bCs/>
                <w:color w:val="000000"/>
                <w:kern w:val="0"/>
                <w:sz w:val="16"/>
                <w:szCs w:val="16"/>
              </w:rPr>
              <w:t> </w:t>
            </w:r>
          </w:p>
        </w:tc>
      </w:tr>
      <w:tr w:rsidR="00AC4931" w:rsidRPr="00AC4931" w14:paraId="7CC25328" w14:textId="77777777" w:rsidTr="00AC4931">
        <w:tc>
          <w:tcPr>
            <w:tcW w:w="12573" w:type="dxa"/>
            <w:shd w:val="clear" w:color="auto" w:fill="FFFFFF"/>
            <w:tcMar>
              <w:top w:w="15" w:type="dxa"/>
              <w:left w:w="0" w:type="dxa"/>
              <w:bottom w:w="0" w:type="dxa"/>
              <w:right w:w="15" w:type="dxa"/>
            </w:tcMar>
            <w:vAlign w:val="bottom"/>
            <w:hideMark/>
          </w:tcPr>
          <w:p w14:paraId="229751D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(Dollars in millions, except per share data)</w:t>
            </w:r>
          </w:p>
        </w:tc>
        <w:tc>
          <w:tcPr>
            <w:tcW w:w="216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2C6F0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220" w:type="dxa"/>
            <w:shd w:val="clear" w:color="auto" w:fill="FFFFFF"/>
            <w:noWrap/>
            <w:tcMar>
              <w:top w:w="15" w:type="dxa"/>
              <w:left w:w="0" w:type="dxa"/>
              <w:bottom w:w="0" w:type="dxa"/>
              <w:right w:w="15" w:type="dxa"/>
            </w:tcMar>
            <w:vAlign w:val="bottom"/>
            <w:hideMark/>
          </w:tcPr>
          <w:p w14:paraId="1DABBD3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62" w:type="dxa"/>
            <w:tcBorders>
              <w:top w:val="single" w:sz="6" w:space="0" w:color="000000"/>
            </w:tcBorders>
            <w:shd w:val="clear" w:color="auto" w:fill="FFFFFF"/>
            <w:tcMar>
              <w:top w:w="15" w:type="dxa"/>
              <w:left w:w="0" w:type="dxa"/>
              <w:bottom w:w="0" w:type="dxa"/>
              <w:right w:w="15" w:type="dxa"/>
            </w:tcMar>
            <w:vAlign w:val="center"/>
            <w:hideMark/>
          </w:tcPr>
          <w:p w14:paraId="60872C9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6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C58FF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220" w:type="dxa"/>
            <w:shd w:val="clear" w:color="auto" w:fill="FFFFFF"/>
            <w:noWrap/>
            <w:tcMar>
              <w:top w:w="15" w:type="dxa"/>
              <w:left w:w="0" w:type="dxa"/>
              <w:bottom w:w="0" w:type="dxa"/>
              <w:right w:w="15" w:type="dxa"/>
            </w:tcMar>
            <w:vAlign w:val="bottom"/>
            <w:hideMark/>
          </w:tcPr>
          <w:p w14:paraId="0231CA8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62" w:type="dxa"/>
            <w:shd w:val="clear" w:color="auto" w:fill="FFFFFF"/>
            <w:tcMar>
              <w:top w:w="15" w:type="dxa"/>
              <w:left w:w="0" w:type="dxa"/>
              <w:bottom w:w="0" w:type="dxa"/>
              <w:right w:w="15" w:type="dxa"/>
            </w:tcMar>
            <w:vAlign w:val="center"/>
            <w:hideMark/>
          </w:tcPr>
          <w:p w14:paraId="4B33934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60" w:type="dxa"/>
            <w:gridSpan w:val="2"/>
            <w:tcBorders>
              <w:bottom w:val="single" w:sz="6" w:space="0" w:color="000000"/>
            </w:tcBorders>
            <w:shd w:val="clear" w:color="auto" w:fill="FFFFFF"/>
            <w:tcMar>
              <w:top w:w="15" w:type="dxa"/>
              <w:left w:w="0" w:type="dxa"/>
              <w:bottom w:w="0" w:type="dxa"/>
              <w:right w:w="15" w:type="dxa"/>
            </w:tcMar>
            <w:vAlign w:val="bottom"/>
            <w:hideMark/>
          </w:tcPr>
          <w:p w14:paraId="14A5FCC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Change</w:t>
            </w:r>
          </w:p>
        </w:tc>
        <w:tc>
          <w:tcPr>
            <w:tcW w:w="261" w:type="dxa"/>
            <w:shd w:val="clear" w:color="auto" w:fill="FFFFFF"/>
            <w:noWrap/>
            <w:tcMar>
              <w:top w:w="15" w:type="dxa"/>
              <w:left w:w="0" w:type="dxa"/>
              <w:bottom w:w="0" w:type="dxa"/>
              <w:right w:w="15" w:type="dxa"/>
            </w:tcMar>
            <w:vAlign w:val="bottom"/>
            <w:hideMark/>
          </w:tcPr>
          <w:p w14:paraId="3EDE99E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0BA2DF1" w14:textId="77777777" w:rsidTr="00AC4931">
        <w:tc>
          <w:tcPr>
            <w:tcW w:w="12573" w:type="dxa"/>
            <w:shd w:val="clear" w:color="auto" w:fill="CFF0FC"/>
            <w:tcMar>
              <w:top w:w="15" w:type="dxa"/>
              <w:left w:w="0" w:type="dxa"/>
              <w:bottom w:w="0" w:type="dxa"/>
              <w:right w:w="15" w:type="dxa"/>
            </w:tcMar>
            <w:vAlign w:val="center"/>
            <w:hideMark/>
          </w:tcPr>
          <w:p w14:paraId="45FD20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Sales</w:t>
            </w:r>
          </w:p>
        </w:tc>
        <w:tc>
          <w:tcPr>
            <w:tcW w:w="190" w:type="dxa"/>
            <w:tcBorders>
              <w:top w:val="single" w:sz="6" w:space="0" w:color="000000"/>
            </w:tcBorders>
            <w:shd w:val="clear" w:color="auto" w:fill="CFF0FC"/>
            <w:noWrap/>
            <w:tcMar>
              <w:top w:w="15" w:type="dxa"/>
              <w:left w:w="0" w:type="dxa"/>
              <w:bottom w:w="0" w:type="dxa"/>
              <w:right w:w="15" w:type="dxa"/>
            </w:tcMar>
            <w:vAlign w:val="center"/>
            <w:hideMark/>
          </w:tcPr>
          <w:p w14:paraId="1AD438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55" w:type="dxa"/>
            <w:tcBorders>
              <w:top w:val="single" w:sz="6" w:space="0" w:color="000000"/>
            </w:tcBorders>
            <w:shd w:val="clear" w:color="auto" w:fill="CFF0FC"/>
            <w:noWrap/>
            <w:tcMar>
              <w:top w:w="15" w:type="dxa"/>
              <w:left w:w="0" w:type="dxa"/>
              <w:bottom w:w="0" w:type="dxa"/>
              <w:right w:w="15" w:type="dxa"/>
            </w:tcMar>
            <w:vAlign w:val="center"/>
            <w:hideMark/>
          </w:tcPr>
          <w:p w14:paraId="5A78E50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7,447.4</w:t>
            </w:r>
          </w:p>
        </w:tc>
        <w:tc>
          <w:tcPr>
            <w:tcW w:w="220" w:type="dxa"/>
            <w:shd w:val="clear" w:color="auto" w:fill="CFF0FC"/>
            <w:noWrap/>
            <w:tcMar>
              <w:top w:w="15" w:type="dxa"/>
              <w:left w:w="0" w:type="dxa"/>
              <w:bottom w:w="0" w:type="dxa"/>
              <w:right w:w="15" w:type="dxa"/>
            </w:tcMar>
            <w:vAlign w:val="center"/>
            <w:hideMark/>
          </w:tcPr>
          <w:p w14:paraId="6AF653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CFF0FC"/>
            <w:tcMar>
              <w:top w:w="15" w:type="dxa"/>
              <w:left w:w="0" w:type="dxa"/>
              <w:bottom w:w="0" w:type="dxa"/>
              <w:right w:w="15" w:type="dxa"/>
            </w:tcMar>
            <w:vAlign w:val="center"/>
            <w:hideMark/>
          </w:tcPr>
          <w:p w14:paraId="07002D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center"/>
            <w:hideMark/>
          </w:tcPr>
          <w:p w14:paraId="2CE080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55" w:type="dxa"/>
            <w:tcBorders>
              <w:top w:val="single" w:sz="6" w:space="0" w:color="000000"/>
            </w:tcBorders>
            <w:shd w:val="clear" w:color="auto" w:fill="CFF0FC"/>
            <w:noWrap/>
            <w:tcMar>
              <w:top w:w="15" w:type="dxa"/>
              <w:left w:w="0" w:type="dxa"/>
              <w:bottom w:w="0" w:type="dxa"/>
              <w:right w:w="15" w:type="dxa"/>
            </w:tcMar>
            <w:vAlign w:val="center"/>
            <w:hideMark/>
          </w:tcPr>
          <w:p w14:paraId="3B9FEF7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8,547.6</w:t>
            </w:r>
          </w:p>
        </w:tc>
        <w:tc>
          <w:tcPr>
            <w:tcW w:w="220" w:type="dxa"/>
            <w:shd w:val="clear" w:color="auto" w:fill="CFF0FC"/>
            <w:noWrap/>
            <w:tcMar>
              <w:top w:w="15" w:type="dxa"/>
              <w:left w:w="0" w:type="dxa"/>
              <w:bottom w:w="0" w:type="dxa"/>
              <w:right w:w="15" w:type="dxa"/>
            </w:tcMar>
            <w:vAlign w:val="center"/>
            <w:hideMark/>
          </w:tcPr>
          <w:p w14:paraId="01B195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CFF0FC"/>
            <w:tcMar>
              <w:top w:w="15" w:type="dxa"/>
              <w:left w:w="0" w:type="dxa"/>
              <w:bottom w:w="0" w:type="dxa"/>
              <w:right w:w="15" w:type="dxa"/>
            </w:tcMar>
            <w:vAlign w:val="center"/>
            <w:hideMark/>
          </w:tcPr>
          <w:p w14:paraId="14B397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center"/>
            <w:hideMark/>
          </w:tcPr>
          <w:p w14:paraId="48BA0C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tcBorders>
              <w:top w:val="single" w:sz="6" w:space="0" w:color="000000"/>
            </w:tcBorders>
            <w:shd w:val="clear" w:color="auto" w:fill="CFF0FC"/>
            <w:noWrap/>
            <w:tcMar>
              <w:top w:w="15" w:type="dxa"/>
              <w:left w:w="0" w:type="dxa"/>
              <w:bottom w:w="0" w:type="dxa"/>
              <w:right w:w="15" w:type="dxa"/>
            </w:tcMar>
            <w:vAlign w:val="center"/>
            <w:hideMark/>
          </w:tcPr>
          <w:p w14:paraId="24874BC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(12.9</w:t>
            </w:r>
          </w:p>
        </w:tc>
        <w:tc>
          <w:tcPr>
            <w:tcW w:w="261" w:type="dxa"/>
            <w:shd w:val="clear" w:color="auto" w:fill="CFF0FC"/>
            <w:noWrap/>
            <w:tcMar>
              <w:top w:w="15" w:type="dxa"/>
              <w:left w:w="0" w:type="dxa"/>
              <w:bottom w:w="0" w:type="dxa"/>
              <w:right w:w="15" w:type="dxa"/>
            </w:tcMar>
            <w:vAlign w:val="center"/>
            <w:hideMark/>
          </w:tcPr>
          <w:p w14:paraId="757410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A86FE55" w14:textId="77777777" w:rsidTr="00AC4931">
        <w:tc>
          <w:tcPr>
            <w:tcW w:w="12573" w:type="dxa"/>
            <w:shd w:val="clear" w:color="auto" w:fill="FFFFFF"/>
            <w:tcMar>
              <w:top w:w="15" w:type="dxa"/>
              <w:left w:w="0" w:type="dxa"/>
              <w:bottom w:w="0" w:type="dxa"/>
              <w:right w:w="15" w:type="dxa"/>
            </w:tcMar>
            <w:vAlign w:val="center"/>
            <w:hideMark/>
          </w:tcPr>
          <w:p w14:paraId="018121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Gross profit</w:t>
            </w:r>
          </w:p>
        </w:tc>
        <w:tc>
          <w:tcPr>
            <w:tcW w:w="190" w:type="dxa"/>
            <w:shd w:val="clear" w:color="auto" w:fill="FFFFFF"/>
            <w:noWrap/>
            <w:tcMar>
              <w:top w:w="15" w:type="dxa"/>
              <w:left w:w="0" w:type="dxa"/>
              <w:bottom w:w="0" w:type="dxa"/>
              <w:right w:w="15" w:type="dxa"/>
            </w:tcMar>
            <w:vAlign w:val="center"/>
            <w:hideMark/>
          </w:tcPr>
          <w:p w14:paraId="51FFAE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58CA16A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1,246.9</w:t>
            </w:r>
          </w:p>
        </w:tc>
        <w:tc>
          <w:tcPr>
            <w:tcW w:w="220" w:type="dxa"/>
            <w:shd w:val="clear" w:color="auto" w:fill="FFFFFF"/>
            <w:noWrap/>
            <w:tcMar>
              <w:top w:w="15" w:type="dxa"/>
              <w:left w:w="0" w:type="dxa"/>
              <w:bottom w:w="0" w:type="dxa"/>
              <w:right w:w="15" w:type="dxa"/>
            </w:tcMar>
            <w:vAlign w:val="center"/>
            <w:hideMark/>
          </w:tcPr>
          <w:p w14:paraId="5BD4D5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FFFFFF"/>
            <w:tcMar>
              <w:top w:w="15" w:type="dxa"/>
              <w:left w:w="0" w:type="dxa"/>
              <w:bottom w:w="0" w:type="dxa"/>
              <w:right w:w="15" w:type="dxa"/>
            </w:tcMar>
            <w:vAlign w:val="center"/>
            <w:hideMark/>
          </w:tcPr>
          <w:p w14:paraId="0EFD09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1C5F17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070ADF3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1,584.4</w:t>
            </w:r>
          </w:p>
        </w:tc>
        <w:tc>
          <w:tcPr>
            <w:tcW w:w="220" w:type="dxa"/>
            <w:shd w:val="clear" w:color="auto" w:fill="FFFFFF"/>
            <w:noWrap/>
            <w:tcMar>
              <w:top w:w="15" w:type="dxa"/>
              <w:left w:w="0" w:type="dxa"/>
              <w:bottom w:w="0" w:type="dxa"/>
              <w:right w:w="15" w:type="dxa"/>
            </w:tcMar>
            <w:vAlign w:val="center"/>
            <w:hideMark/>
          </w:tcPr>
          <w:p w14:paraId="472318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FFFFFF"/>
            <w:tcMar>
              <w:top w:w="15" w:type="dxa"/>
              <w:left w:w="0" w:type="dxa"/>
              <w:bottom w:w="0" w:type="dxa"/>
              <w:right w:w="15" w:type="dxa"/>
            </w:tcMar>
            <w:vAlign w:val="center"/>
            <w:hideMark/>
          </w:tcPr>
          <w:p w14:paraId="287C45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4284DF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7E6FE11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(21.3</w:t>
            </w:r>
          </w:p>
        </w:tc>
        <w:tc>
          <w:tcPr>
            <w:tcW w:w="261" w:type="dxa"/>
            <w:shd w:val="clear" w:color="auto" w:fill="FFFFFF"/>
            <w:noWrap/>
            <w:tcMar>
              <w:top w:w="15" w:type="dxa"/>
              <w:left w:w="0" w:type="dxa"/>
              <w:bottom w:w="0" w:type="dxa"/>
              <w:right w:w="15" w:type="dxa"/>
            </w:tcMar>
            <w:vAlign w:val="center"/>
            <w:hideMark/>
          </w:tcPr>
          <w:p w14:paraId="251AA7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C584B70" w14:textId="77777777" w:rsidTr="00AC4931">
        <w:tc>
          <w:tcPr>
            <w:tcW w:w="12573" w:type="dxa"/>
            <w:shd w:val="clear" w:color="auto" w:fill="CFF0FC"/>
            <w:tcMar>
              <w:top w:w="15" w:type="dxa"/>
              <w:left w:w="0" w:type="dxa"/>
              <w:bottom w:w="0" w:type="dxa"/>
              <w:right w:w="15" w:type="dxa"/>
            </w:tcMar>
            <w:vAlign w:val="center"/>
            <w:hideMark/>
          </w:tcPr>
          <w:p w14:paraId="77D7B23B" w14:textId="77777777" w:rsidR="00AC4931" w:rsidRPr="00AC4931" w:rsidRDefault="00AC4931" w:rsidP="00AC4931">
            <w:pPr>
              <w:widowControl/>
              <w:ind w:left="137"/>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of sales</w:t>
            </w:r>
          </w:p>
        </w:tc>
        <w:tc>
          <w:tcPr>
            <w:tcW w:w="190" w:type="dxa"/>
            <w:shd w:val="clear" w:color="auto" w:fill="CFF0FC"/>
            <w:noWrap/>
            <w:tcMar>
              <w:top w:w="15" w:type="dxa"/>
              <w:left w:w="0" w:type="dxa"/>
              <w:bottom w:w="0" w:type="dxa"/>
              <w:right w:w="15" w:type="dxa"/>
            </w:tcMar>
            <w:vAlign w:val="center"/>
            <w:hideMark/>
          </w:tcPr>
          <w:p w14:paraId="28DD79D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53982969"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16.7</w:t>
            </w:r>
          </w:p>
        </w:tc>
        <w:tc>
          <w:tcPr>
            <w:tcW w:w="220" w:type="dxa"/>
            <w:shd w:val="clear" w:color="auto" w:fill="CFF0FC"/>
            <w:noWrap/>
            <w:tcMar>
              <w:top w:w="15" w:type="dxa"/>
              <w:left w:w="0" w:type="dxa"/>
              <w:bottom w:w="0" w:type="dxa"/>
              <w:right w:w="15" w:type="dxa"/>
            </w:tcMar>
            <w:vAlign w:val="center"/>
            <w:hideMark/>
          </w:tcPr>
          <w:p w14:paraId="0F79881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62" w:type="dxa"/>
            <w:shd w:val="clear" w:color="auto" w:fill="CFF0FC"/>
            <w:tcMar>
              <w:top w:w="15" w:type="dxa"/>
              <w:left w:w="0" w:type="dxa"/>
              <w:bottom w:w="0" w:type="dxa"/>
              <w:right w:w="15" w:type="dxa"/>
            </w:tcMar>
            <w:vAlign w:val="center"/>
            <w:hideMark/>
          </w:tcPr>
          <w:p w14:paraId="4466F09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3C288B9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7A805601"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18.5</w:t>
            </w:r>
          </w:p>
        </w:tc>
        <w:tc>
          <w:tcPr>
            <w:tcW w:w="220" w:type="dxa"/>
            <w:shd w:val="clear" w:color="auto" w:fill="CFF0FC"/>
            <w:noWrap/>
            <w:tcMar>
              <w:top w:w="15" w:type="dxa"/>
              <w:left w:w="0" w:type="dxa"/>
              <w:bottom w:w="0" w:type="dxa"/>
              <w:right w:w="15" w:type="dxa"/>
            </w:tcMar>
            <w:vAlign w:val="center"/>
            <w:hideMark/>
          </w:tcPr>
          <w:p w14:paraId="2870540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62" w:type="dxa"/>
            <w:shd w:val="clear" w:color="auto" w:fill="CFF0FC"/>
            <w:tcMar>
              <w:top w:w="15" w:type="dxa"/>
              <w:left w:w="0" w:type="dxa"/>
              <w:bottom w:w="0" w:type="dxa"/>
              <w:right w:w="15" w:type="dxa"/>
            </w:tcMar>
            <w:vAlign w:val="center"/>
            <w:hideMark/>
          </w:tcPr>
          <w:p w14:paraId="78539D1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3ABDE5A0"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221F118E"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(1.8</w:t>
            </w:r>
          </w:p>
        </w:tc>
        <w:tc>
          <w:tcPr>
            <w:tcW w:w="261" w:type="dxa"/>
            <w:shd w:val="clear" w:color="auto" w:fill="CFF0FC"/>
            <w:noWrap/>
            <w:tcMar>
              <w:top w:w="15" w:type="dxa"/>
              <w:left w:w="0" w:type="dxa"/>
              <w:bottom w:w="0" w:type="dxa"/>
              <w:right w:w="15" w:type="dxa"/>
            </w:tcMar>
            <w:vAlign w:val="center"/>
            <w:hideMark/>
          </w:tcPr>
          <w:p w14:paraId="1CF133A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)pp</w:t>
            </w:r>
          </w:p>
        </w:tc>
      </w:tr>
      <w:tr w:rsidR="00AC4931" w:rsidRPr="00AC4931" w14:paraId="6B0141AE" w14:textId="77777777" w:rsidTr="00AC4931">
        <w:tc>
          <w:tcPr>
            <w:tcW w:w="12573" w:type="dxa"/>
            <w:shd w:val="clear" w:color="auto" w:fill="FFFFFF"/>
            <w:tcMar>
              <w:top w:w="15" w:type="dxa"/>
              <w:left w:w="0" w:type="dxa"/>
              <w:bottom w:w="0" w:type="dxa"/>
              <w:right w:w="15" w:type="dxa"/>
            </w:tcMar>
            <w:vAlign w:val="center"/>
            <w:hideMark/>
          </w:tcPr>
          <w:p w14:paraId="1252EE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S,G&amp;A</w:t>
            </w:r>
          </w:p>
        </w:tc>
        <w:tc>
          <w:tcPr>
            <w:tcW w:w="190" w:type="dxa"/>
            <w:shd w:val="clear" w:color="auto" w:fill="FFFFFF"/>
            <w:noWrap/>
            <w:tcMar>
              <w:top w:w="15" w:type="dxa"/>
              <w:left w:w="0" w:type="dxa"/>
              <w:bottom w:w="0" w:type="dxa"/>
              <w:right w:w="15" w:type="dxa"/>
            </w:tcMar>
            <w:vAlign w:val="center"/>
            <w:hideMark/>
          </w:tcPr>
          <w:p w14:paraId="129413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55B6D9F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(389.2</w:t>
            </w:r>
          </w:p>
        </w:tc>
        <w:tc>
          <w:tcPr>
            <w:tcW w:w="220" w:type="dxa"/>
            <w:shd w:val="clear" w:color="auto" w:fill="FFFFFF"/>
            <w:noWrap/>
            <w:tcMar>
              <w:top w:w="15" w:type="dxa"/>
              <w:left w:w="0" w:type="dxa"/>
              <w:bottom w:w="0" w:type="dxa"/>
              <w:right w:w="15" w:type="dxa"/>
            </w:tcMar>
            <w:vAlign w:val="center"/>
            <w:hideMark/>
          </w:tcPr>
          <w:p w14:paraId="62D44E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FFFFFF"/>
            <w:tcMar>
              <w:top w:w="15" w:type="dxa"/>
              <w:left w:w="0" w:type="dxa"/>
              <w:bottom w:w="0" w:type="dxa"/>
              <w:right w:w="15" w:type="dxa"/>
            </w:tcMar>
            <w:vAlign w:val="center"/>
            <w:hideMark/>
          </w:tcPr>
          <w:p w14:paraId="05CD49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2F9319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3951992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(398.9</w:t>
            </w:r>
          </w:p>
        </w:tc>
        <w:tc>
          <w:tcPr>
            <w:tcW w:w="220" w:type="dxa"/>
            <w:shd w:val="clear" w:color="auto" w:fill="FFFFFF"/>
            <w:noWrap/>
            <w:tcMar>
              <w:top w:w="15" w:type="dxa"/>
              <w:left w:w="0" w:type="dxa"/>
              <w:bottom w:w="0" w:type="dxa"/>
              <w:right w:w="15" w:type="dxa"/>
            </w:tcMar>
            <w:vAlign w:val="center"/>
            <w:hideMark/>
          </w:tcPr>
          <w:p w14:paraId="0A6D32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FFFFFF"/>
            <w:tcMar>
              <w:top w:w="15" w:type="dxa"/>
              <w:left w:w="0" w:type="dxa"/>
              <w:bottom w:w="0" w:type="dxa"/>
              <w:right w:w="15" w:type="dxa"/>
            </w:tcMar>
            <w:vAlign w:val="center"/>
            <w:hideMark/>
          </w:tcPr>
          <w:p w14:paraId="1A2ACD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7714C9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7390164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w:t>
            </w:r>
          </w:p>
        </w:tc>
        <w:tc>
          <w:tcPr>
            <w:tcW w:w="261" w:type="dxa"/>
            <w:shd w:val="clear" w:color="auto" w:fill="FFFFFF"/>
            <w:noWrap/>
            <w:tcMar>
              <w:top w:w="15" w:type="dxa"/>
              <w:left w:w="0" w:type="dxa"/>
              <w:bottom w:w="0" w:type="dxa"/>
              <w:right w:w="15" w:type="dxa"/>
            </w:tcMar>
            <w:vAlign w:val="center"/>
            <w:hideMark/>
          </w:tcPr>
          <w:p w14:paraId="79B334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9AA3B2E" w14:textId="77777777" w:rsidTr="00AC4931">
        <w:tc>
          <w:tcPr>
            <w:tcW w:w="12573" w:type="dxa"/>
            <w:shd w:val="clear" w:color="auto" w:fill="CFF0FC"/>
            <w:tcMar>
              <w:top w:w="15" w:type="dxa"/>
              <w:left w:w="0" w:type="dxa"/>
              <w:bottom w:w="0" w:type="dxa"/>
              <w:right w:w="15" w:type="dxa"/>
            </w:tcMar>
            <w:vAlign w:val="center"/>
            <w:hideMark/>
          </w:tcPr>
          <w:p w14:paraId="2A41A03B" w14:textId="77777777" w:rsidR="00AC4931" w:rsidRPr="00AC4931" w:rsidRDefault="00AC4931" w:rsidP="00AC4931">
            <w:pPr>
              <w:widowControl/>
              <w:ind w:left="137"/>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of sales</w:t>
            </w:r>
          </w:p>
        </w:tc>
        <w:tc>
          <w:tcPr>
            <w:tcW w:w="190" w:type="dxa"/>
            <w:shd w:val="clear" w:color="auto" w:fill="CFF0FC"/>
            <w:noWrap/>
            <w:tcMar>
              <w:top w:w="15" w:type="dxa"/>
              <w:left w:w="0" w:type="dxa"/>
              <w:bottom w:w="0" w:type="dxa"/>
              <w:right w:w="15" w:type="dxa"/>
            </w:tcMar>
            <w:vAlign w:val="center"/>
            <w:hideMark/>
          </w:tcPr>
          <w:p w14:paraId="32ACC03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2855D997"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(5.2</w:t>
            </w:r>
          </w:p>
        </w:tc>
        <w:tc>
          <w:tcPr>
            <w:tcW w:w="220" w:type="dxa"/>
            <w:shd w:val="clear" w:color="auto" w:fill="CFF0FC"/>
            <w:noWrap/>
            <w:tcMar>
              <w:top w:w="15" w:type="dxa"/>
              <w:left w:w="0" w:type="dxa"/>
              <w:bottom w:w="0" w:type="dxa"/>
              <w:right w:w="15" w:type="dxa"/>
            </w:tcMar>
            <w:vAlign w:val="center"/>
            <w:hideMark/>
          </w:tcPr>
          <w:p w14:paraId="00893BC5"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62" w:type="dxa"/>
            <w:shd w:val="clear" w:color="auto" w:fill="CFF0FC"/>
            <w:tcMar>
              <w:top w:w="15" w:type="dxa"/>
              <w:left w:w="0" w:type="dxa"/>
              <w:bottom w:w="0" w:type="dxa"/>
              <w:right w:w="15" w:type="dxa"/>
            </w:tcMar>
            <w:vAlign w:val="center"/>
            <w:hideMark/>
          </w:tcPr>
          <w:p w14:paraId="2BC693B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7C1E82B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39898FA5"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(4.7</w:t>
            </w:r>
          </w:p>
        </w:tc>
        <w:tc>
          <w:tcPr>
            <w:tcW w:w="220" w:type="dxa"/>
            <w:shd w:val="clear" w:color="auto" w:fill="CFF0FC"/>
            <w:noWrap/>
            <w:tcMar>
              <w:top w:w="15" w:type="dxa"/>
              <w:left w:w="0" w:type="dxa"/>
              <w:bottom w:w="0" w:type="dxa"/>
              <w:right w:w="15" w:type="dxa"/>
            </w:tcMar>
            <w:vAlign w:val="center"/>
            <w:hideMark/>
          </w:tcPr>
          <w:p w14:paraId="6D58710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62" w:type="dxa"/>
            <w:shd w:val="clear" w:color="auto" w:fill="CFF0FC"/>
            <w:tcMar>
              <w:top w:w="15" w:type="dxa"/>
              <w:left w:w="0" w:type="dxa"/>
              <w:bottom w:w="0" w:type="dxa"/>
              <w:right w:w="15" w:type="dxa"/>
            </w:tcMar>
            <w:vAlign w:val="center"/>
            <w:hideMark/>
          </w:tcPr>
          <w:p w14:paraId="74F5DDD4"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174C139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5C9942C7"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0.5</w:t>
            </w:r>
          </w:p>
        </w:tc>
        <w:tc>
          <w:tcPr>
            <w:tcW w:w="261" w:type="dxa"/>
            <w:shd w:val="clear" w:color="auto" w:fill="CFF0FC"/>
            <w:noWrap/>
            <w:tcMar>
              <w:top w:w="15" w:type="dxa"/>
              <w:left w:w="0" w:type="dxa"/>
              <w:bottom w:w="0" w:type="dxa"/>
              <w:right w:w="15" w:type="dxa"/>
            </w:tcMar>
            <w:vAlign w:val="center"/>
            <w:hideMark/>
          </w:tcPr>
          <w:p w14:paraId="7EA3B6D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pp</w:t>
            </w:r>
          </w:p>
        </w:tc>
      </w:tr>
      <w:tr w:rsidR="00AC4931" w:rsidRPr="00AC4931" w14:paraId="603E961B" w14:textId="77777777" w:rsidTr="00AC4931">
        <w:tc>
          <w:tcPr>
            <w:tcW w:w="12573" w:type="dxa"/>
            <w:shd w:val="clear" w:color="auto" w:fill="FFFFFF"/>
            <w:tcMar>
              <w:top w:w="15" w:type="dxa"/>
              <w:left w:w="0" w:type="dxa"/>
              <w:bottom w:w="0" w:type="dxa"/>
              <w:right w:w="15" w:type="dxa"/>
            </w:tcMar>
            <w:vAlign w:val="center"/>
            <w:hideMark/>
          </w:tcPr>
          <w:p w14:paraId="42AD55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R,D&amp;E net</w:t>
            </w:r>
          </w:p>
        </w:tc>
        <w:tc>
          <w:tcPr>
            <w:tcW w:w="190" w:type="dxa"/>
            <w:shd w:val="clear" w:color="auto" w:fill="FFFFFF"/>
            <w:noWrap/>
            <w:tcMar>
              <w:top w:w="15" w:type="dxa"/>
              <w:left w:w="0" w:type="dxa"/>
              <w:bottom w:w="0" w:type="dxa"/>
              <w:right w:w="15" w:type="dxa"/>
            </w:tcMar>
            <w:vAlign w:val="center"/>
            <w:hideMark/>
          </w:tcPr>
          <w:p w14:paraId="0EACC7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1568A3A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(375.5</w:t>
            </w:r>
          </w:p>
        </w:tc>
        <w:tc>
          <w:tcPr>
            <w:tcW w:w="220" w:type="dxa"/>
            <w:shd w:val="clear" w:color="auto" w:fill="FFFFFF"/>
            <w:noWrap/>
            <w:tcMar>
              <w:top w:w="15" w:type="dxa"/>
              <w:left w:w="0" w:type="dxa"/>
              <w:bottom w:w="0" w:type="dxa"/>
              <w:right w:w="15" w:type="dxa"/>
            </w:tcMar>
            <w:vAlign w:val="center"/>
            <w:hideMark/>
          </w:tcPr>
          <w:p w14:paraId="6A5A52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FFFFFF"/>
            <w:tcMar>
              <w:top w:w="15" w:type="dxa"/>
              <w:left w:w="0" w:type="dxa"/>
              <w:bottom w:w="0" w:type="dxa"/>
              <w:right w:w="15" w:type="dxa"/>
            </w:tcMar>
            <w:vAlign w:val="center"/>
            <w:hideMark/>
          </w:tcPr>
          <w:p w14:paraId="26281B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6BAF30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3AF5DCE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(405.5</w:t>
            </w:r>
          </w:p>
        </w:tc>
        <w:tc>
          <w:tcPr>
            <w:tcW w:w="220" w:type="dxa"/>
            <w:shd w:val="clear" w:color="auto" w:fill="FFFFFF"/>
            <w:noWrap/>
            <w:tcMar>
              <w:top w:w="15" w:type="dxa"/>
              <w:left w:w="0" w:type="dxa"/>
              <w:bottom w:w="0" w:type="dxa"/>
              <w:right w:w="15" w:type="dxa"/>
            </w:tcMar>
            <w:vAlign w:val="center"/>
            <w:hideMark/>
          </w:tcPr>
          <w:p w14:paraId="05276E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FFFFFF"/>
            <w:tcMar>
              <w:top w:w="15" w:type="dxa"/>
              <w:left w:w="0" w:type="dxa"/>
              <w:bottom w:w="0" w:type="dxa"/>
              <w:right w:w="15" w:type="dxa"/>
            </w:tcMar>
            <w:vAlign w:val="center"/>
            <w:hideMark/>
          </w:tcPr>
          <w:p w14:paraId="54BF02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3EDC08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1A3A662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(7.4</w:t>
            </w:r>
          </w:p>
        </w:tc>
        <w:tc>
          <w:tcPr>
            <w:tcW w:w="261" w:type="dxa"/>
            <w:shd w:val="clear" w:color="auto" w:fill="FFFFFF"/>
            <w:noWrap/>
            <w:tcMar>
              <w:top w:w="15" w:type="dxa"/>
              <w:left w:w="0" w:type="dxa"/>
              <w:bottom w:w="0" w:type="dxa"/>
              <w:right w:w="15" w:type="dxa"/>
            </w:tcMar>
            <w:vAlign w:val="center"/>
            <w:hideMark/>
          </w:tcPr>
          <w:p w14:paraId="4D6CC1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847D5DD" w14:textId="77777777" w:rsidTr="00AC4931">
        <w:tc>
          <w:tcPr>
            <w:tcW w:w="12573" w:type="dxa"/>
            <w:shd w:val="clear" w:color="auto" w:fill="CFF0FC"/>
            <w:tcMar>
              <w:top w:w="15" w:type="dxa"/>
              <w:left w:w="0" w:type="dxa"/>
              <w:bottom w:w="0" w:type="dxa"/>
              <w:right w:w="15" w:type="dxa"/>
            </w:tcMar>
            <w:vAlign w:val="center"/>
            <w:hideMark/>
          </w:tcPr>
          <w:p w14:paraId="5C116C30" w14:textId="77777777" w:rsidR="00AC4931" w:rsidRPr="00AC4931" w:rsidRDefault="00AC4931" w:rsidP="00AC4931">
            <w:pPr>
              <w:widowControl/>
              <w:ind w:left="137"/>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of sales</w:t>
            </w:r>
          </w:p>
        </w:tc>
        <w:tc>
          <w:tcPr>
            <w:tcW w:w="190" w:type="dxa"/>
            <w:shd w:val="clear" w:color="auto" w:fill="CFF0FC"/>
            <w:noWrap/>
            <w:tcMar>
              <w:top w:w="15" w:type="dxa"/>
              <w:left w:w="0" w:type="dxa"/>
              <w:bottom w:w="0" w:type="dxa"/>
              <w:right w:w="15" w:type="dxa"/>
            </w:tcMar>
            <w:vAlign w:val="center"/>
            <w:hideMark/>
          </w:tcPr>
          <w:p w14:paraId="23705A3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28427FBF"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(5.0</w:t>
            </w:r>
          </w:p>
        </w:tc>
        <w:tc>
          <w:tcPr>
            <w:tcW w:w="220" w:type="dxa"/>
            <w:shd w:val="clear" w:color="auto" w:fill="CFF0FC"/>
            <w:noWrap/>
            <w:tcMar>
              <w:top w:w="15" w:type="dxa"/>
              <w:left w:w="0" w:type="dxa"/>
              <w:bottom w:w="0" w:type="dxa"/>
              <w:right w:w="15" w:type="dxa"/>
            </w:tcMar>
            <w:vAlign w:val="center"/>
            <w:hideMark/>
          </w:tcPr>
          <w:p w14:paraId="1A2B94F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62" w:type="dxa"/>
            <w:shd w:val="clear" w:color="auto" w:fill="CFF0FC"/>
            <w:tcMar>
              <w:top w:w="15" w:type="dxa"/>
              <w:left w:w="0" w:type="dxa"/>
              <w:bottom w:w="0" w:type="dxa"/>
              <w:right w:w="15" w:type="dxa"/>
            </w:tcMar>
            <w:vAlign w:val="center"/>
            <w:hideMark/>
          </w:tcPr>
          <w:p w14:paraId="14FE5B4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7D00E90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26F83511"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(4.7</w:t>
            </w:r>
          </w:p>
        </w:tc>
        <w:tc>
          <w:tcPr>
            <w:tcW w:w="220" w:type="dxa"/>
            <w:shd w:val="clear" w:color="auto" w:fill="CFF0FC"/>
            <w:noWrap/>
            <w:tcMar>
              <w:top w:w="15" w:type="dxa"/>
              <w:left w:w="0" w:type="dxa"/>
              <w:bottom w:w="0" w:type="dxa"/>
              <w:right w:w="15" w:type="dxa"/>
            </w:tcMar>
            <w:vAlign w:val="center"/>
            <w:hideMark/>
          </w:tcPr>
          <w:p w14:paraId="1B18955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t>
            </w:r>
          </w:p>
        </w:tc>
        <w:tc>
          <w:tcPr>
            <w:tcW w:w="362" w:type="dxa"/>
            <w:shd w:val="clear" w:color="auto" w:fill="CFF0FC"/>
            <w:tcMar>
              <w:top w:w="15" w:type="dxa"/>
              <w:left w:w="0" w:type="dxa"/>
              <w:bottom w:w="0" w:type="dxa"/>
              <w:right w:w="15" w:type="dxa"/>
            </w:tcMar>
            <w:vAlign w:val="center"/>
            <w:hideMark/>
          </w:tcPr>
          <w:p w14:paraId="1925B4A6"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569004D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6E15AED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0.3</w:t>
            </w:r>
          </w:p>
        </w:tc>
        <w:tc>
          <w:tcPr>
            <w:tcW w:w="261" w:type="dxa"/>
            <w:shd w:val="clear" w:color="auto" w:fill="CFF0FC"/>
            <w:noWrap/>
            <w:tcMar>
              <w:top w:w="15" w:type="dxa"/>
              <w:left w:w="0" w:type="dxa"/>
              <w:bottom w:w="0" w:type="dxa"/>
              <w:right w:w="15" w:type="dxa"/>
            </w:tcMar>
            <w:vAlign w:val="center"/>
            <w:hideMark/>
          </w:tcPr>
          <w:p w14:paraId="50E0B9E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pp</w:t>
            </w:r>
          </w:p>
        </w:tc>
      </w:tr>
      <w:tr w:rsidR="00AC4931" w:rsidRPr="00AC4931" w14:paraId="1278EBAA" w14:textId="77777777" w:rsidTr="00AC4931">
        <w:tc>
          <w:tcPr>
            <w:tcW w:w="12573" w:type="dxa"/>
            <w:shd w:val="clear" w:color="auto" w:fill="FFFFFF"/>
            <w:tcMar>
              <w:top w:w="15" w:type="dxa"/>
              <w:left w:w="0" w:type="dxa"/>
              <w:bottom w:w="0" w:type="dxa"/>
              <w:right w:w="15" w:type="dxa"/>
            </w:tcMar>
            <w:vAlign w:val="center"/>
            <w:hideMark/>
          </w:tcPr>
          <w:p w14:paraId="56E453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income (expense), net</w:t>
            </w:r>
          </w:p>
        </w:tc>
        <w:tc>
          <w:tcPr>
            <w:tcW w:w="190" w:type="dxa"/>
            <w:shd w:val="clear" w:color="auto" w:fill="FFFFFF"/>
            <w:noWrap/>
            <w:tcMar>
              <w:top w:w="15" w:type="dxa"/>
              <w:left w:w="0" w:type="dxa"/>
              <w:bottom w:w="0" w:type="dxa"/>
              <w:right w:w="15" w:type="dxa"/>
            </w:tcMar>
            <w:vAlign w:val="center"/>
            <w:hideMark/>
          </w:tcPr>
          <w:p w14:paraId="10531C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5F83A5D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(90.1</w:t>
            </w:r>
          </w:p>
        </w:tc>
        <w:tc>
          <w:tcPr>
            <w:tcW w:w="220" w:type="dxa"/>
            <w:shd w:val="clear" w:color="auto" w:fill="FFFFFF"/>
            <w:noWrap/>
            <w:tcMar>
              <w:top w:w="15" w:type="dxa"/>
              <w:left w:w="0" w:type="dxa"/>
              <w:bottom w:w="0" w:type="dxa"/>
              <w:right w:w="15" w:type="dxa"/>
            </w:tcMar>
            <w:vAlign w:val="center"/>
            <w:hideMark/>
          </w:tcPr>
          <w:p w14:paraId="587E98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FFFFFF"/>
            <w:tcMar>
              <w:top w:w="15" w:type="dxa"/>
              <w:left w:w="0" w:type="dxa"/>
              <w:bottom w:w="0" w:type="dxa"/>
              <w:right w:w="15" w:type="dxa"/>
            </w:tcMar>
            <w:vAlign w:val="center"/>
            <w:hideMark/>
          </w:tcPr>
          <w:p w14:paraId="0BB8CC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4B9ACC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0C98EFD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(42.7</w:t>
            </w:r>
          </w:p>
        </w:tc>
        <w:tc>
          <w:tcPr>
            <w:tcW w:w="220" w:type="dxa"/>
            <w:shd w:val="clear" w:color="auto" w:fill="FFFFFF"/>
            <w:noWrap/>
            <w:tcMar>
              <w:top w:w="15" w:type="dxa"/>
              <w:left w:w="0" w:type="dxa"/>
              <w:bottom w:w="0" w:type="dxa"/>
              <w:right w:w="15" w:type="dxa"/>
            </w:tcMar>
            <w:vAlign w:val="center"/>
            <w:hideMark/>
          </w:tcPr>
          <w:p w14:paraId="6236A6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FFFFFF"/>
            <w:tcMar>
              <w:top w:w="15" w:type="dxa"/>
              <w:left w:w="0" w:type="dxa"/>
              <w:bottom w:w="0" w:type="dxa"/>
              <w:right w:w="15" w:type="dxa"/>
            </w:tcMar>
            <w:vAlign w:val="center"/>
            <w:hideMark/>
          </w:tcPr>
          <w:p w14:paraId="65951B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245D26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24A60F7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111.0</w:t>
            </w:r>
          </w:p>
        </w:tc>
        <w:tc>
          <w:tcPr>
            <w:tcW w:w="261" w:type="dxa"/>
            <w:shd w:val="clear" w:color="auto" w:fill="FFFFFF"/>
            <w:noWrap/>
            <w:tcMar>
              <w:top w:w="15" w:type="dxa"/>
              <w:left w:w="0" w:type="dxa"/>
              <w:bottom w:w="0" w:type="dxa"/>
              <w:right w:w="15" w:type="dxa"/>
            </w:tcMar>
            <w:vAlign w:val="center"/>
            <w:hideMark/>
          </w:tcPr>
          <w:p w14:paraId="11AC1A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6621831" w14:textId="77777777" w:rsidTr="00AC4931">
        <w:tc>
          <w:tcPr>
            <w:tcW w:w="12573" w:type="dxa"/>
            <w:shd w:val="clear" w:color="auto" w:fill="CFF0FC"/>
            <w:tcMar>
              <w:top w:w="15" w:type="dxa"/>
              <w:left w:w="0" w:type="dxa"/>
              <w:bottom w:w="0" w:type="dxa"/>
              <w:right w:w="15" w:type="dxa"/>
            </w:tcMar>
            <w:vAlign w:val="center"/>
            <w:hideMark/>
          </w:tcPr>
          <w:p w14:paraId="43F592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income</w:t>
            </w:r>
          </w:p>
        </w:tc>
        <w:tc>
          <w:tcPr>
            <w:tcW w:w="190" w:type="dxa"/>
            <w:shd w:val="clear" w:color="auto" w:fill="CFF0FC"/>
            <w:noWrap/>
            <w:tcMar>
              <w:top w:w="15" w:type="dxa"/>
              <w:left w:w="0" w:type="dxa"/>
              <w:bottom w:w="0" w:type="dxa"/>
              <w:right w:w="15" w:type="dxa"/>
            </w:tcMar>
            <w:vAlign w:val="center"/>
            <w:hideMark/>
          </w:tcPr>
          <w:p w14:paraId="3EFD60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1979DF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382.1</w:t>
            </w:r>
          </w:p>
        </w:tc>
        <w:tc>
          <w:tcPr>
            <w:tcW w:w="220" w:type="dxa"/>
            <w:shd w:val="clear" w:color="auto" w:fill="CFF0FC"/>
            <w:noWrap/>
            <w:tcMar>
              <w:top w:w="15" w:type="dxa"/>
              <w:left w:w="0" w:type="dxa"/>
              <w:bottom w:w="0" w:type="dxa"/>
              <w:right w:w="15" w:type="dxa"/>
            </w:tcMar>
            <w:vAlign w:val="center"/>
            <w:hideMark/>
          </w:tcPr>
          <w:p w14:paraId="736D89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CFF0FC"/>
            <w:tcMar>
              <w:top w:w="15" w:type="dxa"/>
              <w:left w:w="0" w:type="dxa"/>
              <w:bottom w:w="0" w:type="dxa"/>
              <w:right w:w="15" w:type="dxa"/>
            </w:tcMar>
            <w:vAlign w:val="center"/>
            <w:hideMark/>
          </w:tcPr>
          <w:p w14:paraId="4C3CEB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0" w:type="dxa"/>
            <w:gridSpan w:val="2"/>
            <w:shd w:val="clear" w:color="auto" w:fill="CFF0FC"/>
            <w:tcMar>
              <w:top w:w="15" w:type="dxa"/>
              <w:left w:w="0" w:type="dxa"/>
              <w:bottom w:w="0" w:type="dxa"/>
              <w:right w:w="15" w:type="dxa"/>
            </w:tcMar>
            <w:vAlign w:val="center"/>
            <w:hideMark/>
          </w:tcPr>
          <w:p w14:paraId="583446F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725.8</w:t>
            </w:r>
          </w:p>
        </w:tc>
        <w:tc>
          <w:tcPr>
            <w:tcW w:w="220" w:type="dxa"/>
            <w:shd w:val="clear" w:color="auto" w:fill="CFF0FC"/>
            <w:noWrap/>
            <w:tcMar>
              <w:top w:w="15" w:type="dxa"/>
              <w:left w:w="0" w:type="dxa"/>
              <w:bottom w:w="0" w:type="dxa"/>
              <w:right w:w="15" w:type="dxa"/>
            </w:tcMar>
            <w:vAlign w:val="center"/>
            <w:hideMark/>
          </w:tcPr>
          <w:p w14:paraId="6892E6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CFF0FC"/>
            <w:tcMar>
              <w:top w:w="15" w:type="dxa"/>
              <w:left w:w="0" w:type="dxa"/>
              <w:bottom w:w="0" w:type="dxa"/>
              <w:right w:w="15" w:type="dxa"/>
            </w:tcMar>
            <w:vAlign w:val="center"/>
            <w:hideMark/>
          </w:tcPr>
          <w:p w14:paraId="66A6FF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2FB481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3AE3C4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(47.4</w:t>
            </w:r>
          </w:p>
        </w:tc>
        <w:tc>
          <w:tcPr>
            <w:tcW w:w="261" w:type="dxa"/>
            <w:shd w:val="clear" w:color="auto" w:fill="CFF0FC"/>
            <w:noWrap/>
            <w:tcMar>
              <w:top w:w="15" w:type="dxa"/>
              <w:left w:w="0" w:type="dxa"/>
              <w:bottom w:w="0" w:type="dxa"/>
              <w:right w:w="15" w:type="dxa"/>
            </w:tcMar>
            <w:vAlign w:val="center"/>
            <w:hideMark/>
          </w:tcPr>
          <w:p w14:paraId="4EEF88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3379960" w14:textId="77777777" w:rsidTr="00AC4931">
        <w:tc>
          <w:tcPr>
            <w:tcW w:w="12573" w:type="dxa"/>
            <w:shd w:val="clear" w:color="auto" w:fill="FFFFFF"/>
            <w:tcMar>
              <w:top w:w="15" w:type="dxa"/>
              <w:left w:w="0" w:type="dxa"/>
              <w:bottom w:w="0" w:type="dxa"/>
              <w:right w:w="15" w:type="dxa"/>
            </w:tcMar>
            <w:vAlign w:val="center"/>
            <w:hideMark/>
          </w:tcPr>
          <w:p w14:paraId="0C46F974" w14:textId="77777777" w:rsidR="00AC4931" w:rsidRPr="00AC4931" w:rsidRDefault="00AC4931" w:rsidP="00AC4931">
            <w:pPr>
              <w:widowControl/>
              <w:ind w:left="137"/>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of sales</w:t>
            </w:r>
          </w:p>
        </w:tc>
        <w:tc>
          <w:tcPr>
            <w:tcW w:w="190" w:type="dxa"/>
            <w:shd w:val="clear" w:color="auto" w:fill="FFFFFF"/>
            <w:noWrap/>
            <w:tcMar>
              <w:top w:w="15" w:type="dxa"/>
              <w:left w:w="0" w:type="dxa"/>
              <w:bottom w:w="0" w:type="dxa"/>
              <w:right w:w="15" w:type="dxa"/>
            </w:tcMar>
            <w:vAlign w:val="center"/>
            <w:hideMark/>
          </w:tcPr>
          <w:p w14:paraId="19DC8E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3D6559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5.1</w:t>
            </w:r>
          </w:p>
        </w:tc>
        <w:tc>
          <w:tcPr>
            <w:tcW w:w="220" w:type="dxa"/>
            <w:shd w:val="clear" w:color="auto" w:fill="FFFFFF"/>
            <w:noWrap/>
            <w:tcMar>
              <w:top w:w="15" w:type="dxa"/>
              <w:left w:w="0" w:type="dxa"/>
              <w:bottom w:w="0" w:type="dxa"/>
              <w:right w:w="15" w:type="dxa"/>
            </w:tcMar>
            <w:vAlign w:val="center"/>
            <w:hideMark/>
          </w:tcPr>
          <w:p w14:paraId="742A06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FFFFFF"/>
            <w:tcMar>
              <w:top w:w="15" w:type="dxa"/>
              <w:left w:w="0" w:type="dxa"/>
              <w:bottom w:w="0" w:type="dxa"/>
              <w:right w:w="15" w:type="dxa"/>
            </w:tcMar>
            <w:vAlign w:val="center"/>
            <w:hideMark/>
          </w:tcPr>
          <w:p w14:paraId="0B4B8C7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6C57D7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00E9399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8.5</w:t>
            </w:r>
          </w:p>
        </w:tc>
        <w:tc>
          <w:tcPr>
            <w:tcW w:w="220" w:type="dxa"/>
            <w:shd w:val="clear" w:color="auto" w:fill="FFFFFF"/>
            <w:noWrap/>
            <w:tcMar>
              <w:top w:w="15" w:type="dxa"/>
              <w:left w:w="0" w:type="dxa"/>
              <w:bottom w:w="0" w:type="dxa"/>
              <w:right w:w="15" w:type="dxa"/>
            </w:tcMar>
            <w:vAlign w:val="center"/>
            <w:hideMark/>
          </w:tcPr>
          <w:p w14:paraId="0E534E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FFFFFF"/>
            <w:tcMar>
              <w:top w:w="15" w:type="dxa"/>
              <w:left w:w="0" w:type="dxa"/>
              <w:bottom w:w="0" w:type="dxa"/>
              <w:right w:w="15" w:type="dxa"/>
            </w:tcMar>
            <w:vAlign w:val="center"/>
            <w:hideMark/>
          </w:tcPr>
          <w:p w14:paraId="2CF9DC0E"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087BE0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135089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w:t>
            </w:r>
          </w:p>
        </w:tc>
        <w:tc>
          <w:tcPr>
            <w:tcW w:w="261" w:type="dxa"/>
            <w:shd w:val="clear" w:color="auto" w:fill="FFFFFF"/>
            <w:noWrap/>
            <w:tcMar>
              <w:top w:w="15" w:type="dxa"/>
              <w:left w:w="0" w:type="dxa"/>
              <w:bottom w:w="0" w:type="dxa"/>
              <w:right w:w="15" w:type="dxa"/>
            </w:tcMar>
            <w:vAlign w:val="center"/>
            <w:hideMark/>
          </w:tcPr>
          <w:p w14:paraId="13C1F7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)pp</w:t>
            </w:r>
          </w:p>
        </w:tc>
      </w:tr>
      <w:tr w:rsidR="00AC4931" w:rsidRPr="00AC4931" w14:paraId="01DEC50A" w14:textId="77777777" w:rsidTr="00AC4931">
        <w:tc>
          <w:tcPr>
            <w:tcW w:w="12573" w:type="dxa"/>
            <w:shd w:val="clear" w:color="auto" w:fill="CFF0FC"/>
            <w:tcMar>
              <w:top w:w="15" w:type="dxa"/>
              <w:left w:w="0" w:type="dxa"/>
              <w:bottom w:w="0" w:type="dxa"/>
              <w:right w:w="15" w:type="dxa"/>
            </w:tcMar>
            <w:vAlign w:val="center"/>
            <w:hideMark/>
          </w:tcPr>
          <w:p w14:paraId="5703B3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Adjusted operating income</w:t>
            </w:r>
          </w:p>
        </w:tc>
        <w:tc>
          <w:tcPr>
            <w:tcW w:w="190" w:type="dxa"/>
            <w:shd w:val="clear" w:color="auto" w:fill="CFF0FC"/>
            <w:noWrap/>
            <w:tcMar>
              <w:top w:w="15" w:type="dxa"/>
              <w:left w:w="0" w:type="dxa"/>
              <w:bottom w:w="0" w:type="dxa"/>
              <w:right w:w="15" w:type="dxa"/>
            </w:tcMar>
            <w:vAlign w:val="center"/>
            <w:hideMark/>
          </w:tcPr>
          <w:p w14:paraId="44066F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45EEFFB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481.6</w:t>
            </w:r>
          </w:p>
        </w:tc>
        <w:tc>
          <w:tcPr>
            <w:tcW w:w="220" w:type="dxa"/>
            <w:shd w:val="clear" w:color="auto" w:fill="CFF0FC"/>
            <w:noWrap/>
            <w:tcMar>
              <w:top w:w="15" w:type="dxa"/>
              <w:left w:w="0" w:type="dxa"/>
              <w:bottom w:w="0" w:type="dxa"/>
              <w:right w:w="15" w:type="dxa"/>
            </w:tcMar>
            <w:vAlign w:val="center"/>
            <w:hideMark/>
          </w:tcPr>
          <w:p w14:paraId="7CD622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CFF0FC"/>
            <w:tcMar>
              <w:top w:w="15" w:type="dxa"/>
              <w:left w:w="0" w:type="dxa"/>
              <w:bottom w:w="0" w:type="dxa"/>
              <w:right w:w="15" w:type="dxa"/>
            </w:tcMar>
            <w:vAlign w:val="center"/>
            <w:hideMark/>
          </w:tcPr>
          <w:p w14:paraId="3DEBA4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0" w:type="dxa"/>
            <w:gridSpan w:val="2"/>
            <w:shd w:val="clear" w:color="auto" w:fill="CFF0FC"/>
            <w:tcMar>
              <w:top w:w="15" w:type="dxa"/>
              <w:left w:w="0" w:type="dxa"/>
              <w:bottom w:w="0" w:type="dxa"/>
              <w:right w:w="15" w:type="dxa"/>
            </w:tcMar>
            <w:vAlign w:val="center"/>
            <w:hideMark/>
          </w:tcPr>
          <w:p w14:paraId="140E9FD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774.4</w:t>
            </w:r>
          </w:p>
        </w:tc>
        <w:tc>
          <w:tcPr>
            <w:tcW w:w="220" w:type="dxa"/>
            <w:shd w:val="clear" w:color="auto" w:fill="CFF0FC"/>
            <w:noWrap/>
            <w:tcMar>
              <w:top w:w="15" w:type="dxa"/>
              <w:left w:w="0" w:type="dxa"/>
              <w:bottom w:w="0" w:type="dxa"/>
              <w:right w:w="15" w:type="dxa"/>
            </w:tcMar>
            <w:vAlign w:val="center"/>
            <w:hideMark/>
          </w:tcPr>
          <w:p w14:paraId="1015E8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CFF0FC"/>
            <w:tcMar>
              <w:top w:w="15" w:type="dxa"/>
              <w:left w:w="0" w:type="dxa"/>
              <w:bottom w:w="0" w:type="dxa"/>
              <w:right w:w="15" w:type="dxa"/>
            </w:tcMar>
            <w:vAlign w:val="center"/>
            <w:hideMark/>
          </w:tcPr>
          <w:p w14:paraId="338CD1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3C4837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398AA50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(37.8</w:t>
            </w:r>
          </w:p>
        </w:tc>
        <w:tc>
          <w:tcPr>
            <w:tcW w:w="261" w:type="dxa"/>
            <w:shd w:val="clear" w:color="auto" w:fill="CFF0FC"/>
            <w:noWrap/>
            <w:tcMar>
              <w:top w:w="15" w:type="dxa"/>
              <w:left w:w="0" w:type="dxa"/>
              <w:bottom w:w="0" w:type="dxa"/>
              <w:right w:w="15" w:type="dxa"/>
            </w:tcMar>
            <w:vAlign w:val="center"/>
            <w:hideMark/>
          </w:tcPr>
          <w:p w14:paraId="16E8F3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01EA729" w14:textId="77777777" w:rsidTr="00AC4931">
        <w:tc>
          <w:tcPr>
            <w:tcW w:w="12573" w:type="dxa"/>
            <w:shd w:val="clear" w:color="auto" w:fill="FFFFFF"/>
            <w:tcMar>
              <w:top w:w="15" w:type="dxa"/>
              <w:left w:w="0" w:type="dxa"/>
              <w:bottom w:w="0" w:type="dxa"/>
              <w:right w:w="15" w:type="dxa"/>
            </w:tcMar>
            <w:vAlign w:val="center"/>
            <w:hideMark/>
          </w:tcPr>
          <w:p w14:paraId="5A39CCE0" w14:textId="77777777" w:rsidR="00AC4931" w:rsidRPr="00AC4931" w:rsidRDefault="00AC4931" w:rsidP="00AC4931">
            <w:pPr>
              <w:widowControl/>
              <w:ind w:left="137"/>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of sales</w:t>
            </w:r>
          </w:p>
        </w:tc>
        <w:tc>
          <w:tcPr>
            <w:tcW w:w="190" w:type="dxa"/>
            <w:shd w:val="clear" w:color="auto" w:fill="FFFFFF"/>
            <w:noWrap/>
            <w:tcMar>
              <w:top w:w="15" w:type="dxa"/>
              <w:left w:w="0" w:type="dxa"/>
              <w:bottom w:w="0" w:type="dxa"/>
              <w:right w:w="15" w:type="dxa"/>
            </w:tcMar>
            <w:vAlign w:val="center"/>
            <w:hideMark/>
          </w:tcPr>
          <w:p w14:paraId="767588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160AAF1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6.5</w:t>
            </w:r>
          </w:p>
        </w:tc>
        <w:tc>
          <w:tcPr>
            <w:tcW w:w="220" w:type="dxa"/>
            <w:shd w:val="clear" w:color="auto" w:fill="FFFFFF"/>
            <w:noWrap/>
            <w:tcMar>
              <w:top w:w="15" w:type="dxa"/>
              <w:left w:w="0" w:type="dxa"/>
              <w:bottom w:w="0" w:type="dxa"/>
              <w:right w:w="15" w:type="dxa"/>
            </w:tcMar>
            <w:vAlign w:val="center"/>
            <w:hideMark/>
          </w:tcPr>
          <w:p w14:paraId="32EB10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FFFFFF"/>
            <w:tcMar>
              <w:top w:w="15" w:type="dxa"/>
              <w:left w:w="0" w:type="dxa"/>
              <w:bottom w:w="0" w:type="dxa"/>
              <w:right w:w="15" w:type="dxa"/>
            </w:tcMar>
            <w:vAlign w:val="center"/>
            <w:hideMark/>
          </w:tcPr>
          <w:p w14:paraId="7EDAF80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316A3F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5404579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9.1</w:t>
            </w:r>
          </w:p>
        </w:tc>
        <w:tc>
          <w:tcPr>
            <w:tcW w:w="220" w:type="dxa"/>
            <w:shd w:val="clear" w:color="auto" w:fill="FFFFFF"/>
            <w:noWrap/>
            <w:tcMar>
              <w:top w:w="15" w:type="dxa"/>
              <w:left w:w="0" w:type="dxa"/>
              <w:bottom w:w="0" w:type="dxa"/>
              <w:right w:w="15" w:type="dxa"/>
            </w:tcMar>
            <w:vAlign w:val="center"/>
            <w:hideMark/>
          </w:tcPr>
          <w:p w14:paraId="45A1E3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FFFFFF"/>
            <w:tcMar>
              <w:top w:w="15" w:type="dxa"/>
              <w:left w:w="0" w:type="dxa"/>
              <w:bottom w:w="0" w:type="dxa"/>
              <w:right w:w="15" w:type="dxa"/>
            </w:tcMar>
            <w:vAlign w:val="center"/>
            <w:hideMark/>
          </w:tcPr>
          <w:p w14:paraId="6E96DC98"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2C9999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1BAB144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w:t>
            </w:r>
          </w:p>
        </w:tc>
        <w:tc>
          <w:tcPr>
            <w:tcW w:w="261" w:type="dxa"/>
            <w:shd w:val="clear" w:color="auto" w:fill="FFFFFF"/>
            <w:noWrap/>
            <w:tcMar>
              <w:top w:w="15" w:type="dxa"/>
              <w:left w:w="0" w:type="dxa"/>
              <w:bottom w:w="0" w:type="dxa"/>
              <w:right w:w="15" w:type="dxa"/>
            </w:tcMar>
            <w:vAlign w:val="center"/>
            <w:hideMark/>
          </w:tcPr>
          <w:p w14:paraId="0D3548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)pp</w:t>
            </w:r>
          </w:p>
        </w:tc>
      </w:tr>
      <w:tr w:rsidR="00AC4931" w:rsidRPr="00AC4931" w14:paraId="48878A57" w14:textId="77777777" w:rsidTr="00AC4931">
        <w:tc>
          <w:tcPr>
            <w:tcW w:w="12573" w:type="dxa"/>
            <w:shd w:val="clear" w:color="auto" w:fill="CFF0FC"/>
            <w:tcMar>
              <w:top w:w="15" w:type="dxa"/>
              <w:left w:w="0" w:type="dxa"/>
              <w:bottom w:w="0" w:type="dxa"/>
              <w:right w:w="15" w:type="dxa"/>
            </w:tcMar>
            <w:vAlign w:val="center"/>
            <w:hideMark/>
          </w:tcPr>
          <w:p w14:paraId="42FFAE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Financial and non-operating items, net</w:t>
            </w:r>
          </w:p>
        </w:tc>
        <w:tc>
          <w:tcPr>
            <w:tcW w:w="190" w:type="dxa"/>
            <w:shd w:val="clear" w:color="auto" w:fill="CFF0FC"/>
            <w:noWrap/>
            <w:tcMar>
              <w:top w:w="15" w:type="dxa"/>
              <w:left w:w="0" w:type="dxa"/>
              <w:bottom w:w="0" w:type="dxa"/>
              <w:right w:w="15" w:type="dxa"/>
            </w:tcMar>
            <w:vAlign w:val="bottom"/>
            <w:hideMark/>
          </w:tcPr>
          <w:p w14:paraId="65CEBB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CFF0FC"/>
            <w:noWrap/>
            <w:tcMar>
              <w:top w:w="15" w:type="dxa"/>
              <w:left w:w="0" w:type="dxa"/>
              <w:bottom w:w="0" w:type="dxa"/>
              <w:right w:w="15" w:type="dxa"/>
            </w:tcMar>
            <w:vAlign w:val="bottom"/>
            <w:hideMark/>
          </w:tcPr>
          <w:p w14:paraId="46EBD8D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(90.9</w:t>
            </w:r>
          </w:p>
        </w:tc>
        <w:tc>
          <w:tcPr>
            <w:tcW w:w="220" w:type="dxa"/>
            <w:shd w:val="clear" w:color="auto" w:fill="CFF0FC"/>
            <w:noWrap/>
            <w:tcMar>
              <w:top w:w="15" w:type="dxa"/>
              <w:left w:w="0" w:type="dxa"/>
              <w:bottom w:w="0" w:type="dxa"/>
              <w:right w:w="15" w:type="dxa"/>
            </w:tcMar>
            <w:vAlign w:val="bottom"/>
            <w:hideMark/>
          </w:tcPr>
          <w:p w14:paraId="60E988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CFF0FC"/>
            <w:tcMar>
              <w:top w:w="15" w:type="dxa"/>
              <w:left w:w="0" w:type="dxa"/>
              <w:bottom w:w="0" w:type="dxa"/>
              <w:right w:w="15" w:type="dxa"/>
            </w:tcMar>
            <w:vAlign w:val="center"/>
            <w:hideMark/>
          </w:tcPr>
          <w:p w14:paraId="7A2BD6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7ED819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CFF0FC"/>
            <w:noWrap/>
            <w:tcMar>
              <w:top w:w="15" w:type="dxa"/>
              <w:left w:w="0" w:type="dxa"/>
              <w:bottom w:w="0" w:type="dxa"/>
              <w:right w:w="15" w:type="dxa"/>
            </w:tcMar>
            <w:vAlign w:val="bottom"/>
            <w:hideMark/>
          </w:tcPr>
          <w:p w14:paraId="4351251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(77.4</w:t>
            </w:r>
          </w:p>
        </w:tc>
        <w:tc>
          <w:tcPr>
            <w:tcW w:w="220" w:type="dxa"/>
            <w:shd w:val="clear" w:color="auto" w:fill="CFF0FC"/>
            <w:noWrap/>
            <w:tcMar>
              <w:top w:w="15" w:type="dxa"/>
              <w:left w:w="0" w:type="dxa"/>
              <w:bottom w:w="0" w:type="dxa"/>
              <w:right w:w="15" w:type="dxa"/>
            </w:tcMar>
            <w:vAlign w:val="bottom"/>
            <w:hideMark/>
          </w:tcPr>
          <w:p w14:paraId="1B0932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CFF0FC"/>
            <w:tcMar>
              <w:top w:w="15" w:type="dxa"/>
              <w:left w:w="0" w:type="dxa"/>
              <w:bottom w:w="0" w:type="dxa"/>
              <w:right w:w="15" w:type="dxa"/>
            </w:tcMar>
            <w:vAlign w:val="center"/>
            <w:hideMark/>
          </w:tcPr>
          <w:p w14:paraId="4AD32F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22C248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1266B9E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17.4</w:t>
            </w:r>
          </w:p>
        </w:tc>
        <w:tc>
          <w:tcPr>
            <w:tcW w:w="261" w:type="dxa"/>
            <w:shd w:val="clear" w:color="auto" w:fill="CFF0FC"/>
            <w:noWrap/>
            <w:tcMar>
              <w:top w:w="15" w:type="dxa"/>
              <w:left w:w="0" w:type="dxa"/>
              <w:bottom w:w="0" w:type="dxa"/>
              <w:right w:w="15" w:type="dxa"/>
            </w:tcMar>
            <w:vAlign w:val="center"/>
            <w:hideMark/>
          </w:tcPr>
          <w:p w14:paraId="09F64A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90AB2C8" w14:textId="77777777" w:rsidTr="00AC4931">
        <w:tc>
          <w:tcPr>
            <w:tcW w:w="12573" w:type="dxa"/>
            <w:shd w:val="clear" w:color="auto" w:fill="FFFFFF"/>
            <w:tcMar>
              <w:top w:w="15" w:type="dxa"/>
              <w:left w:w="0" w:type="dxa"/>
              <w:bottom w:w="0" w:type="dxa"/>
              <w:right w:w="15" w:type="dxa"/>
            </w:tcMar>
            <w:vAlign w:val="center"/>
            <w:hideMark/>
          </w:tcPr>
          <w:p w14:paraId="12D313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before taxes</w:t>
            </w:r>
          </w:p>
        </w:tc>
        <w:tc>
          <w:tcPr>
            <w:tcW w:w="190" w:type="dxa"/>
            <w:shd w:val="clear" w:color="auto" w:fill="FFFFFF"/>
            <w:noWrap/>
            <w:tcMar>
              <w:top w:w="15" w:type="dxa"/>
              <w:left w:w="0" w:type="dxa"/>
              <w:bottom w:w="0" w:type="dxa"/>
              <w:right w:w="15" w:type="dxa"/>
            </w:tcMar>
            <w:vAlign w:val="center"/>
            <w:hideMark/>
          </w:tcPr>
          <w:p w14:paraId="468FE0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18A6457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291.2</w:t>
            </w:r>
          </w:p>
        </w:tc>
        <w:tc>
          <w:tcPr>
            <w:tcW w:w="220" w:type="dxa"/>
            <w:shd w:val="clear" w:color="auto" w:fill="FFFFFF"/>
            <w:noWrap/>
            <w:tcMar>
              <w:top w:w="15" w:type="dxa"/>
              <w:left w:w="0" w:type="dxa"/>
              <w:bottom w:w="0" w:type="dxa"/>
              <w:right w:w="15" w:type="dxa"/>
            </w:tcMar>
            <w:vAlign w:val="center"/>
            <w:hideMark/>
          </w:tcPr>
          <w:p w14:paraId="3DC46B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FFFFFF"/>
            <w:tcMar>
              <w:top w:w="15" w:type="dxa"/>
              <w:left w:w="0" w:type="dxa"/>
              <w:bottom w:w="0" w:type="dxa"/>
              <w:right w:w="15" w:type="dxa"/>
            </w:tcMar>
            <w:vAlign w:val="center"/>
            <w:hideMark/>
          </w:tcPr>
          <w:p w14:paraId="3365BB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60E748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23D5CC7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648.4</w:t>
            </w:r>
          </w:p>
        </w:tc>
        <w:tc>
          <w:tcPr>
            <w:tcW w:w="220" w:type="dxa"/>
            <w:shd w:val="clear" w:color="auto" w:fill="FFFFFF"/>
            <w:noWrap/>
            <w:tcMar>
              <w:top w:w="15" w:type="dxa"/>
              <w:left w:w="0" w:type="dxa"/>
              <w:bottom w:w="0" w:type="dxa"/>
              <w:right w:w="15" w:type="dxa"/>
            </w:tcMar>
            <w:vAlign w:val="center"/>
            <w:hideMark/>
          </w:tcPr>
          <w:p w14:paraId="5C12BD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FFFFFF"/>
            <w:tcMar>
              <w:top w:w="15" w:type="dxa"/>
              <w:left w:w="0" w:type="dxa"/>
              <w:bottom w:w="0" w:type="dxa"/>
              <w:right w:w="15" w:type="dxa"/>
            </w:tcMar>
            <w:vAlign w:val="center"/>
            <w:hideMark/>
          </w:tcPr>
          <w:p w14:paraId="5606C0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center"/>
            <w:hideMark/>
          </w:tcPr>
          <w:p w14:paraId="5C0D0B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center"/>
            <w:hideMark/>
          </w:tcPr>
          <w:p w14:paraId="7B8D03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(55.1</w:t>
            </w:r>
          </w:p>
        </w:tc>
        <w:tc>
          <w:tcPr>
            <w:tcW w:w="261" w:type="dxa"/>
            <w:shd w:val="clear" w:color="auto" w:fill="FFFFFF"/>
            <w:noWrap/>
            <w:tcMar>
              <w:top w:w="15" w:type="dxa"/>
              <w:left w:w="0" w:type="dxa"/>
              <w:bottom w:w="0" w:type="dxa"/>
              <w:right w:w="15" w:type="dxa"/>
            </w:tcMar>
            <w:vAlign w:val="center"/>
            <w:hideMark/>
          </w:tcPr>
          <w:p w14:paraId="6BD442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43E9607" w14:textId="77777777" w:rsidTr="00AC4931">
        <w:tc>
          <w:tcPr>
            <w:tcW w:w="12573" w:type="dxa"/>
            <w:shd w:val="clear" w:color="auto" w:fill="CFF0FC"/>
            <w:tcMar>
              <w:top w:w="15" w:type="dxa"/>
              <w:left w:w="0" w:type="dxa"/>
              <w:bottom w:w="0" w:type="dxa"/>
              <w:right w:w="15" w:type="dxa"/>
            </w:tcMar>
            <w:vAlign w:val="center"/>
            <w:hideMark/>
          </w:tcPr>
          <w:p w14:paraId="3A7971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Tax rate</w:t>
            </w:r>
          </w:p>
        </w:tc>
        <w:tc>
          <w:tcPr>
            <w:tcW w:w="190" w:type="dxa"/>
            <w:shd w:val="clear" w:color="auto" w:fill="CFF0FC"/>
            <w:noWrap/>
            <w:tcMar>
              <w:top w:w="15" w:type="dxa"/>
              <w:left w:w="0" w:type="dxa"/>
              <w:bottom w:w="0" w:type="dxa"/>
              <w:right w:w="15" w:type="dxa"/>
            </w:tcMar>
            <w:vAlign w:val="center"/>
            <w:hideMark/>
          </w:tcPr>
          <w:p w14:paraId="5FF4F9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5413303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35.3</w:t>
            </w:r>
          </w:p>
        </w:tc>
        <w:tc>
          <w:tcPr>
            <w:tcW w:w="220" w:type="dxa"/>
            <w:shd w:val="clear" w:color="auto" w:fill="CFF0FC"/>
            <w:noWrap/>
            <w:tcMar>
              <w:top w:w="15" w:type="dxa"/>
              <w:left w:w="0" w:type="dxa"/>
              <w:bottom w:w="0" w:type="dxa"/>
              <w:right w:w="15" w:type="dxa"/>
            </w:tcMar>
            <w:vAlign w:val="center"/>
            <w:hideMark/>
          </w:tcPr>
          <w:p w14:paraId="7F2D43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CFF0FC"/>
            <w:tcMar>
              <w:top w:w="15" w:type="dxa"/>
              <w:left w:w="0" w:type="dxa"/>
              <w:bottom w:w="0" w:type="dxa"/>
              <w:right w:w="15" w:type="dxa"/>
            </w:tcMar>
            <w:vAlign w:val="center"/>
            <w:hideMark/>
          </w:tcPr>
          <w:p w14:paraId="067A2B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17DBC0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6483290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28.6</w:t>
            </w:r>
          </w:p>
        </w:tc>
        <w:tc>
          <w:tcPr>
            <w:tcW w:w="220" w:type="dxa"/>
            <w:shd w:val="clear" w:color="auto" w:fill="CFF0FC"/>
            <w:noWrap/>
            <w:tcMar>
              <w:top w:w="15" w:type="dxa"/>
              <w:left w:w="0" w:type="dxa"/>
              <w:bottom w:w="0" w:type="dxa"/>
              <w:right w:w="15" w:type="dxa"/>
            </w:tcMar>
            <w:vAlign w:val="center"/>
            <w:hideMark/>
          </w:tcPr>
          <w:p w14:paraId="16CA52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62" w:type="dxa"/>
            <w:shd w:val="clear" w:color="auto" w:fill="CFF0FC"/>
            <w:tcMar>
              <w:top w:w="15" w:type="dxa"/>
              <w:left w:w="0" w:type="dxa"/>
              <w:bottom w:w="0" w:type="dxa"/>
              <w:right w:w="15" w:type="dxa"/>
            </w:tcMar>
            <w:vAlign w:val="center"/>
            <w:hideMark/>
          </w:tcPr>
          <w:p w14:paraId="6AC8173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192FF5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5FF551F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6.7</w:t>
            </w:r>
          </w:p>
        </w:tc>
        <w:tc>
          <w:tcPr>
            <w:tcW w:w="261" w:type="dxa"/>
            <w:shd w:val="clear" w:color="auto" w:fill="CFF0FC"/>
            <w:noWrap/>
            <w:tcMar>
              <w:top w:w="15" w:type="dxa"/>
              <w:left w:w="0" w:type="dxa"/>
              <w:bottom w:w="0" w:type="dxa"/>
              <w:right w:w="15" w:type="dxa"/>
            </w:tcMar>
            <w:vAlign w:val="center"/>
            <w:hideMark/>
          </w:tcPr>
          <w:p w14:paraId="6156A6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pp</w:t>
            </w:r>
          </w:p>
        </w:tc>
      </w:tr>
      <w:tr w:rsidR="00AC4931" w:rsidRPr="00AC4931" w14:paraId="56F471A5" w14:textId="77777777" w:rsidTr="00AC4931">
        <w:tc>
          <w:tcPr>
            <w:tcW w:w="12573" w:type="dxa"/>
            <w:shd w:val="clear" w:color="auto" w:fill="FFFFFF"/>
            <w:tcMar>
              <w:top w:w="15" w:type="dxa"/>
              <w:left w:w="0" w:type="dxa"/>
              <w:bottom w:w="0" w:type="dxa"/>
              <w:right w:w="15" w:type="dxa"/>
            </w:tcMar>
            <w:vAlign w:val="center"/>
            <w:hideMark/>
          </w:tcPr>
          <w:p w14:paraId="000E6B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w:t>
            </w:r>
          </w:p>
        </w:tc>
        <w:tc>
          <w:tcPr>
            <w:tcW w:w="190" w:type="dxa"/>
            <w:shd w:val="clear" w:color="auto" w:fill="FFFFFF"/>
            <w:noWrap/>
            <w:tcMar>
              <w:top w:w="15" w:type="dxa"/>
              <w:left w:w="0" w:type="dxa"/>
              <w:bottom w:w="0" w:type="dxa"/>
              <w:right w:w="15" w:type="dxa"/>
            </w:tcMar>
            <w:vAlign w:val="bottom"/>
            <w:hideMark/>
          </w:tcPr>
          <w:p w14:paraId="443929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bottom"/>
            <w:hideMark/>
          </w:tcPr>
          <w:p w14:paraId="5FF02FA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188.3</w:t>
            </w:r>
          </w:p>
        </w:tc>
        <w:tc>
          <w:tcPr>
            <w:tcW w:w="220" w:type="dxa"/>
            <w:shd w:val="clear" w:color="auto" w:fill="FFFFFF"/>
            <w:noWrap/>
            <w:tcMar>
              <w:top w:w="15" w:type="dxa"/>
              <w:left w:w="0" w:type="dxa"/>
              <w:bottom w:w="0" w:type="dxa"/>
              <w:right w:w="15" w:type="dxa"/>
            </w:tcMar>
            <w:vAlign w:val="bottom"/>
            <w:hideMark/>
          </w:tcPr>
          <w:p w14:paraId="1C60F2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FFFFFF"/>
            <w:tcMar>
              <w:top w:w="15" w:type="dxa"/>
              <w:left w:w="0" w:type="dxa"/>
              <w:bottom w:w="0" w:type="dxa"/>
              <w:right w:w="15" w:type="dxa"/>
            </w:tcMar>
            <w:vAlign w:val="bottom"/>
            <w:hideMark/>
          </w:tcPr>
          <w:p w14:paraId="4E3116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4C3872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bottom"/>
            <w:hideMark/>
          </w:tcPr>
          <w:p w14:paraId="2C7F491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462.8</w:t>
            </w:r>
          </w:p>
        </w:tc>
        <w:tc>
          <w:tcPr>
            <w:tcW w:w="220" w:type="dxa"/>
            <w:shd w:val="clear" w:color="auto" w:fill="FFFFFF"/>
            <w:noWrap/>
            <w:tcMar>
              <w:top w:w="15" w:type="dxa"/>
              <w:left w:w="0" w:type="dxa"/>
              <w:bottom w:w="0" w:type="dxa"/>
              <w:right w:w="15" w:type="dxa"/>
            </w:tcMar>
            <w:vAlign w:val="bottom"/>
            <w:hideMark/>
          </w:tcPr>
          <w:p w14:paraId="2A2396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FFFFFF"/>
            <w:tcMar>
              <w:top w:w="15" w:type="dxa"/>
              <w:left w:w="0" w:type="dxa"/>
              <w:bottom w:w="0" w:type="dxa"/>
              <w:right w:w="15" w:type="dxa"/>
            </w:tcMar>
            <w:vAlign w:val="bottom"/>
            <w:hideMark/>
          </w:tcPr>
          <w:p w14:paraId="324FA2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340F6C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bottom"/>
            <w:hideMark/>
          </w:tcPr>
          <w:p w14:paraId="4ECFC29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(59.3</w:t>
            </w:r>
          </w:p>
        </w:tc>
        <w:tc>
          <w:tcPr>
            <w:tcW w:w="261" w:type="dxa"/>
            <w:shd w:val="clear" w:color="auto" w:fill="FFFFFF"/>
            <w:noWrap/>
            <w:tcMar>
              <w:top w:w="15" w:type="dxa"/>
              <w:left w:w="0" w:type="dxa"/>
              <w:bottom w:w="0" w:type="dxa"/>
              <w:right w:w="15" w:type="dxa"/>
            </w:tcMar>
            <w:vAlign w:val="bottom"/>
            <w:hideMark/>
          </w:tcPr>
          <w:p w14:paraId="1369A5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D0002C4" w14:textId="77777777" w:rsidTr="00AC4931">
        <w:tc>
          <w:tcPr>
            <w:tcW w:w="12573" w:type="dxa"/>
            <w:shd w:val="clear" w:color="auto" w:fill="CFF0FC"/>
            <w:tcMar>
              <w:top w:w="15" w:type="dxa"/>
              <w:left w:w="0" w:type="dxa"/>
              <w:bottom w:w="0" w:type="dxa"/>
              <w:right w:w="15" w:type="dxa"/>
            </w:tcMar>
            <w:vAlign w:val="center"/>
            <w:hideMark/>
          </w:tcPr>
          <w:p w14:paraId="7AB89D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Earnings per share, diluted</w:t>
            </w:r>
            <w:r w:rsidRPr="00AC4931">
              <w:rPr>
                <w:rFonts w:ascii="Arial" w:eastAsia="宋体" w:hAnsi="Arial" w:cs="Arial"/>
                <w:color w:val="000000"/>
                <w:kern w:val="0"/>
                <w:sz w:val="18"/>
                <w:szCs w:val="18"/>
                <w:vertAlign w:val="superscript"/>
              </w:rPr>
              <w:t>1, 2)</w:t>
            </w:r>
          </w:p>
        </w:tc>
        <w:tc>
          <w:tcPr>
            <w:tcW w:w="2160" w:type="dxa"/>
            <w:gridSpan w:val="2"/>
            <w:shd w:val="clear" w:color="auto" w:fill="CFF0FC"/>
            <w:tcMar>
              <w:top w:w="15" w:type="dxa"/>
              <w:left w:w="0" w:type="dxa"/>
              <w:bottom w:w="0" w:type="dxa"/>
              <w:right w:w="15" w:type="dxa"/>
            </w:tcMar>
            <w:vAlign w:val="center"/>
            <w:hideMark/>
          </w:tcPr>
          <w:p w14:paraId="176D30C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w:t>
            </w:r>
          </w:p>
        </w:tc>
        <w:tc>
          <w:tcPr>
            <w:tcW w:w="220" w:type="dxa"/>
            <w:shd w:val="clear" w:color="auto" w:fill="CFF0FC"/>
            <w:noWrap/>
            <w:tcMar>
              <w:top w:w="15" w:type="dxa"/>
              <w:left w:w="0" w:type="dxa"/>
              <w:bottom w:w="0" w:type="dxa"/>
              <w:right w:w="15" w:type="dxa"/>
            </w:tcMar>
            <w:vAlign w:val="center"/>
            <w:hideMark/>
          </w:tcPr>
          <w:p w14:paraId="52F5C3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CFF0FC"/>
            <w:tcMar>
              <w:top w:w="15" w:type="dxa"/>
              <w:left w:w="0" w:type="dxa"/>
              <w:bottom w:w="0" w:type="dxa"/>
              <w:right w:w="15" w:type="dxa"/>
            </w:tcMar>
            <w:vAlign w:val="center"/>
            <w:hideMark/>
          </w:tcPr>
          <w:p w14:paraId="3954F5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0" w:type="dxa"/>
            <w:gridSpan w:val="2"/>
            <w:shd w:val="clear" w:color="auto" w:fill="CFF0FC"/>
            <w:tcMar>
              <w:top w:w="15" w:type="dxa"/>
              <w:left w:w="0" w:type="dxa"/>
              <w:bottom w:w="0" w:type="dxa"/>
              <w:right w:w="15" w:type="dxa"/>
            </w:tcMar>
            <w:vAlign w:val="center"/>
            <w:hideMark/>
          </w:tcPr>
          <w:p w14:paraId="0B55F98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5.29</w:t>
            </w:r>
          </w:p>
        </w:tc>
        <w:tc>
          <w:tcPr>
            <w:tcW w:w="220" w:type="dxa"/>
            <w:shd w:val="clear" w:color="auto" w:fill="CFF0FC"/>
            <w:noWrap/>
            <w:tcMar>
              <w:top w:w="15" w:type="dxa"/>
              <w:left w:w="0" w:type="dxa"/>
              <w:bottom w:w="0" w:type="dxa"/>
              <w:right w:w="15" w:type="dxa"/>
            </w:tcMar>
            <w:vAlign w:val="center"/>
            <w:hideMark/>
          </w:tcPr>
          <w:p w14:paraId="7C529C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CFF0FC"/>
            <w:tcMar>
              <w:top w:w="15" w:type="dxa"/>
              <w:left w:w="0" w:type="dxa"/>
              <w:bottom w:w="0" w:type="dxa"/>
              <w:right w:w="15" w:type="dxa"/>
            </w:tcMar>
            <w:vAlign w:val="center"/>
            <w:hideMark/>
          </w:tcPr>
          <w:p w14:paraId="0857B4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center"/>
            <w:hideMark/>
          </w:tcPr>
          <w:p w14:paraId="27A34F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CFF0FC"/>
            <w:noWrap/>
            <w:tcMar>
              <w:top w:w="15" w:type="dxa"/>
              <w:left w:w="0" w:type="dxa"/>
              <w:bottom w:w="0" w:type="dxa"/>
              <w:right w:w="15" w:type="dxa"/>
            </w:tcMar>
            <w:vAlign w:val="center"/>
            <w:hideMark/>
          </w:tcPr>
          <w:p w14:paraId="3F36A02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(59.5</w:t>
            </w:r>
          </w:p>
        </w:tc>
        <w:tc>
          <w:tcPr>
            <w:tcW w:w="261" w:type="dxa"/>
            <w:shd w:val="clear" w:color="auto" w:fill="CFF0FC"/>
            <w:noWrap/>
            <w:tcMar>
              <w:top w:w="15" w:type="dxa"/>
              <w:left w:w="0" w:type="dxa"/>
              <w:bottom w:w="0" w:type="dxa"/>
              <w:right w:w="15" w:type="dxa"/>
            </w:tcMar>
            <w:vAlign w:val="center"/>
            <w:hideMark/>
          </w:tcPr>
          <w:p w14:paraId="2DAC10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280301F" w14:textId="77777777" w:rsidTr="00AC4931">
        <w:tc>
          <w:tcPr>
            <w:tcW w:w="12573" w:type="dxa"/>
            <w:shd w:val="clear" w:color="auto" w:fill="FFFFFF"/>
            <w:tcMar>
              <w:top w:w="15" w:type="dxa"/>
              <w:left w:w="0" w:type="dxa"/>
              <w:bottom w:w="0" w:type="dxa"/>
              <w:right w:w="15" w:type="dxa"/>
            </w:tcMar>
            <w:vAlign w:val="center"/>
            <w:hideMark/>
          </w:tcPr>
          <w:p w14:paraId="4476DD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Adjusted earnings per share, diluted</w:t>
            </w:r>
            <w:r w:rsidRPr="00AC4931">
              <w:rPr>
                <w:rFonts w:ascii="Arial" w:eastAsia="宋体" w:hAnsi="Arial" w:cs="Arial"/>
                <w:color w:val="000000"/>
                <w:kern w:val="0"/>
                <w:sz w:val="18"/>
                <w:szCs w:val="18"/>
                <w:vertAlign w:val="superscript"/>
              </w:rPr>
              <w:t>1, 2)</w:t>
            </w:r>
          </w:p>
        </w:tc>
        <w:tc>
          <w:tcPr>
            <w:tcW w:w="2160" w:type="dxa"/>
            <w:gridSpan w:val="2"/>
            <w:shd w:val="clear" w:color="auto" w:fill="FFFFFF"/>
            <w:tcMar>
              <w:top w:w="15" w:type="dxa"/>
              <w:left w:w="0" w:type="dxa"/>
              <w:bottom w:w="0" w:type="dxa"/>
              <w:right w:w="15" w:type="dxa"/>
            </w:tcMar>
            <w:vAlign w:val="center"/>
            <w:hideMark/>
          </w:tcPr>
          <w:p w14:paraId="1F26636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3.15</w:t>
            </w:r>
          </w:p>
        </w:tc>
        <w:tc>
          <w:tcPr>
            <w:tcW w:w="220" w:type="dxa"/>
            <w:shd w:val="clear" w:color="auto" w:fill="FFFFFF"/>
            <w:noWrap/>
            <w:tcMar>
              <w:top w:w="15" w:type="dxa"/>
              <w:left w:w="0" w:type="dxa"/>
              <w:bottom w:w="0" w:type="dxa"/>
              <w:right w:w="15" w:type="dxa"/>
            </w:tcMar>
            <w:vAlign w:val="center"/>
            <w:hideMark/>
          </w:tcPr>
          <w:p w14:paraId="1EC006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FFFFFF"/>
            <w:tcMar>
              <w:top w:w="15" w:type="dxa"/>
              <w:left w:w="0" w:type="dxa"/>
              <w:bottom w:w="0" w:type="dxa"/>
              <w:right w:w="15" w:type="dxa"/>
            </w:tcMar>
            <w:vAlign w:val="center"/>
            <w:hideMark/>
          </w:tcPr>
          <w:p w14:paraId="47C899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0" w:type="dxa"/>
            <w:gridSpan w:val="2"/>
            <w:shd w:val="clear" w:color="auto" w:fill="FFFFFF"/>
            <w:tcMar>
              <w:top w:w="15" w:type="dxa"/>
              <w:left w:w="0" w:type="dxa"/>
              <w:bottom w:w="0" w:type="dxa"/>
              <w:right w:w="15" w:type="dxa"/>
            </w:tcMar>
            <w:vAlign w:val="center"/>
            <w:hideMark/>
          </w:tcPr>
          <w:p w14:paraId="75AB3AE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5.72</w:t>
            </w:r>
          </w:p>
        </w:tc>
        <w:tc>
          <w:tcPr>
            <w:tcW w:w="220" w:type="dxa"/>
            <w:shd w:val="clear" w:color="auto" w:fill="FFFFFF"/>
            <w:noWrap/>
            <w:tcMar>
              <w:top w:w="15" w:type="dxa"/>
              <w:left w:w="0" w:type="dxa"/>
              <w:bottom w:w="0" w:type="dxa"/>
              <w:right w:w="15" w:type="dxa"/>
            </w:tcMar>
            <w:vAlign w:val="center"/>
            <w:hideMark/>
          </w:tcPr>
          <w:p w14:paraId="44FED0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62" w:type="dxa"/>
            <w:shd w:val="clear" w:color="auto" w:fill="FFFFFF"/>
            <w:tcMar>
              <w:top w:w="15" w:type="dxa"/>
              <w:left w:w="0" w:type="dxa"/>
              <w:bottom w:w="0" w:type="dxa"/>
              <w:right w:w="15" w:type="dxa"/>
            </w:tcMar>
            <w:vAlign w:val="center"/>
            <w:hideMark/>
          </w:tcPr>
          <w:p w14:paraId="7E9B88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2FD46B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55" w:type="dxa"/>
            <w:shd w:val="clear" w:color="auto" w:fill="FFFFFF"/>
            <w:noWrap/>
            <w:tcMar>
              <w:top w:w="15" w:type="dxa"/>
              <w:left w:w="0" w:type="dxa"/>
              <w:bottom w:w="0" w:type="dxa"/>
              <w:right w:w="15" w:type="dxa"/>
            </w:tcMar>
            <w:vAlign w:val="bottom"/>
            <w:hideMark/>
          </w:tcPr>
          <w:p w14:paraId="033BCBB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(44.9</w:t>
            </w:r>
          </w:p>
        </w:tc>
        <w:tc>
          <w:tcPr>
            <w:tcW w:w="261" w:type="dxa"/>
            <w:shd w:val="clear" w:color="auto" w:fill="FFFFFF"/>
            <w:noWrap/>
            <w:tcMar>
              <w:top w:w="15" w:type="dxa"/>
              <w:left w:w="0" w:type="dxa"/>
              <w:bottom w:w="0" w:type="dxa"/>
              <w:right w:w="15" w:type="dxa"/>
            </w:tcMar>
            <w:vAlign w:val="bottom"/>
            <w:hideMark/>
          </w:tcPr>
          <w:p w14:paraId="280212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bl>
    <w:p w14:paraId="3AC31C0F"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3A589AA9" w14:textId="77777777" w:rsidTr="00AC4931">
        <w:tc>
          <w:tcPr>
            <w:tcW w:w="919" w:type="dxa"/>
            <w:noWrap/>
            <w:hideMark/>
          </w:tcPr>
          <w:p w14:paraId="6A183C98"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3ED9888F"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Assuming dilution and net of treasury shares.</w:t>
            </w:r>
          </w:p>
        </w:tc>
      </w:tr>
      <w:tr w:rsidR="00AC4931" w:rsidRPr="00AC4931" w14:paraId="7CAC2170" w14:textId="77777777" w:rsidTr="00AC4931">
        <w:tc>
          <w:tcPr>
            <w:tcW w:w="919" w:type="dxa"/>
            <w:noWrap/>
            <w:hideMark/>
          </w:tcPr>
          <w:p w14:paraId="74320E86"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w:t>
            </w:r>
          </w:p>
        </w:tc>
        <w:tc>
          <w:tcPr>
            <w:tcW w:w="0" w:type="auto"/>
            <w:hideMark/>
          </w:tcPr>
          <w:p w14:paraId="3F640F4F"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Participating share awards with right to receive dividend equivalents are (under the two-class method) excluded from the EPS calculation.</w:t>
            </w:r>
          </w:p>
        </w:tc>
      </w:tr>
    </w:tbl>
    <w:p w14:paraId="728BBA6C"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57BC16F"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GROSS PROFIT</w:t>
      </w:r>
    </w:p>
    <w:p w14:paraId="27B8B770" w14:textId="77777777" w:rsidR="00AC4931" w:rsidRPr="00AC4931" w:rsidRDefault="00AC4931" w:rsidP="00AC4931">
      <w:pPr>
        <w:widowControl/>
        <w:spacing w:before="160"/>
        <w:rPr>
          <w:rFonts w:ascii="Arial" w:eastAsia="宋体" w:hAnsi="Arial" w:cs="Arial"/>
          <w:color w:val="000000"/>
          <w:kern w:val="0"/>
          <w:sz w:val="18"/>
          <w:szCs w:val="18"/>
        </w:rPr>
      </w:pPr>
      <w:r w:rsidRPr="00AC4931">
        <w:rPr>
          <w:rFonts w:ascii="Arial" w:eastAsia="宋体" w:hAnsi="Arial" w:cs="Arial"/>
          <w:color w:val="000000"/>
          <w:kern w:val="0"/>
          <w:sz w:val="18"/>
          <w:szCs w:val="18"/>
        </w:rPr>
        <w:t>Gross profit declined by $338 million and the gross margin declined by 1.8pp compared to full year 2019. The gross margin decline was primarily driven by lower sales and lower utilization of our assets from the decline in LVP. The sharp sales decline followed by a volatile restart and ramp-up with limited visibility and predictability had a significant effect on our gross margin, despite significant reductions in costs for material and labor.</w:t>
      </w:r>
    </w:p>
    <w:p w14:paraId="7461FDC1"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E50CC8C"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OPERATING INCOME</w:t>
      </w:r>
    </w:p>
    <w:p w14:paraId="2CC40561" w14:textId="77777777" w:rsidR="00AC4931" w:rsidRPr="00AC4931" w:rsidRDefault="00AC4931" w:rsidP="00AC4931">
      <w:pPr>
        <w:widowControl/>
        <w:spacing w:before="160"/>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income decreased by $344 million, mainly as a consequence of the declines in gross profit and higher costs in other income (expense), net, partially offset by lower costs for S,G&amp;A and R,D&amp;E, net. Selling, General and Administrative (S,G&amp;A) expenses decreased by $10 million, or by 2.4%, mainly due to lower personnel costs. Research, Development &amp; Engineering (R,D&amp;E) expenses, net declined by $30 million, or by 7.4%, mainly due to positive year over year effects from lower personnel costs partially offset by lower engineering income. Other income (expense), net expense increased by $47 million compared to the previous year, mainly due to higher costs for capacity alignments.</w:t>
      </w:r>
    </w:p>
    <w:p w14:paraId="770F3114"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FINANCIAL AND NON-OPERATING ITEMS, NET</w:t>
      </w:r>
    </w:p>
    <w:p w14:paraId="1CDABA1D" w14:textId="77777777" w:rsidR="00AC4931" w:rsidRPr="00AC4931" w:rsidRDefault="00AC4931" w:rsidP="00AC4931">
      <w:pPr>
        <w:widowControl/>
        <w:spacing w:before="160"/>
        <w:rPr>
          <w:rFonts w:ascii="Arial" w:eastAsia="宋体" w:hAnsi="Arial" w:cs="Arial"/>
          <w:color w:val="000000"/>
          <w:kern w:val="0"/>
          <w:sz w:val="18"/>
          <w:szCs w:val="18"/>
        </w:rPr>
      </w:pPr>
      <w:r w:rsidRPr="00AC4931">
        <w:rPr>
          <w:rFonts w:ascii="Arial" w:eastAsia="宋体" w:hAnsi="Arial" w:cs="Arial"/>
          <w:color w:val="000000"/>
          <w:kern w:val="0"/>
          <w:sz w:val="18"/>
          <w:szCs w:val="18"/>
        </w:rPr>
        <w:t>Financial and non-operating items, net, costs were $14 million higher than the previous year, mainly due to unfavorable effects of exchange rate changes and higher pension related expenses.</w:t>
      </w:r>
    </w:p>
    <w:p w14:paraId="0E22A91B" w14:textId="77777777" w:rsidR="00AC4931" w:rsidRPr="00AC4931" w:rsidRDefault="00AC4931" w:rsidP="00AC4931">
      <w:pPr>
        <w:widowControl/>
        <w:spacing w:before="16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INCOME TAXES</w:t>
      </w:r>
    </w:p>
    <w:p w14:paraId="62BE179F"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319D0C0C"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Tax rate was 35.3%, compared to 28.6% in 2019, impacted by unfavorable country mix and losses without tax benefit.</w:t>
      </w:r>
    </w:p>
    <w:p w14:paraId="70E407AA" w14:textId="77777777" w:rsidR="00AC4931" w:rsidRPr="00AC4931" w:rsidRDefault="00AC4931" w:rsidP="00AC4931">
      <w:pPr>
        <w:widowControl/>
        <w:rPr>
          <w:rFonts w:ascii="微软雅黑" w:eastAsia="微软雅黑" w:hAnsi="微软雅黑" w:cs="宋体"/>
          <w:b/>
          <w:bCs/>
          <w:color w:val="000000"/>
          <w:kern w:val="0"/>
          <w:sz w:val="16"/>
          <w:szCs w:val="16"/>
        </w:rPr>
      </w:pPr>
      <w:r w:rsidRPr="00AC4931">
        <w:rPr>
          <w:rFonts w:ascii="微软雅黑" w:eastAsia="微软雅黑" w:hAnsi="微软雅黑" w:cs="宋体" w:hint="eastAsia"/>
          <w:b/>
          <w:bCs/>
          <w:color w:val="000000"/>
          <w:kern w:val="0"/>
          <w:sz w:val="16"/>
          <w:szCs w:val="16"/>
        </w:rPr>
        <w:t> </w:t>
      </w:r>
    </w:p>
    <w:p w14:paraId="770706C1"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34</w:t>
      </w:r>
    </w:p>
    <w:p w14:paraId="639B200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127DD58"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163530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A75407B"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2BD4E0E">
          <v:rect id="_x0000_i1061" style="width:0;height:1.5pt" o:hralign="center" o:hrstd="t" o:hrnoshade="t" o:hr="t" fillcolor="black" stroked="f"/>
        </w:pict>
      </w:r>
    </w:p>
    <w:p w14:paraId="5F37A21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4518DB6"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7B68503"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019B4B5"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65365DE4" w14:textId="77777777" w:rsidR="00AC4931" w:rsidRPr="00AC4931" w:rsidRDefault="00AC4931" w:rsidP="00AC4931">
      <w:pPr>
        <w:widowControl/>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INCOME AND EARNINGS PER SHARE</w:t>
      </w:r>
    </w:p>
    <w:p w14:paraId="71BCE15F"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 decreased by $275 million compared to 2019 primarily driven by the lower gross profit and operating income as noted above.</w:t>
      </w:r>
    </w:p>
    <w:p w14:paraId="761EE8C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Earnings per share, diluted, decreased by $3.15 where the main drivers were $2.36 from lower adjusted operating income, $0.58 from mainly higher accruals for restructuring activities, $0.11 from financial items and $0.10 from higher taxes.(see section Non-U.S. GAAP Performance Measures).</w:t>
      </w:r>
    </w:p>
    <w:p w14:paraId="1AD5107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weighted average number of shares outstanding assuming dilution in 2020 was 87.5 million compared to 87.4 million in 2019.</w:t>
      </w:r>
    </w:p>
    <w:p w14:paraId="7AE51D36" w14:textId="77777777" w:rsidR="00AC4931" w:rsidRPr="00AC4931" w:rsidRDefault="00AC4931" w:rsidP="00AC4931">
      <w:pPr>
        <w:widowControl/>
        <w:spacing w:before="240"/>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429E901C" w14:textId="77777777" w:rsidR="00AC4931" w:rsidRPr="00AC4931" w:rsidRDefault="00AC4931" w:rsidP="00AC4931">
      <w:pPr>
        <w:widowControl/>
        <w:rPr>
          <w:rFonts w:ascii="微软雅黑" w:eastAsia="微软雅黑" w:hAnsi="微软雅黑" w:cs="宋体" w:hint="eastAsia"/>
          <w:color w:val="000000"/>
          <w:kern w:val="0"/>
          <w:sz w:val="16"/>
          <w:szCs w:val="16"/>
        </w:rPr>
      </w:pPr>
      <w:r w:rsidRPr="00AC4931">
        <w:rPr>
          <w:rFonts w:ascii="微软雅黑" w:eastAsia="微软雅黑" w:hAnsi="微软雅黑" w:cs="宋体" w:hint="eastAsia"/>
          <w:color w:val="000000"/>
          <w:kern w:val="0"/>
          <w:sz w:val="16"/>
          <w:szCs w:val="16"/>
        </w:rPr>
        <w:t> </w:t>
      </w:r>
    </w:p>
    <w:p w14:paraId="580B66CD" w14:textId="77777777" w:rsidR="00AC4931" w:rsidRPr="00AC4931" w:rsidRDefault="00AC4931" w:rsidP="00AC4931">
      <w:pPr>
        <w:widowControl/>
        <w:spacing w:before="18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Non-U.S. GAAP Performance Measures</w:t>
      </w:r>
    </w:p>
    <w:p w14:paraId="48739E2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 this annual report we sometimes refer to non-U.S. GAAP measures that we and securities analysts use in measuring Autoliv’s performance.</w:t>
      </w:r>
    </w:p>
    <w:p w14:paraId="1686927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We believe that these measures assist investors and management in analyzing trends in the Company’s business for the reasons given below. Investors should not consider these non-U.S. GAAP measures as substitutes for, but rather as additions to, financial reporting measures prepared in accordance with U.S. GAAP.</w:t>
      </w:r>
    </w:p>
    <w:p w14:paraId="43AE7CDB"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These non-U.S. GAAP measures have been identified, as applicable, in each section of this annual report with tabular presentations provided below, reconciling them to U.S. GAAP.</w:t>
      </w:r>
    </w:p>
    <w:p w14:paraId="17F8C749"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It should be noted that these measures, as defined, may not be comparable to similarly titled measures used by other companies.</w:t>
      </w:r>
    </w:p>
    <w:p w14:paraId="3E01FA4F"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CEC8AC7"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ORGANIC SALES</w:t>
      </w:r>
    </w:p>
    <w:p w14:paraId="4994EB94"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analyze the Company’s sales trends and performance as changes in “organic sales growth” or “organic sales decline”, because the Company currently generates approximately three quarters of net sales in currencies other than the reporting currency (i.e. U.S. dollars) and currency rates have proven to be rather volatile. We also use organic sales to reflect the fact that historically the Company has made several acquisitions and divestitures.</w:t>
      </w:r>
    </w:p>
    <w:p w14:paraId="711E6D32"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Organic sales present the increase or decrease in the overall U.S. dollar net sales on a comparable basis, allowing separate discussions of the impact of acquisitions/divestitures and exchange rates.</w:t>
      </w:r>
    </w:p>
    <w:p w14:paraId="37500E9A"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following tabular reconciliation presents changes in “organic sales growth” as reconciled to the change in total U.S. GAAP net sales.</w:t>
      </w:r>
    </w:p>
    <w:p w14:paraId="154CF21B"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43F0A636"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COMPONENTS IN SALES INCREASE/DECREASE (DOLLARS IN MILLIONS)</w:t>
      </w:r>
    </w:p>
    <w:p w14:paraId="02254C7F"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4401"/>
        <w:gridCol w:w="190"/>
        <w:gridCol w:w="198"/>
        <w:gridCol w:w="749"/>
        <w:gridCol w:w="199"/>
        <w:gridCol w:w="191"/>
        <w:gridCol w:w="199"/>
        <w:gridCol w:w="798"/>
        <w:gridCol w:w="199"/>
        <w:gridCol w:w="191"/>
        <w:gridCol w:w="199"/>
        <w:gridCol w:w="751"/>
        <w:gridCol w:w="199"/>
        <w:gridCol w:w="191"/>
        <w:gridCol w:w="199"/>
        <w:gridCol w:w="799"/>
        <w:gridCol w:w="199"/>
        <w:gridCol w:w="191"/>
        <w:gridCol w:w="199"/>
        <w:gridCol w:w="751"/>
        <w:gridCol w:w="199"/>
        <w:gridCol w:w="191"/>
        <w:gridCol w:w="199"/>
        <w:gridCol w:w="798"/>
        <w:gridCol w:w="199"/>
        <w:gridCol w:w="191"/>
        <w:gridCol w:w="199"/>
        <w:gridCol w:w="751"/>
        <w:gridCol w:w="199"/>
        <w:gridCol w:w="191"/>
        <w:gridCol w:w="199"/>
        <w:gridCol w:w="799"/>
        <w:gridCol w:w="199"/>
        <w:gridCol w:w="191"/>
        <w:gridCol w:w="199"/>
        <w:gridCol w:w="751"/>
        <w:gridCol w:w="199"/>
        <w:gridCol w:w="191"/>
        <w:gridCol w:w="199"/>
        <w:gridCol w:w="799"/>
        <w:gridCol w:w="199"/>
        <w:gridCol w:w="191"/>
        <w:gridCol w:w="199"/>
        <w:gridCol w:w="751"/>
        <w:gridCol w:w="199"/>
        <w:gridCol w:w="191"/>
        <w:gridCol w:w="199"/>
        <w:gridCol w:w="774"/>
        <w:gridCol w:w="75"/>
      </w:tblGrid>
      <w:tr w:rsidR="00AC4931" w:rsidRPr="00AC4931" w14:paraId="33D9FD2D" w14:textId="77777777" w:rsidTr="00AC4931">
        <w:tc>
          <w:tcPr>
            <w:tcW w:w="4383" w:type="dxa"/>
            <w:shd w:val="clear" w:color="auto" w:fill="FFFFFF"/>
            <w:tcMar>
              <w:top w:w="15" w:type="dxa"/>
              <w:left w:w="0" w:type="dxa"/>
              <w:bottom w:w="0" w:type="dxa"/>
              <w:right w:w="15" w:type="dxa"/>
            </w:tcMar>
            <w:vAlign w:val="bottom"/>
            <w:hideMark/>
          </w:tcPr>
          <w:p w14:paraId="6BF466AC" w14:textId="77777777" w:rsidR="00AC4931" w:rsidRPr="00AC4931" w:rsidRDefault="00AC4931" w:rsidP="00AC4931">
            <w:pPr>
              <w:widowControl/>
              <w:jc w:val="center"/>
              <w:rPr>
                <w:rFonts w:ascii="Arial" w:eastAsia="宋体" w:hAnsi="Arial" w:cs="Arial" w:hint="eastAsia"/>
                <w:kern w:val="0"/>
                <w:sz w:val="16"/>
                <w:szCs w:val="16"/>
              </w:rPr>
            </w:pPr>
            <w:r w:rsidRPr="00AC4931">
              <w:rPr>
                <w:rFonts w:ascii="Arial" w:eastAsia="宋体" w:hAnsi="Arial" w:cs="Arial"/>
                <w:kern w:val="0"/>
                <w:sz w:val="16"/>
                <w:szCs w:val="16"/>
              </w:rPr>
              <w:t> </w:t>
            </w:r>
          </w:p>
        </w:tc>
        <w:tc>
          <w:tcPr>
            <w:tcW w:w="190" w:type="dxa"/>
            <w:shd w:val="clear" w:color="auto" w:fill="FFFFFF"/>
            <w:tcMar>
              <w:top w:w="15" w:type="dxa"/>
              <w:left w:w="0" w:type="dxa"/>
              <w:bottom w:w="0" w:type="dxa"/>
              <w:right w:w="15" w:type="dxa"/>
            </w:tcMar>
            <w:vAlign w:val="bottom"/>
            <w:hideMark/>
          </w:tcPr>
          <w:p w14:paraId="1A13B9B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01" w:type="dxa"/>
            <w:gridSpan w:val="6"/>
            <w:tcBorders>
              <w:bottom w:val="single" w:sz="6" w:space="0" w:color="000000"/>
            </w:tcBorders>
            <w:shd w:val="clear" w:color="auto" w:fill="FFFFFF"/>
            <w:tcMar>
              <w:top w:w="15" w:type="dxa"/>
              <w:left w:w="0" w:type="dxa"/>
              <w:bottom w:w="0" w:type="dxa"/>
              <w:right w:w="15" w:type="dxa"/>
            </w:tcMar>
            <w:vAlign w:val="bottom"/>
            <w:hideMark/>
          </w:tcPr>
          <w:p w14:paraId="01C87B2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China</w:t>
            </w:r>
          </w:p>
        </w:tc>
        <w:tc>
          <w:tcPr>
            <w:tcW w:w="190" w:type="dxa"/>
            <w:shd w:val="clear" w:color="auto" w:fill="FFFFFF"/>
            <w:noWrap/>
            <w:tcMar>
              <w:top w:w="15" w:type="dxa"/>
              <w:left w:w="0" w:type="dxa"/>
              <w:bottom w:w="0" w:type="dxa"/>
              <w:right w:w="15" w:type="dxa"/>
            </w:tcMar>
            <w:vAlign w:val="bottom"/>
            <w:hideMark/>
          </w:tcPr>
          <w:p w14:paraId="032A0AB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7EEA167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03" w:type="dxa"/>
            <w:gridSpan w:val="6"/>
            <w:tcBorders>
              <w:bottom w:val="single" w:sz="6" w:space="0" w:color="000000"/>
            </w:tcBorders>
            <w:shd w:val="clear" w:color="auto" w:fill="FFFFFF"/>
            <w:tcMar>
              <w:top w:w="15" w:type="dxa"/>
              <w:left w:w="0" w:type="dxa"/>
              <w:bottom w:w="0" w:type="dxa"/>
              <w:right w:w="15" w:type="dxa"/>
            </w:tcMar>
            <w:vAlign w:val="bottom"/>
            <w:hideMark/>
          </w:tcPr>
          <w:p w14:paraId="756D2AC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Japan</w:t>
            </w:r>
          </w:p>
        </w:tc>
        <w:tc>
          <w:tcPr>
            <w:tcW w:w="190" w:type="dxa"/>
            <w:shd w:val="clear" w:color="auto" w:fill="FFFFFF"/>
            <w:noWrap/>
            <w:tcMar>
              <w:top w:w="15" w:type="dxa"/>
              <w:left w:w="0" w:type="dxa"/>
              <w:bottom w:w="0" w:type="dxa"/>
              <w:right w:w="15" w:type="dxa"/>
            </w:tcMar>
            <w:vAlign w:val="bottom"/>
            <w:hideMark/>
          </w:tcPr>
          <w:p w14:paraId="780F964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0904BDE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02" w:type="dxa"/>
            <w:gridSpan w:val="6"/>
            <w:tcBorders>
              <w:bottom w:val="single" w:sz="6" w:space="0" w:color="000000"/>
            </w:tcBorders>
            <w:shd w:val="clear" w:color="auto" w:fill="FFFFFF"/>
            <w:tcMar>
              <w:top w:w="15" w:type="dxa"/>
              <w:left w:w="0" w:type="dxa"/>
              <w:bottom w:w="0" w:type="dxa"/>
              <w:right w:w="15" w:type="dxa"/>
            </w:tcMar>
            <w:vAlign w:val="bottom"/>
            <w:hideMark/>
          </w:tcPr>
          <w:p w14:paraId="15F5B22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RoA</w:t>
            </w:r>
            <w:r w:rsidRPr="00AC4931">
              <w:rPr>
                <w:rFonts w:ascii="Arial" w:eastAsia="宋体" w:hAnsi="Arial" w:cs="Arial"/>
                <w:b/>
                <w:bCs/>
                <w:color w:val="000000"/>
                <w:kern w:val="0"/>
                <w:sz w:val="18"/>
                <w:szCs w:val="18"/>
                <w:vertAlign w:val="superscript"/>
              </w:rPr>
              <w:t>1)</w:t>
            </w:r>
          </w:p>
        </w:tc>
        <w:tc>
          <w:tcPr>
            <w:tcW w:w="190" w:type="dxa"/>
            <w:shd w:val="clear" w:color="auto" w:fill="FFFFFF"/>
            <w:noWrap/>
            <w:tcMar>
              <w:top w:w="15" w:type="dxa"/>
              <w:left w:w="0" w:type="dxa"/>
              <w:bottom w:w="0" w:type="dxa"/>
              <w:right w:w="15" w:type="dxa"/>
            </w:tcMar>
            <w:vAlign w:val="bottom"/>
            <w:hideMark/>
          </w:tcPr>
          <w:p w14:paraId="0DC0C309"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0" w:type="dxa"/>
            <w:shd w:val="clear" w:color="auto" w:fill="FFFFFF"/>
            <w:tcMar>
              <w:top w:w="15" w:type="dxa"/>
              <w:left w:w="0" w:type="dxa"/>
              <w:bottom w:w="0" w:type="dxa"/>
              <w:right w:w="15" w:type="dxa"/>
            </w:tcMar>
            <w:vAlign w:val="bottom"/>
            <w:hideMark/>
          </w:tcPr>
          <w:p w14:paraId="3706F89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03" w:type="dxa"/>
            <w:gridSpan w:val="6"/>
            <w:tcBorders>
              <w:bottom w:val="single" w:sz="6" w:space="0" w:color="000000"/>
            </w:tcBorders>
            <w:shd w:val="clear" w:color="auto" w:fill="FFFFFF"/>
            <w:tcMar>
              <w:top w:w="15" w:type="dxa"/>
              <w:left w:w="0" w:type="dxa"/>
              <w:bottom w:w="0" w:type="dxa"/>
              <w:right w:w="15" w:type="dxa"/>
            </w:tcMar>
            <w:vAlign w:val="bottom"/>
            <w:hideMark/>
          </w:tcPr>
          <w:p w14:paraId="217B041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Americas</w:t>
            </w:r>
          </w:p>
        </w:tc>
        <w:tc>
          <w:tcPr>
            <w:tcW w:w="190" w:type="dxa"/>
            <w:shd w:val="clear" w:color="auto" w:fill="FFFFFF"/>
            <w:noWrap/>
            <w:tcMar>
              <w:top w:w="15" w:type="dxa"/>
              <w:left w:w="0" w:type="dxa"/>
              <w:bottom w:w="0" w:type="dxa"/>
              <w:right w:w="15" w:type="dxa"/>
            </w:tcMar>
            <w:vAlign w:val="bottom"/>
            <w:hideMark/>
          </w:tcPr>
          <w:p w14:paraId="07595E7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0A88FEB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03" w:type="dxa"/>
            <w:gridSpan w:val="6"/>
            <w:tcBorders>
              <w:bottom w:val="single" w:sz="6" w:space="0" w:color="000000"/>
            </w:tcBorders>
            <w:shd w:val="clear" w:color="auto" w:fill="FFFFFF"/>
            <w:tcMar>
              <w:top w:w="15" w:type="dxa"/>
              <w:left w:w="0" w:type="dxa"/>
              <w:bottom w:w="0" w:type="dxa"/>
              <w:right w:w="15" w:type="dxa"/>
            </w:tcMar>
            <w:vAlign w:val="bottom"/>
            <w:hideMark/>
          </w:tcPr>
          <w:p w14:paraId="449FF73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Europe</w:t>
            </w:r>
          </w:p>
        </w:tc>
        <w:tc>
          <w:tcPr>
            <w:tcW w:w="190" w:type="dxa"/>
            <w:shd w:val="clear" w:color="auto" w:fill="FFFFFF"/>
            <w:noWrap/>
            <w:tcMar>
              <w:top w:w="15" w:type="dxa"/>
              <w:left w:w="0" w:type="dxa"/>
              <w:bottom w:w="0" w:type="dxa"/>
              <w:right w:w="15" w:type="dxa"/>
            </w:tcMar>
            <w:vAlign w:val="bottom"/>
            <w:hideMark/>
          </w:tcPr>
          <w:p w14:paraId="47DBB8D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534E20D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279" w:type="dxa"/>
            <w:gridSpan w:val="6"/>
            <w:tcBorders>
              <w:bottom w:val="single" w:sz="6" w:space="0" w:color="000000"/>
            </w:tcBorders>
            <w:shd w:val="clear" w:color="auto" w:fill="FFFFFF"/>
            <w:tcMar>
              <w:top w:w="15" w:type="dxa"/>
              <w:left w:w="0" w:type="dxa"/>
              <w:bottom w:w="0" w:type="dxa"/>
              <w:right w:w="15" w:type="dxa"/>
            </w:tcMar>
            <w:vAlign w:val="bottom"/>
            <w:hideMark/>
          </w:tcPr>
          <w:p w14:paraId="774E95B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Total</w:t>
            </w:r>
          </w:p>
        </w:tc>
        <w:tc>
          <w:tcPr>
            <w:tcW w:w="63" w:type="dxa"/>
            <w:shd w:val="clear" w:color="auto" w:fill="FFFFFF"/>
            <w:noWrap/>
            <w:tcMar>
              <w:top w:w="15" w:type="dxa"/>
              <w:left w:w="0" w:type="dxa"/>
              <w:bottom w:w="0" w:type="dxa"/>
              <w:right w:w="15" w:type="dxa"/>
            </w:tcMar>
            <w:vAlign w:val="bottom"/>
            <w:hideMark/>
          </w:tcPr>
          <w:p w14:paraId="1CD1B35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83108E8" w14:textId="77777777" w:rsidTr="00AC4931">
        <w:tc>
          <w:tcPr>
            <w:tcW w:w="4383" w:type="dxa"/>
            <w:shd w:val="clear" w:color="auto" w:fill="FFFFFF"/>
            <w:tcMar>
              <w:top w:w="15" w:type="dxa"/>
              <w:left w:w="0" w:type="dxa"/>
              <w:bottom w:w="0" w:type="dxa"/>
              <w:right w:w="15" w:type="dxa"/>
            </w:tcMar>
            <w:vAlign w:val="bottom"/>
            <w:hideMark/>
          </w:tcPr>
          <w:p w14:paraId="4CD288C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2020 VS. 2019</w:t>
            </w:r>
          </w:p>
        </w:tc>
        <w:tc>
          <w:tcPr>
            <w:tcW w:w="190" w:type="dxa"/>
            <w:shd w:val="clear" w:color="auto" w:fill="FFFFFF"/>
            <w:tcMar>
              <w:top w:w="15" w:type="dxa"/>
              <w:left w:w="0" w:type="dxa"/>
              <w:bottom w:w="0" w:type="dxa"/>
              <w:right w:w="15" w:type="dxa"/>
            </w:tcMar>
            <w:vAlign w:val="bottom"/>
            <w:hideMark/>
          </w:tcPr>
          <w:p w14:paraId="43D5330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7"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14328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0" w:type="dxa"/>
            <w:shd w:val="clear" w:color="auto" w:fill="FFFFFF"/>
            <w:noWrap/>
            <w:tcMar>
              <w:top w:w="15" w:type="dxa"/>
              <w:left w:w="0" w:type="dxa"/>
              <w:bottom w:w="0" w:type="dxa"/>
              <w:right w:w="15" w:type="dxa"/>
            </w:tcMar>
            <w:vAlign w:val="bottom"/>
            <w:hideMark/>
          </w:tcPr>
          <w:p w14:paraId="52E2E60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tcBorders>
              <w:top w:val="single" w:sz="6" w:space="0" w:color="000000"/>
            </w:tcBorders>
            <w:shd w:val="clear" w:color="auto" w:fill="FFFFFF"/>
            <w:tcMar>
              <w:top w:w="15" w:type="dxa"/>
              <w:left w:w="0" w:type="dxa"/>
              <w:bottom w:w="0" w:type="dxa"/>
              <w:right w:w="15" w:type="dxa"/>
            </w:tcMar>
            <w:vAlign w:val="bottom"/>
            <w:hideMark/>
          </w:tcPr>
          <w:p w14:paraId="659F0F2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1533F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0" w:type="dxa"/>
            <w:shd w:val="clear" w:color="auto" w:fill="FFFFFF"/>
            <w:noWrap/>
            <w:tcMar>
              <w:top w:w="15" w:type="dxa"/>
              <w:left w:w="0" w:type="dxa"/>
              <w:bottom w:w="0" w:type="dxa"/>
              <w:right w:w="15" w:type="dxa"/>
            </w:tcMar>
            <w:vAlign w:val="bottom"/>
            <w:hideMark/>
          </w:tcPr>
          <w:p w14:paraId="2278758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0241CF9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C52D3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0" w:type="dxa"/>
            <w:shd w:val="clear" w:color="auto" w:fill="FFFFFF"/>
            <w:noWrap/>
            <w:tcMar>
              <w:top w:w="15" w:type="dxa"/>
              <w:left w:w="0" w:type="dxa"/>
              <w:bottom w:w="0" w:type="dxa"/>
              <w:right w:w="15" w:type="dxa"/>
            </w:tcMar>
            <w:vAlign w:val="bottom"/>
            <w:hideMark/>
          </w:tcPr>
          <w:p w14:paraId="7463952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tcBorders>
              <w:top w:val="single" w:sz="6" w:space="0" w:color="000000"/>
            </w:tcBorders>
            <w:shd w:val="clear" w:color="auto" w:fill="FFFFFF"/>
            <w:tcMar>
              <w:top w:w="15" w:type="dxa"/>
              <w:left w:w="0" w:type="dxa"/>
              <w:bottom w:w="0" w:type="dxa"/>
              <w:right w:w="15" w:type="dxa"/>
            </w:tcMar>
            <w:vAlign w:val="bottom"/>
            <w:hideMark/>
          </w:tcPr>
          <w:p w14:paraId="2B5D0C2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A7DCB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0" w:type="dxa"/>
            <w:shd w:val="clear" w:color="auto" w:fill="FFFFFF"/>
            <w:noWrap/>
            <w:tcMar>
              <w:top w:w="15" w:type="dxa"/>
              <w:left w:w="0" w:type="dxa"/>
              <w:bottom w:w="0" w:type="dxa"/>
              <w:right w:w="15" w:type="dxa"/>
            </w:tcMar>
            <w:vAlign w:val="bottom"/>
            <w:hideMark/>
          </w:tcPr>
          <w:p w14:paraId="61CAC97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3BA0DA6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E6EC3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0" w:type="dxa"/>
            <w:shd w:val="clear" w:color="auto" w:fill="FFFFFF"/>
            <w:noWrap/>
            <w:tcMar>
              <w:top w:w="15" w:type="dxa"/>
              <w:left w:w="0" w:type="dxa"/>
              <w:bottom w:w="0" w:type="dxa"/>
              <w:right w:w="15" w:type="dxa"/>
            </w:tcMar>
            <w:vAlign w:val="bottom"/>
            <w:hideMark/>
          </w:tcPr>
          <w:p w14:paraId="4A00FB8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tcBorders>
              <w:top w:val="single" w:sz="6" w:space="0" w:color="000000"/>
            </w:tcBorders>
            <w:shd w:val="clear" w:color="auto" w:fill="FFFFFF"/>
            <w:tcMar>
              <w:top w:w="15" w:type="dxa"/>
              <w:left w:w="0" w:type="dxa"/>
              <w:bottom w:w="0" w:type="dxa"/>
              <w:right w:w="15" w:type="dxa"/>
            </w:tcMar>
            <w:vAlign w:val="bottom"/>
            <w:hideMark/>
          </w:tcPr>
          <w:p w14:paraId="22BE6C6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E5220C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0" w:type="dxa"/>
            <w:shd w:val="clear" w:color="auto" w:fill="FFFFFF"/>
            <w:noWrap/>
            <w:tcMar>
              <w:top w:w="15" w:type="dxa"/>
              <w:left w:w="0" w:type="dxa"/>
              <w:bottom w:w="0" w:type="dxa"/>
              <w:right w:w="15" w:type="dxa"/>
            </w:tcMar>
            <w:vAlign w:val="bottom"/>
            <w:hideMark/>
          </w:tcPr>
          <w:p w14:paraId="2FC17A2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2C789CD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268A9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0" w:type="dxa"/>
            <w:shd w:val="clear" w:color="auto" w:fill="FFFFFF"/>
            <w:noWrap/>
            <w:tcMar>
              <w:top w:w="15" w:type="dxa"/>
              <w:left w:w="0" w:type="dxa"/>
              <w:bottom w:w="0" w:type="dxa"/>
              <w:right w:w="15" w:type="dxa"/>
            </w:tcMar>
            <w:vAlign w:val="bottom"/>
            <w:hideMark/>
          </w:tcPr>
          <w:p w14:paraId="239EFD6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tcBorders>
              <w:top w:val="single" w:sz="6" w:space="0" w:color="000000"/>
            </w:tcBorders>
            <w:shd w:val="clear" w:color="auto" w:fill="FFFFFF"/>
            <w:tcMar>
              <w:top w:w="15" w:type="dxa"/>
              <w:left w:w="0" w:type="dxa"/>
              <w:bottom w:w="0" w:type="dxa"/>
              <w:right w:w="15" w:type="dxa"/>
            </w:tcMar>
            <w:vAlign w:val="bottom"/>
            <w:hideMark/>
          </w:tcPr>
          <w:p w14:paraId="256BFD4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E09B1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0" w:type="dxa"/>
            <w:shd w:val="clear" w:color="auto" w:fill="FFFFFF"/>
            <w:noWrap/>
            <w:tcMar>
              <w:top w:w="15" w:type="dxa"/>
              <w:left w:w="0" w:type="dxa"/>
              <w:bottom w:w="0" w:type="dxa"/>
              <w:right w:w="15" w:type="dxa"/>
            </w:tcMar>
            <w:vAlign w:val="bottom"/>
            <w:hideMark/>
          </w:tcPr>
          <w:p w14:paraId="55AA4BF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0132478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EF1AB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0" w:type="dxa"/>
            <w:shd w:val="clear" w:color="auto" w:fill="FFFFFF"/>
            <w:noWrap/>
            <w:tcMar>
              <w:top w:w="15" w:type="dxa"/>
              <w:left w:w="0" w:type="dxa"/>
              <w:bottom w:w="0" w:type="dxa"/>
              <w:right w:w="15" w:type="dxa"/>
            </w:tcMar>
            <w:vAlign w:val="bottom"/>
            <w:hideMark/>
          </w:tcPr>
          <w:p w14:paraId="6FE02D4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tcBorders>
              <w:top w:val="single" w:sz="6" w:space="0" w:color="000000"/>
            </w:tcBorders>
            <w:shd w:val="clear" w:color="auto" w:fill="FFFFFF"/>
            <w:tcMar>
              <w:top w:w="15" w:type="dxa"/>
              <w:left w:w="0" w:type="dxa"/>
              <w:bottom w:w="0" w:type="dxa"/>
              <w:right w:w="15" w:type="dxa"/>
            </w:tcMar>
            <w:vAlign w:val="bottom"/>
            <w:hideMark/>
          </w:tcPr>
          <w:p w14:paraId="0634EEF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C13F7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0" w:type="dxa"/>
            <w:shd w:val="clear" w:color="auto" w:fill="FFFFFF"/>
            <w:noWrap/>
            <w:tcMar>
              <w:top w:w="15" w:type="dxa"/>
              <w:left w:w="0" w:type="dxa"/>
              <w:bottom w:w="0" w:type="dxa"/>
              <w:right w:w="15" w:type="dxa"/>
            </w:tcMar>
            <w:vAlign w:val="bottom"/>
            <w:hideMark/>
          </w:tcPr>
          <w:p w14:paraId="0BABC29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5755145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F92BC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0" w:type="dxa"/>
            <w:shd w:val="clear" w:color="auto" w:fill="FFFFFF"/>
            <w:noWrap/>
            <w:tcMar>
              <w:top w:w="15" w:type="dxa"/>
              <w:left w:w="0" w:type="dxa"/>
              <w:bottom w:w="0" w:type="dxa"/>
              <w:right w:w="15" w:type="dxa"/>
            </w:tcMar>
            <w:vAlign w:val="bottom"/>
            <w:hideMark/>
          </w:tcPr>
          <w:p w14:paraId="7310A47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tcBorders>
              <w:top w:val="single" w:sz="6" w:space="0" w:color="000000"/>
            </w:tcBorders>
            <w:shd w:val="clear" w:color="auto" w:fill="FFFFFF"/>
            <w:tcMar>
              <w:top w:w="15" w:type="dxa"/>
              <w:left w:w="0" w:type="dxa"/>
              <w:bottom w:w="0" w:type="dxa"/>
              <w:right w:w="15" w:type="dxa"/>
            </w:tcMar>
            <w:vAlign w:val="bottom"/>
            <w:hideMark/>
          </w:tcPr>
          <w:p w14:paraId="608348B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1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8997A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63" w:type="dxa"/>
            <w:shd w:val="clear" w:color="auto" w:fill="FFFFFF"/>
            <w:noWrap/>
            <w:tcMar>
              <w:top w:w="15" w:type="dxa"/>
              <w:left w:w="0" w:type="dxa"/>
              <w:bottom w:w="0" w:type="dxa"/>
              <w:right w:w="15" w:type="dxa"/>
            </w:tcMar>
            <w:vAlign w:val="bottom"/>
            <w:hideMark/>
          </w:tcPr>
          <w:p w14:paraId="648CCA1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7BEB30C" w14:textId="77777777" w:rsidTr="00AC4931">
        <w:tc>
          <w:tcPr>
            <w:tcW w:w="4383" w:type="dxa"/>
            <w:shd w:val="clear" w:color="auto" w:fill="CFF0FC"/>
            <w:tcMar>
              <w:top w:w="15" w:type="dxa"/>
              <w:left w:w="0" w:type="dxa"/>
              <w:bottom w:w="0" w:type="dxa"/>
              <w:right w:w="15" w:type="dxa"/>
            </w:tcMar>
            <w:hideMark/>
          </w:tcPr>
          <w:p w14:paraId="5C2F632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Reported change</w:t>
            </w:r>
          </w:p>
        </w:tc>
        <w:tc>
          <w:tcPr>
            <w:tcW w:w="190" w:type="dxa"/>
            <w:shd w:val="clear" w:color="auto" w:fill="CFF0FC"/>
            <w:tcMar>
              <w:top w:w="15" w:type="dxa"/>
              <w:left w:w="0" w:type="dxa"/>
              <w:bottom w:w="0" w:type="dxa"/>
              <w:right w:w="15" w:type="dxa"/>
            </w:tcMar>
            <w:vAlign w:val="bottom"/>
            <w:hideMark/>
          </w:tcPr>
          <w:p w14:paraId="20FAC15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4ED7934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732" w:type="dxa"/>
            <w:tcBorders>
              <w:top w:val="single" w:sz="6" w:space="0" w:color="000000"/>
            </w:tcBorders>
            <w:shd w:val="clear" w:color="auto" w:fill="CFF0FC"/>
            <w:noWrap/>
            <w:tcMar>
              <w:top w:w="15" w:type="dxa"/>
              <w:left w:w="0" w:type="dxa"/>
              <w:bottom w:w="0" w:type="dxa"/>
              <w:right w:w="15" w:type="dxa"/>
            </w:tcMar>
            <w:vAlign w:val="bottom"/>
            <w:hideMark/>
          </w:tcPr>
          <w:p w14:paraId="3F39C38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w:t>
            </w:r>
          </w:p>
        </w:tc>
        <w:tc>
          <w:tcPr>
            <w:tcW w:w="190" w:type="dxa"/>
            <w:shd w:val="clear" w:color="auto" w:fill="CFF0FC"/>
            <w:noWrap/>
            <w:tcMar>
              <w:top w:w="15" w:type="dxa"/>
              <w:left w:w="0" w:type="dxa"/>
              <w:bottom w:w="0" w:type="dxa"/>
              <w:right w:w="15" w:type="dxa"/>
            </w:tcMar>
            <w:vAlign w:val="bottom"/>
            <w:hideMark/>
          </w:tcPr>
          <w:p w14:paraId="260E65B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115FD66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24B0C92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2D214BD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15.6</w:t>
            </w:r>
          </w:p>
        </w:tc>
        <w:tc>
          <w:tcPr>
            <w:tcW w:w="190" w:type="dxa"/>
            <w:shd w:val="clear" w:color="auto" w:fill="CFF0FC"/>
            <w:noWrap/>
            <w:tcMar>
              <w:top w:w="15" w:type="dxa"/>
              <w:left w:w="0" w:type="dxa"/>
              <w:bottom w:w="0" w:type="dxa"/>
              <w:right w:w="15" w:type="dxa"/>
            </w:tcMar>
            <w:vAlign w:val="bottom"/>
            <w:hideMark/>
          </w:tcPr>
          <w:p w14:paraId="7168125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409437C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112D5CC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144C5B8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(9.6</w:t>
            </w:r>
          </w:p>
        </w:tc>
        <w:tc>
          <w:tcPr>
            <w:tcW w:w="190" w:type="dxa"/>
            <w:shd w:val="clear" w:color="auto" w:fill="CFF0FC"/>
            <w:noWrap/>
            <w:tcMar>
              <w:top w:w="15" w:type="dxa"/>
              <w:left w:w="0" w:type="dxa"/>
              <w:bottom w:w="0" w:type="dxa"/>
              <w:right w:w="15" w:type="dxa"/>
            </w:tcMar>
            <w:vAlign w:val="bottom"/>
            <w:hideMark/>
          </w:tcPr>
          <w:p w14:paraId="5060878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223C7AC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053EB5E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51D52CB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(77.4</w:t>
            </w:r>
          </w:p>
        </w:tc>
        <w:tc>
          <w:tcPr>
            <w:tcW w:w="190" w:type="dxa"/>
            <w:shd w:val="clear" w:color="auto" w:fill="CFF0FC"/>
            <w:noWrap/>
            <w:tcMar>
              <w:top w:w="15" w:type="dxa"/>
              <w:left w:w="0" w:type="dxa"/>
              <w:bottom w:w="0" w:type="dxa"/>
              <w:right w:w="15" w:type="dxa"/>
            </w:tcMar>
            <w:vAlign w:val="bottom"/>
            <w:hideMark/>
          </w:tcPr>
          <w:p w14:paraId="7A2070F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499ABEC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509676B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375640A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(8.5</w:t>
            </w:r>
          </w:p>
        </w:tc>
        <w:tc>
          <w:tcPr>
            <w:tcW w:w="190" w:type="dxa"/>
            <w:shd w:val="clear" w:color="auto" w:fill="CFF0FC"/>
            <w:noWrap/>
            <w:tcMar>
              <w:top w:w="15" w:type="dxa"/>
              <w:left w:w="0" w:type="dxa"/>
              <w:bottom w:w="0" w:type="dxa"/>
              <w:right w:w="15" w:type="dxa"/>
            </w:tcMar>
            <w:vAlign w:val="bottom"/>
            <w:hideMark/>
          </w:tcPr>
          <w:p w14:paraId="02FBE4A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14805A5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1B15F2B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340CB7F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(71.8</w:t>
            </w:r>
          </w:p>
        </w:tc>
        <w:tc>
          <w:tcPr>
            <w:tcW w:w="190" w:type="dxa"/>
            <w:shd w:val="clear" w:color="auto" w:fill="CFF0FC"/>
            <w:noWrap/>
            <w:tcMar>
              <w:top w:w="15" w:type="dxa"/>
              <w:left w:w="0" w:type="dxa"/>
              <w:bottom w:w="0" w:type="dxa"/>
              <w:right w:w="15" w:type="dxa"/>
            </w:tcMar>
            <w:vAlign w:val="bottom"/>
            <w:hideMark/>
          </w:tcPr>
          <w:p w14:paraId="66FB1B2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4A4DBAD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2306179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3BC2A50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(19.6</w:t>
            </w:r>
          </w:p>
        </w:tc>
        <w:tc>
          <w:tcPr>
            <w:tcW w:w="190" w:type="dxa"/>
            <w:shd w:val="clear" w:color="auto" w:fill="CFF0FC"/>
            <w:noWrap/>
            <w:tcMar>
              <w:top w:w="15" w:type="dxa"/>
              <w:left w:w="0" w:type="dxa"/>
              <w:bottom w:w="0" w:type="dxa"/>
              <w:right w:w="15" w:type="dxa"/>
            </w:tcMar>
            <w:vAlign w:val="bottom"/>
            <w:hideMark/>
          </w:tcPr>
          <w:p w14:paraId="35422D2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46CBE83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17979FA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734" w:type="dxa"/>
            <w:tcBorders>
              <w:top w:val="single" w:sz="6" w:space="0" w:color="000000"/>
            </w:tcBorders>
            <w:shd w:val="clear" w:color="auto" w:fill="CFF0FC"/>
            <w:noWrap/>
            <w:tcMar>
              <w:top w:w="15" w:type="dxa"/>
              <w:left w:w="0" w:type="dxa"/>
              <w:bottom w:w="0" w:type="dxa"/>
              <w:right w:w="15" w:type="dxa"/>
            </w:tcMar>
            <w:vAlign w:val="bottom"/>
            <w:hideMark/>
          </w:tcPr>
          <w:p w14:paraId="2ED3B8A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(570.1</w:t>
            </w:r>
          </w:p>
        </w:tc>
        <w:tc>
          <w:tcPr>
            <w:tcW w:w="190" w:type="dxa"/>
            <w:shd w:val="clear" w:color="auto" w:fill="CFF0FC"/>
            <w:noWrap/>
            <w:tcMar>
              <w:top w:w="15" w:type="dxa"/>
              <w:left w:w="0" w:type="dxa"/>
              <w:bottom w:w="0" w:type="dxa"/>
              <w:right w:w="15" w:type="dxa"/>
            </w:tcMar>
            <w:vAlign w:val="bottom"/>
            <w:hideMark/>
          </w:tcPr>
          <w:p w14:paraId="0B60D93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1D79929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5BFA21A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25EA836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(16.1</w:t>
            </w:r>
          </w:p>
        </w:tc>
        <w:tc>
          <w:tcPr>
            <w:tcW w:w="190" w:type="dxa"/>
            <w:shd w:val="clear" w:color="auto" w:fill="CFF0FC"/>
            <w:noWrap/>
            <w:tcMar>
              <w:top w:w="15" w:type="dxa"/>
              <w:left w:w="0" w:type="dxa"/>
              <w:bottom w:w="0" w:type="dxa"/>
              <w:right w:w="15" w:type="dxa"/>
            </w:tcMar>
            <w:vAlign w:val="bottom"/>
            <w:hideMark/>
          </w:tcPr>
          <w:p w14:paraId="30BFB79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45F23BD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78EFC01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734" w:type="dxa"/>
            <w:tcBorders>
              <w:top w:val="single" w:sz="6" w:space="0" w:color="000000"/>
            </w:tcBorders>
            <w:shd w:val="clear" w:color="auto" w:fill="CFF0FC"/>
            <w:noWrap/>
            <w:tcMar>
              <w:top w:w="15" w:type="dxa"/>
              <w:left w:w="0" w:type="dxa"/>
              <w:bottom w:w="0" w:type="dxa"/>
              <w:right w:w="15" w:type="dxa"/>
            </w:tcMar>
            <w:vAlign w:val="bottom"/>
            <w:hideMark/>
          </w:tcPr>
          <w:p w14:paraId="20A80EC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(396.5</w:t>
            </w:r>
          </w:p>
        </w:tc>
        <w:tc>
          <w:tcPr>
            <w:tcW w:w="190" w:type="dxa"/>
            <w:shd w:val="clear" w:color="auto" w:fill="CFF0FC"/>
            <w:noWrap/>
            <w:tcMar>
              <w:top w:w="15" w:type="dxa"/>
              <w:left w:w="0" w:type="dxa"/>
              <w:bottom w:w="0" w:type="dxa"/>
              <w:right w:w="15" w:type="dxa"/>
            </w:tcMar>
            <w:vAlign w:val="bottom"/>
            <w:hideMark/>
          </w:tcPr>
          <w:p w14:paraId="6A4C214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05A5FFC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4C5264B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0FEE77C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(12.9</w:t>
            </w:r>
          </w:p>
        </w:tc>
        <w:tc>
          <w:tcPr>
            <w:tcW w:w="190" w:type="dxa"/>
            <w:shd w:val="clear" w:color="auto" w:fill="CFF0FC"/>
            <w:noWrap/>
            <w:tcMar>
              <w:top w:w="15" w:type="dxa"/>
              <w:left w:w="0" w:type="dxa"/>
              <w:bottom w:w="0" w:type="dxa"/>
              <w:right w:w="15" w:type="dxa"/>
            </w:tcMar>
            <w:vAlign w:val="bottom"/>
            <w:hideMark/>
          </w:tcPr>
          <w:p w14:paraId="4A75E91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287B91A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278FE1B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710" w:type="dxa"/>
            <w:tcBorders>
              <w:top w:val="single" w:sz="6" w:space="0" w:color="000000"/>
            </w:tcBorders>
            <w:shd w:val="clear" w:color="auto" w:fill="CFF0FC"/>
            <w:noWrap/>
            <w:tcMar>
              <w:top w:w="15" w:type="dxa"/>
              <w:left w:w="0" w:type="dxa"/>
              <w:bottom w:w="0" w:type="dxa"/>
              <w:right w:w="15" w:type="dxa"/>
            </w:tcMar>
            <w:vAlign w:val="bottom"/>
            <w:hideMark/>
          </w:tcPr>
          <w:p w14:paraId="55D3748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(1,100.2</w:t>
            </w:r>
          </w:p>
        </w:tc>
        <w:tc>
          <w:tcPr>
            <w:tcW w:w="63" w:type="dxa"/>
            <w:shd w:val="clear" w:color="auto" w:fill="CFF0FC"/>
            <w:noWrap/>
            <w:tcMar>
              <w:top w:w="15" w:type="dxa"/>
              <w:left w:w="0" w:type="dxa"/>
              <w:bottom w:w="0" w:type="dxa"/>
              <w:right w:w="15" w:type="dxa"/>
            </w:tcMar>
            <w:vAlign w:val="bottom"/>
            <w:hideMark/>
          </w:tcPr>
          <w:p w14:paraId="2C2A8F0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3C7F3D38" w14:textId="77777777" w:rsidTr="00AC4931">
        <w:tc>
          <w:tcPr>
            <w:tcW w:w="4383" w:type="dxa"/>
            <w:shd w:val="clear" w:color="auto" w:fill="FFFFFF"/>
            <w:tcMar>
              <w:top w:w="15" w:type="dxa"/>
              <w:left w:w="0" w:type="dxa"/>
              <w:bottom w:w="0" w:type="dxa"/>
              <w:right w:w="15" w:type="dxa"/>
            </w:tcMar>
            <w:hideMark/>
          </w:tcPr>
          <w:p w14:paraId="69E7BE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Currency effects</w:t>
            </w:r>
            <w:r w:rsidRPr="00AC4931">
              <w:rPr>
                <w:rFonts w:ascii="Arial" w:eastAsia="宋体" w:hAnsi="Arial" w:cs="Arial"/>
                <w:color w:val="000000"/>
                <w:kern w:val="0"/>
                <w:sz w:val="18"/>
                <w:szCs w:val="18"/>
                <w:vertAlign w:val="superscript"/>
              </w:rPr>
              <w:t>2)</w:t>
            </w:r>
          </w:p>
        </w:tc>
        <w:tc>
          <w:tcPr>
            <w:tcW w:w="190" w:type="dxa"/>
            <w:shd w:val="clear" w:color="auto" w:fill="FFFFFF"/>
            <w:tcMar>
              <w:top w:w="15" w:type="dxa"/>
              <w:left w:w="0" w:type="dxa"/>
              <w:bottom w:w="0" w:type="dxa"/>
              <w:right w:w="15" w:type="dxa"/>
            </w:tcMar>
            <w:vAlign w:val="bottom"/>
            <w:hideMark/>
          </w:tcPr>
          <w:p w14:paraId="7A8731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2F7A07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2" w:type="dxa"/>
            <w:tcBorders>
              <w:bottom w:val="single" w:sz="6" w:space="0" w:color="000000"/>
            </w:tcBorders>
            <w:shd w:val="clear" w:color="auto" w:fill="FFFFFF"/>
            <w:noWrap/>
            <w:tcMar>
              <w:top w:w="15" w:type="dxa"/>
              <w:left w:w="0" w:type="dxa"/>
              <w:bottom w:w="0" w:type="dxa"/>
              <w:right w:w="15" w:type="dxa"/>
            </w:tcMar>
            <w:vAlign w:val="bottom"/>
            <w:hideMark/>
          </w:tcPr>
          <w:p w14:paraId="777B8EA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90" w:type="dxa"/>
            <w:shd w:val="clear" w:color="auto" w:fill="FFFFFF"/>
            <w:noWrap/>
            <w:tcMar>
              <w:top w:w="15" w:type="dxa"/>
              <w:left w:w="0" w:type="dxa"/>
              <w:bottom w:w="0" w:type="dxa"/>
              <w:right w:w="15" w:type="dxa"/>
            </w:tcMar>
            <w:vAlign w:val="bottom"/>
            <w:hideMark/>
          </w:tcPr>
          <w:p w14:paraId="5A1D77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378D0E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397E29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bottom w:val="single" w:sz="6" w:space="0" w:color="000000"/>
            </w:tcBorders>
            <w:shd w:val="clear" w:color="auto" w:fill="FFFFFF"/>
            <w:noWrap/>
            <w:tcMar>
              <w:top w:w="15" w:type="dxa"/>
              <w:left w:w="0" w:type="dxa"/>
              <w:bottom w:w="0" w:type="dxa"/>
              <w:right w:w="15" w:type="dxa"/>
            </w:tcMar>
            <w:vAlign w:val="bottom"/>
            <w:hideMark/>
          </w:tcPr>
          <w:p w14:paraId="37FC186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w:t>
            </w:r>
          </w:p>
        </w:tc>
        <w:tc>
          <w:tcPr>
            <w:tcW w:w="190" w:type="dxa"/>
            <w:shd w:val="clear" w:color="auto" w:fill="FFFFFF"/>
            <w:noWrap/>
            <w:tcMar>
              <w:top w:w="15" w:type="dxa"/>
              <w:left w:w="0" w:type="dxa"/>
              <w:bottom w:w="0" w:type="dxa"/>
              <w:right w:w="15" w:type="dxa"/>
            </w:tcMar>
            <w:vAlign w:val="bottom"/>
            <w:hideMark/>
          </w:tcPr>
          <w:p w14:paraId="5D41CD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407E91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52A913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bottom w:val="single" w:sz="6" w:space="0" w:color="000000"/>
            </w:tcBorders>
            <w:shd w:val="clear" w:color="auto" w:fill="FFFFFF"/>
            <w:noWrap/>
            <w:tcMar>
              <w:top w:w="15" w:type="dxa"/>
              <w:left w:w="0" w:type="dxa"/>
              <w:bottom w:w="0" w:type="dxa"/>
              <w:right w:w="15" w:type="dxa"/>
            </w:tcMar>
            <w:vAlign w:val="bottom"/>
            <w:hideMark/>
          </w:tcPr>
          <w:p w14:paraId="3B56CB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w:t>
            </w:r>
          </w:p>
        </w:tc>
        <w:tc>
          <w:tcPr>
            <w:tcW w:w="190" w:type="dxa"/>
            <w:shd w:val="clear" w:color="auto" w:fill="FFFFFF"/>
            <w:noWrap/>
            <w:tcMar>
              <w:top w:w="15" w:type="dxa"/>
              <w:left w:w="0" w:type="dxa"/>
              <w:bottom w:w="0" w:type="dxa"/>
              <w:right w:w="15" w:type="dxa"/>
            </w:tcMar>
            <w:vAlign w:val="bottom"/>
            <w:hideMark/>
          </w:tcPr>
          <w:p w14:paraId="0BBFC1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5671D2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67B02D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bottom w:val="single" w:sz="6" w:space="0" w:color="000000"/>
            </w:tcBorders>
            <w:shd w:val="clear" w:color="auto" w:fill="FFFFFF"/>
            <w:noWrap/>
            <w:tcMar>
              <w:top w:w="15" w:type="dxa"/>
              <w:left w:w="0" w:type="dxa"/>
              <w:bottom w:w="0" w:type="dxa"/>
              <w:right w:w="15" w:type="dxa"/>
            </w:tcMar>
            <w:vAlign w:val="bottom"/>
            <w:hideMark/>
          </w:tcPr>
          <w:p w14:paraId="6CC308F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16.1</w:t>
            </w:r>
          </w:p>
        </w:tc>
        <w:tc>
          <w:tcPr>
            <w:tcW w:w="190" w:type="dxa"/>
            <w:shd w:val="clear" w:color="auto" w:fill="FFFFFF"/>
            <w:noWrap/>
            <w:tcMar>
              <w:top w:w="15" w:type="dxa"/>
              <w:left w:w="0" w:type="dxa"/>
              <w:bottom w:w="0" w:type="dxa"/>
              <w:right w:w="15" w:type="dxa"/>
            </w:tcMar>
            <w:vAlign w:val="bottom"/>
            <w:hideMark/>
          </w:tcPr>
          <w:p w14:paraId="113BED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4307DF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200E46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bottom w:val="single" w:sz="6" w:space="0" w:color="000000"/>
            </w:tcBorders>
            <w:shd w:val="clear" w:color="auto" w:fill="FFFFFF"/>
            <w:noWrap/>
            <w:tcMar>
              <w:top w:w="15" w:type="dxa"/>
              <w:left w:w="0" w:type="dxa"/>
              <w:bottom w:w="0" w:type="dxa"/>
              <w:right w:w="15" w:type="dxa"/>
            </w:tcMar>
            <w:vAlign w:val="bottom"/>
            <w:hideMark/>
          </w:tcPr>
          <w:p w14:paraId="5EB9E2B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90" w:type="dxa"/>
            <w:shd w:val="clear" w:color="auto" w:fill="FFFFFF"/>
            <w:noWrap/>
            <w:tcMar>
              <w:top w:w="15" w:type="dxa"/>
              <w:left w:w="0" w:type="dxa"/>
              <w:bottom w:w="0" w:type="dxa"/>
              <w:right w:w="15" w:type="dxa"/>
            </w:tcMar>
            <w:vAlign w:val="bottom"/>
            <w:hideMark/>
          </w:tcPr>
          <w:p w14:paraId="1C3B63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FFFFFF"/>
            <w:tcMar>
              <w:top w:w="15" w:type="dxa"/>
              <w:left w:w="0" w:type="dxa"/>
              <w:bottom w:w="0" w:type="dxa"/>
              <w:right w:w="15" w:type="dxa"/>
            </w:tcMar>
            <w:vAlign w:val="bottom"/>
            <w:hideMark/>
          </w:tcPr>
          <w:p w14:paraId="2D5556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3DEB05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bottom w:val="single" w:sz="6" w:space="0" w:color="000000"/>
            </w:tcBorders>
            <w:shd w:val="clear" w:color="auto" w:fill="FFFFFF"/>
            <w:noWrap/>
            <w:tcMar>
              <w:top w:w="15" w:type="dxa"/>
              <w:left w:w="0" w:type="dxa"/>
              <w:bottom w:w="0" w:type="dxa"/>
              <w:right w:w="15" w:type="dxa"/>
            </w:tcMar>
            <w:vAlign w:val="bottom"/>
            <w:hideMark/>
          </w:tcPr>
          <w:p w14:paraId="7C33C4B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(17.2</w:t>
            </w:r>
          </w:p>
        </w:tc>
        <w:tc>
          <w:tcPr>
            <w:tcW w:w="190" w:type="dxa"/>
            <w:shd w:val="clear" w:color="auto" w:fill="FFFFFF"/>
            <w:noWrap/>
            <w:tcMar>
              <w:top w:w="15" w:type="dxa"/>
              <w:left w:w="0" w:type="dxa"/>
              <w:bottom w:w="0" w:type="dxa"/>
              <w:right w:w="15" w:type="dxa"/>
            </w:tcMar>
            <w:vAlign w:val="bottom"/>
            <w:hideMark/>
          </w:tcPr>
          <w:p w14:paraId="690E10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FFFFFF"/>
            <w:tcMar>
              <w:top w:w="15" w:type="dxa"/>
              <w:left w:w="0" w:type="dxa"/>
              <w:bottom w:w="0" w:type="dxa"/>
              <w:right w:w="15" w:type="dxa"/>
            </w:tcMar>
            <w:vAlign w:val="bottom"/>
            <w:hideMark/>
          </w:tcPr>
          <w:p w14:paraId="5B9404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587BD5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bottom w:val="single" w:sz="6" w:space="0" w:color="000000"/>
            </w:tcBorders>
            <w:shd w:val="clear" w:color="auto" w:fill="FFFFFF"/>
            <w:noWrap/>
            <w:tcMar>
              <w:top w:w="15" w:type="dxa"/>
              <w:left w:w="0" w:type="dxa"/>
              <w:bottom w:w="0" w:type="dxa"/>
              <w:right w:w="15" w:type="dxa"/>
            </w:tcMar>
            <w:vAlign w:val="bottom"/>
            <w:hideMark/>
          </w:tcPr>
          <w:p w14:paraId="21CC604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(3.3</w:t>
            </w:r>
          </w:p>
        </w:tc>
        <w:tc>
          <w:tcPr>
            <w:tcW w:w="190" w:type="dxa"/>
            <w:shd w:val="clear" w:color="auto" w:fill="FFFFFF"/>
            <w:noWrap/>
            <w:tcMar>
              <w:top w:w="15" w:type="dxa"/>
              <w:left w:w="0" w:type="dxa"/>
              <w:bottom w:w="0" w:type="dxa"/>
              <w:right w:w="15" w:type="dxa"/>
            </w:tcMar>
            <w:vAlign w:val="bottom"/>
            <w:hideMark/>
          </w:tcPr>
          <w:p w14:paraId="3896BE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FFFFFF"/>
            <w:tcMar>
              <w:top w:w="15" w:type="dxa"/>
              <w:left w:w="0" w:type="dxa"/>
              <w:bottom w:w="0" w:type="dxa"/>
              <w:right w:w="15" w:type="dxa"/>
            </w:tcMar>
            <w:vAlign w:val="bottom"/>
            <w:hideMark/>
          </w:tcPr>
          <w:p w14:paraId="0A179A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46877F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4" w:type="dxa"/>
            <w:tcBorders>
              <w:bottom w:val="single" w:sz="6" w:space="0" w:color="000000"/>
            </w:tcBorders>
            <w:shd w:val="clear" w:color="auto" w:fill="FFFFFF"/>
            <w:noWrap/>
            <w:tcMar>
              <w:top w:w="15" w:type="dxa"/>
              <w:left w:w="0" w:type="dxa"/>
              <w:bottom w:w="0" w:type="dxa"/>
              <w:right w:w="15" w:type="dxa"/>
            </w:tcMar>
            <w:vAlign w:val="bottom"/>
            <w:hideMark/>
          </w:tcPr>
          <w:p w14:paraId="573AB5F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(97.5</w:t>
            </w:r>
          </w:p>
        </w:tc>
        <w:tc>
          <w:tcPr>
            <w:tcW w:w="190" w:type="dxa"/>
            <w:shd w:val="clear" w:color="auto" w:fill="FFFFFF"/>
            <w:noWrap/>
            <w:tcMar>
              <w:top w:w="15" w:type="dxa"/>
              <w:left w:w="0" w:type="dxa"/>
              <w:bottom w:w="0" w:type="dxa"/>
              <w:right w:w="15" w:type="dxa"/>
            </w:tcMar>
            <w:vAlign w:val="bottom"/>
            <w:hideMark/>
          </w:tcPr>
          <w:p w14:paraId="0262B6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FFFFFF"/>
            <w:tcMar>
              <w:top w:w="15" w:type="dxa"/>
              <w:left w:w="0" w:type="dxa"/>
              <w:bottom w:w="0" w:type="dxa"/>
              <w:right w:w="15" w:type="dxa"/>
            </w:tcMar>
            <w:vAlign w:val="bottom"/>
            <w:hideMark/>
          </w:tcPr>
          <w:p w14:paraId="1FEF8A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438E54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bottom w:val="single" w:sz="6" w:space="0" w:color="000000"/>
            </w:tcBorders>
            <w:shd w:val="clear" w:color="auto" w:fill="FFFFFF"/>
            <w:noWrap/>
            <w:tcMar>
              <w:top w:w="15" w:type="dxa"/>
              <w:left w:w="0" w:type="dxa"/>
              <w:bottom w:w="0" w:type="dxa"/>
              <w:right w:w="15" w:type="dxa"/>
            </w:tcMar>
            <w:vAlign w:val="bottom"/>
            <w:hideMark/>
          </w:tcPr>
          <w:p w14:paraId="4657564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w:t>
            </w:r>
          </w:p>
        </w:tc>
        <w:tc>
          <w:tcPr>
            <w:tcW w:w="190" w:type="dxa"/>
            <w:shd w:val="clear" w:color="auto" w:fill="FFFFFF"/>
            <w:noWrap/>
            <w:tcMar>
              <w:top w:w="15" w:type="dxa"/>
              <w:left w:w="0" w:type="dxa"/>
              <w:bottom w:w="0" w:type="dxa"/>
              <w:right w:w="15" w:type="dxa"/>
            </w:tcMar>
            <w:vAlign w:val="bottom"/>
            <w:hideMark/>
          </w:tcPr>
          <w:p w14:paraId="1F9578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4430FB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263D33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4" w:type="dxa"/>
            <w:tcBorders>
              <w:bottom w:val="single" w:sz="6" w:space="0" w:color="000000"/>
            </w:tcBorders>
            <w:shd w:val="clear" w:color="auto" w:fill="FFFFFF"/>
            <w:noWrap/>
            <w:tcMar>
              <w:top w:w="15" w:type="dxa"/>
              <w:left w:w="0" w:type="dxa"/>
              <w:bottom w:w="0" w:type="dxa"/>
              <w:right w:w="15" w:type="dxa"/>
            </w:tcMar>
            <w:vAlign w:val="bottom"/>
            <w:hideMark/>
          </w:tcPr>
          <w:p w14:paraId="14EC7F4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23.1</w:t>
            </w:r>
          </w:p>
        </w:tc>
        <w:tc>
          <w:tcPr>
            <w:tcW w:w="190" w:type="dxa"/>
            <w:shd w:val="clear" w:color="auto" w:fill="FFFFFF"/>
            <w:noWrap/>
            <w:tcMar>
              <w:top w:w="15" w:type="dxa"/>
              <w:left w:w="0" w:type="dxa"/>
              <w:bottom w:w="0" w:type="dxa"/>
              <w:right w:w="15" w:type="dxa"/>
            </w:tcMar>
            <w:vAlign w:val="bottom"/>
            <w:hideMark/>
          </w:tcPr>
          <w:p w14:paraId="4FDB83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335E6A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481C70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bottom w:val="single" w:sz="6" w:space="0" w:color="000000"/>
            </w:tcBorders>
            <w:shd w:val="clear" w:color="auto" w:fill="FFFFFF"/>
            <w:noWrap/>
            <w:tcMar>
              <w:top w:w="15" w:type="dxa"/>
              <w:left w:w="0" w:type="dxa"/>
              <w:bottom w:w="0" w:type="dxa"/>
              <w:right w:w="15" w:type="dxa"/>
            </w:tcMar>
            <w:vAlign w:val="bottom"/>
            <w:hideMark/>
          </w:tcPr>
          <w:p w14:paraId="0603A0E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w:t>
            </w:r>
          </w:p>
        </w:tc>
        <w:tc>
          <w:tcPr>
            <w:tcW w:w="190" w:type="dxa"/>
            <w:shd w:val="clear" w:color="auto" w:fill="FFFFFF"/>
            <w:noWrap/>
            <w:tcMar>
              <w:top w:w="15" w:type="dxa"/>
              <w:left w:w="0" w:type="dxa"/>
              <w:bottom w:w="0" w:type="dxa"/>
              <w:right w:w="15" w:type="dxa"/>
            </w:tcMar>
            <w:vAlign w:val="bottom"/>
            <w:hideMark/>
          </w:tcPr>
          <w:p w14:paraId="544093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FFFFFF"/>
            <w:tcMar>
              <w:top w:w="15" w:type="dxa"/>
              <w:left w:w="0" w:type="dxa"/>
              <w:bottom w:w="0" w:type="dxa"/>
              <w:right w:w="15" w:type="dxa"/>
            </w:tcMar>
            <w:vAlign w:val="bottom"/>
            <w:hideMark/>
          </w:tcPr>
          <w:p w14:paraId="4C5E46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bottom w:val="single" w:sz="6" w:space="0" w:color="000000"/>
            </w:tcBorders>
            <w:shd w:val="clear" w:color="auto" w:fill="FFFFFF"/>
            <w:noWrap/>
            <w:tcMar>
              <w:top w:w="15" w:type="dxa"/>
              <w:left w:w="0" w:type="dxa"/>
              <w:bottom w:w="0" w:type="dxa"/>
              <w:right w:w="15" w:type="dxa"/>
            </w:tcMar>
            <w:vAlign w:val="bottom"/>
            <w:hideMark/>
          </w:tcPr>
          <w:p w14:paraId="57D31C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10" w:type="dxa"/>
            <w:tcBorders>
              <w:bottom w:val="single" w:sz="6" w:space="0" w:color="000000"/>
            </w:tcBorders>
            <w:shd w:val="clear" w:color="auto" w:fill="FFFFFF"/>
            <w:noWrap/>
            <w:tcMar>
              <w:top w:w="15" w:type="dxa"/>
              <w:left w:w="0" w:type="dxa"/>
              <w:bottom w:w="0" w:type="dxa"/>
              <w:right w:w="15" w:type="dxa"/>
            </w:tcMar>
            <w:vAlign w:val="bottom"/>
            <w:hideMark/>
          </w:tcPr>
          <w:p w14:paraId="5902F63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(74.5</w:t>
            </w:r>
          </w:p>
        </w:tc>
        <w:tc>
          <w:tcPr>
            <w:tcW w:w="63" w:type="dxa"/>
            <w:shd w:val="clear" w:color="auto" w:fill="FFFFFF"/>
            <w:noWrap/>
            <w:tcMar>
              <w:top w:w="15" w:type="dxa"/>
              <w:left w:w="0" w:type="dxa"/>
              <w:bottom w:w="0" w:type="dxa"/>
              <w:right w:w="15" w:type="dxa"/>
            </w:tcMar>
            <w:vAlign w:val="bottom"/>
            <w:hideMark/>
          </w:tcPr>
          <w:p w14:paraId="61ACC7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7F86F32" w14:textId="77777777" w:rsidTr="00AC4931">
        <w:tc>
          <w:tcPr>
            <w:tcW w:w="4383" w:type="dxa"/>
            <w:shd w:val="clear" w:color="auto" w:fill="CFF0FC"/>
            <w:tcMar>
              <w:top w:w="15" w:type="dxa"/>
              <w:left w:w="0" w:type="dxa"/>
              <w:bottom w:w="0" w:type="dxa"/>
              <w:right w:w="15" w:type="dxa"/>
            </w:tcMar>
            <w:hideMark/>
          </w:tcPr>
          <w:p w14:paraId="785C70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Organic change</w:t>
            </w:r>
          </w:p>
        </w:tc>
        <w:tc>
          <w:tcPr>
            <w:tcW w:w="190" w:type="dxa"/>
            <w:shd w:val="clear" w:color="auto" w:fill="CFF0FC"/>
            <w:tcMar>
              <w:top w:w="15" w:type="dxa"/>
              <w:left w:w="0" w:type="dxa"/>
              <w:bottom w:w="0" w:type="dxa"/>
              <w:right w:w="15" w:type="dxa"/>
            </w:tcMar>
            <w:vAlign w:val="bottom"/>
            <w:hideMark/>
          </w:tcPr>
          <w:p w14:paraId="0D64F6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756209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2" w:type="dxa"/>
            <w:tcBorders>
              <w:top w:val="single" w:sz="6" w:space="0" w:color="000000"/>
            </w:tcBorders>
            <w:shd w:val="clear" w:color="auto" w:fill="CFF0FC"/>
            <w:noWrap/>
            <w:tcMar>
              <w:top w:w="15" w:type="dxa"/>
              <w:left w:w="0" w:type="dxa"/>
              <w:bottom w:w="0" w:type="dxa"/>
              <w:right w:w="15" w:type="dxa"/>
            </w:tcMar>
            <w:vAlign w:val="bottom"/>
            <w:hideMark/>
          </w:tcPr>
          <w:p w14:paraId="4D15B1E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w:t>
            </w:r>
          </w:p>
        </w:tc>
        <w:tc>
          <w:tcPr>
            <w:tcW w:w="190" w:type="dxa"/>
            <w:shd w:val="clear" w:color="auto" w:fill="CFF0FC"/>
            <w:noWrap/>
            <w:tcMar>
              <w:top w:w="15" w:type="dxa"/>
              <w:left w:w="0" w:type="dxa"/>
              <w:bottom w:w="0" w:type="dxa"/>
              <w:right w:w="15" w:type="dxa"/>
            </w:tcMar>
            <w:vAlign w:val="bottom"/>
            <w:hideMark/>
          </w:tcPr>
          <w:p w14:paraId="5455D3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7B93B9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6D30B3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006A95C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14.6</w:t>
            </w:r>
          </w:p>
        </w:tc>
        <w:tc>
          <w:tcPr>
            <w:tcW w:w="190" w:type="dxa"/>
            <w:shd w:val="clear" w:color="auto" w:fill="CFF0FC"/>
            <w:noWrap/>
            <w:tcMar>
              <w:top w:w="15" w:type="dxa"/>
              <w:left w:w="0" w:type="dxa"/>
              <w:bottom w:w="0" w:type="dxa"/>
              <w:right w:w="15" w:type="dxa"/>
            </w:tcMar>
            <w:vAlign w:val="bottom"/>
            <w:hideMark/>
          </w:tcPr>
          <w:p w14:paraId="13FF91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4E7944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1D32B2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3D02D2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(11.5</w:t>
            </w:r>
          </w:p>
        </w:tc>
        <w:tc>
          <w:tcPr>
            <w:tcW w:w="190" w:type="dxa"/>
            <w:shd w:val="clear" w:color="auto" w:fill="CFF0FC"/>
            <w:noWrap/>
            <w:tcMar>
              <w:top w:w="15" w:type="dxa"/>
              <w:left w:w="0" w:type="dxa"/>
              <w:bottom w:w="0" w:type="dxa"/>
              <w:right w:w="15" w:type="dxa"/>
            </w:tcMar>
            <w:vAlign w:val="bottom"/>
            <w:hideMark/>
          </w:tcPr>
          <w:p w14:paraId="306536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35EEC9D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24C0F0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18E78F1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(93.5</w:t>
            </w:r>
          </w:p>
        </w:tc>
        <w:tc>
          <w:tcPr>
            <w:tcW w:w="190" w:type="dxa"/>
            <w:shd w:val="clear" w:color="auto" w:fill="CFF0FC"/>
            <w:noWrap/>
            <w:tcMar>
              <w:top w:w="15" w:type="dxa"/>
              <w:left w:w="0" w:type="dxa"/>
              <w:bottom w:w="0" w:type="dxa"/>
              <w:right w:w="15" w:type="dxa"/>
            </w:tcMar>
            <w:vAlign w:val="bottom"/>
            <w:hideMark/>
          </w:tcPr>
          <w:p w14:paraId="06681F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639D62A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27DF34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38E75E2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(6.5</w:t>
            </w:r>
          </w:p>
        </w:tc>
        <w:tc>
          <w:tcPr>
            <w:tcW w:w="190" w:type="dxa"/>
            <w:shd w:val="clear" w:color="auto" w:fill="CFF0FC"/>
            <w:noWrap/>
            <w:tcMar>
              <w:top w:w="15" w:type="dxa"/>
              <w:left w:w="0" w:type="dxa"/>
              <w:bottom w:w="0" w:type="dxa"/>
              <w:right w:w="15" w:type="dxa"/>
            </w:tcMar>
            <w:vAlign w:val="bottom"/>
            <w:hideMark/>
          </w:tcPr>
          <w:p w14:paraId="1F1487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71AA26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27A703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4D4EFF6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(54.6</w:t>
            </w:r>
          </w:p>
        </w:tc>
        <w:tc>
          <w:tcPr>
            <w:tcW w:w="190" w:type="dxa"/>
            <w:shd w:val="clear" w:color="auto" w:fill="CFF0FC"/>
            <w:noWrap/>
            <w:tcMar>
              <w:top w:w="15" w:type="dxa"/>
              <w:left w:w="0" w:type="dxa"/>
              <w:bottom w:w="0" w:type="dxa"/>
              <w:right w:w="15" w:type="dxa"/>
            </w:tcMar>
            <w:vAlign w:val="bottom"/>
            <w:hideMark/>
          </w:tcPr>
          <w:p w14:paraId="6AA8FD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701FF34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14C3FB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3D81088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(16.3</w:t>
            </w:r>
          </w:p>
        </w:tc>
        <w:tc>
          <w:tcPr>
            <w:tcW w:w="190" w:type="dxa"/>
            <w:shd w:val="clear" w:color="auto" w:fill="CFF0FC"/>
            <w:noWrap/>
            <w:tcMar>
              <w:top w:w="15" w:type="dxa"/>
              <w:left w:w="0" w:type="dxa"/>
              <w:bottom w:w="0" w:type="dxa"/>
              <w:right w:w="15" w:type="dxa"/>
            </w:tcMar>
            <w:vAlign w:val="bottom"/>
            <w:hideMark/>
          </w:tcPr>
          <w:p w14:paraId="1A3172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75FA911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289E1E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4" w:type="dxa"/>
            <w:tcBorders>
              <w:top w:val="single" w:sz="6" w:space="0" w:color="000000"/>
            </w:tcBorders>
            <w:shd w:val="clear" w:color="auto" w:fill="CFF0FC"/>
            <w:noWrap/>
            <w:tcMar>
              <w:top w:w="15" w:type="dxa"/>
              <w:left w:w="0" w:type="dxa"/>
              <w:bottom w:w="0" w:type="dxa"/>
              <w:right w:w="15" w:type="dxa"/>
            </w:tcMar>
            <w:vAlign w:val="bottom"/>
            <w:hideMark/>
          </w:tcPr>
          <w:p w14:paraId="5517A9C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(472.6</w:t>
            </w:r>
          </w:p>
        </w:tc>
        <w:tc>
          <w:tcPr>
            <w:tcW w:w="190" w:type="dxa"/>
            <w:shd w:val="clear" w:color="auto" w:fill="CFF0FC"/>
            <w:noWrap/>
            <w:tcMar>
              <w:top w:w="15" w:type="dxa"/>
              <w:left w:w="0" w:type="dxa"/>
              <w:bottom w:w="0" w:type="dxa"/>
              <w:right w:w="15" w:type="dxa"/>
            </w:tcMar>
            <w:vAlign w:val="bottom"/>
            <w:hideMark/>
          </w:tcPr>
          <w:p w14:paraId="07D7FC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03FB94A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65818C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35F2247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(17.0</w:t>
            </w:r>
          </w:p>
        </w:tc>
        <w:tc>
          <w:tcPr>
            <w:tcW w:w="190" w:type="dxa"/>
            <w:shd w:val="clear" w:color="auto" w:fill="CFF0FC"/>
            <w:noWrap/>
            <w:tcMar>
              <w:top w:w="15" w:type="dxa"/>
              <w:left w:w="0" w:type="dxa"/>
              <w:bottom w:w="0" w:type="dxa"/>
              <w:right w:w="15" w:type="dxa"/>
            </w:tcMar>
            <w:vAlign w:val="bottom"/>
            <w:hideMark/>
          </w:tcPr>
          <w:p w14:paraId="256D1B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65CE9B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42435A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4" w:type="dxa"/>
            <w:tcBorders>
              <w:top w:val="single" w:sz="6" w:space="0" w:color="000000"/>
            </w:tcBorders>
            <w:shd w:val="clear" w:color="auto" w:fill="CFF0FC"/>
            <w:noWrap/>
            <w:tcMar>
              <w:top w:w="15" w:type="dxa"/>
              <w:left w:w="0" w:type="dxa"/>
              <w:bottom w:w="0" w:type="dxa"/>
              <w:right w:w="15" w:type="dxa"/>
            </w:tcMar>
            <w:vAlign w:val="bottom"/>
            <w:hideMark/>
          </w:tcPr>
          <w:p w14:paraId="2CE6862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(419.6</w:t>
            </w:r>
          </w:p>
        </w:tc>
        <w:tc>
          <w:tcPr>
            <w:tcW w:w="190" w:type="dxa"/>
            <w:shd w:val="clear" w:color="auto" w:fill="CFF0FC"/>
            <w:noWrap/>
            <w:tcMar>
              <w:top w:w="15" w:type="dxa"/>
              <w:left w:w="0" w:type="dxa"/>
              <w:bottom w:w="0" w:type="dxa"/>
              <w:right w:w="15" w:type="dxa"/>
            </w:tcMar>
            <w:vAlign w:val="bottom"/>
            <w:hideMark/>
          </w:tcPr>
          <w:p w14:paraId="22B637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43792A9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1A639C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33" w:type="dxa"/>
            <w:tcBorders>
              <w:top w:val="single" w:sz="6" w:space="0" w:color="000000"/>
            </w:tcBorders>
            <w:shd w:val="clear" w:color="auto" w:fill="CFF0FC"/>
            <w:noWrap/>
            <w:tcMar>
              <w:top w:w="15" w:type="dxa"/>
              <w:left w:w="0" w:type="dxa"/>
              <w:bottom w:w="0" w:type="dxa"/>
              <w:right w:w="15" w:type="dxa"/>
            </w:tcMar>
            <w:vAlign w:val="bottom"/>
            <w:hideMark/>
          </w:tcPr>
          <w:p w14:paraId="7A6862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(12.0</w:t>
            </w:r>
          </w:p>
        </w:tc>
        <w:tc>
          <w:tcPr>
            <w:tcW w:w="190" w:type="dxa"/>
            <w:shd w:val="clear" w:color="auto" w:fill="CFF0FC"/>
            <w:noWrap/>
            <w:tcMar>
              <w:top w:w="15" w:type="dxa"/>
              <w:left w:w="0" w:type="dxa"/>
              <w:bottom w:w="0" w:type="dxa"/>
              <w:right w:w="15" w:type="dxa"/>
            </w:tcMar>
            <w:vAlign w:val="bottom"/>
            <w:hideMark/>
          </w:tcPr>
          <w:p w14:paraId="119B30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0" w:type="dxa"/>
            <w:shd w:val="clear" w:color="auto" w:fill="CFF0FC"/>
            <w:tcMar>
              <w:top w:w="15" w:type="dxa"/>
              <w:left w:w="0" w:type="dxa"/>
              <w:bottom w:w="0" w:type="dxa"/>
              <w:right w:w="15" w:type="dxa"/>
            </w:tcMar>
            <w:vAlign w:val="bottom"/>
            <w:hideMark/>
          </w:tcPr>
          <w:p w14:paraId="0994B30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28A4C4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710" w:type="dxa"/>
            <w:tcBorders>
              <w:top w:val="single" w:sz="6" w:space="0" w:color="000000"/>
            </w:tcBorders>
            <w:shd w:val="clear" w:color="auto" w:fill="CFF0FC"/>
            <w:noWrap/>
            <w:tcMar>
              <w:top w:w="15" w:type="dxa"/>
              <w:left w:w="0" w:type="dxa"/>
              <w:bottom w:w="0" w:type="dxa"/>
              <w:right w:w="15" w:type="dxa"/>
            </w:tcMar>
            <w:vAlign w:val="bottom"/>
            <w:hideMark/>
          </w:tcPr>
          <w:p w14:paraId="5409814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(1,025.7</w:t>
            </w:r>
          </w:p>
        </w:tc>
        <w:tc>
          <w:tcPr>
            <w:tcW w:w="63" w:type="dxa"/>
            <w:shd w:val="clear" w:color="auto" w:fill="CFF0FC"/>
            <w:noWrap/>
            <w:tcMar>
              <w:top w:w="15" w:type="dxa"/>
              <w:left w:w="0" w:type="dxa"/>
              <w:bottom w:w="0" w:type="dxa"/>
              <w:right w:w="15" w:type="dxa"/>
            </w:tcMar>
            <w:vAlign w:val="bottom"/>
            <w:hideMark/>
          </w:tcPr>
          <w:p w14:paraId="0BB132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bl>
    <w:p w14:paraId="00CEAC22"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13AE3519" w14:textId="77777777" w:rsidR="00AC4931" w:rsidRPr="00AC4931" w:rsidRDefault="00AC4931" w:rsidP="00AC4931">
      <w:pPr>
        <w:widowControl/>
        <w:rPr>
          <w:rFonts w:ascii="微软雅黑" w:eastAsia="微软雅黑" w:hAnsi="微软雅黑" w:cs="宋体" w:hint="eastAsia"/>
          <w:color w:val="000000"/>
          <w:kern w:val="0"/>
          <w:sz w:val="12"/>
          <w:szCs w:val="12"/>
        </w:rPr>
      </w:pPr>
      <w:r w:rsidRPr="00AC4931">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4DA12C32" w14:textId="77777777" w:rsidTr="00AC4931">
        <w:tc>
          <w:tcPr>
            <w:tcW w:w="919" w:type="dxa"/>
            <w:noWrap/>
            <w:hideMark/>
          </w:tcPr>
          <w:p w14:paraId="1D37C206"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7F1B1929"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Rest of Asia.</w:t>
            </w:r>
          </w:p>
        </w:tc>
      </w:tr>
      <w:tr w:rsidR="00AC4931" w:rsidRPr="00AC4931" w14:paraId="71A8FD6B" w14:textId="77777777" w:rsidTr="00AC4931">
        <w:tc>
          <w:tcPr>
            <w:tcW w:w="919" w:type="dxa"/>
            <w:noWrap/>
            <w:hideMark/>
          </w:tcPr>
          <w:p w14:paraId="3B296AC8"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w:t>
            </w:r>
          </w:p>
        </w:tc>
        <w:tc>
          <w:tcPr>
            <w:tcW w:w="0" w:type="auto"/>
            <w:hideMark/>
          </w:tcPr>
          <w:p w14:paraId="3EF254B8"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Effects from currency translations.</w:t>
            </w:r>
          </w:p>
        </w:tc>
      </w:tr>
    </w:tbl>
    <w:p w14:paraId="7B0EE542"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57E0AB1" w14:textId="77777777" w:rsidR="00AC4931" w:rsidRPr="00AC4931" w:rsidRDefault="00AC4931" w:rsidP="00AC4931">
      <w:pPr>
        <w:widowControl/>
        <w:rPr>
          <w:rFonts w:ascii="微软雅黑" w:eastAsia="微软雅黑" w:hAnsi="微软雅黑" w:cs="宋体" w:hint="eastAsia"/>
          <w:color w:val="000000"/>
          <w:kern w:val="0"/>
          <w:sz w:val="16"/>
          <w:szCs w:val="16"/>
        </w:rPr>
      </w:pPr>
      <w:r w:rsidRPr="00AC4931">
        <w:rPr>
          <w:rFonts w:ascii="微软雅黑" w:eastAsia="微软雅黑" w:hAnsi="微软雅黑" w:cs="宋体" w:hint="eastAsia"/>
          <w:color w:val="000000"/>
          <w:kern w:val="0"/>
          <w:sz w:val="16"/>
          <w:szCs w:val="16"/>
        </w:rPr>
        <w:t> </w:t>
      </w:r>
    </w:p>
    <w:p w14:paraId="4F6CE990" w14:textId="77777777" w:rsidR="00AC4931" w:rsidRPr="00AC4931" w:rsidRDefault="00AC4931" w:rsidP="00AC4931">
      <w:pPr>
        <w:widowControl/>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RECONCILIATION OF U.S. GAAP MEASURE TO “OPERATING WORKING CAPITAL” (DOLLARS IN MILLIONS)</w:t>
      </w:r>
    </w:p>
    <w:p w14:paraId="20491B2C"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5297"/>
        <w:gridCol w:w="353"/>
        <w:gridCol w:w="200"/>
        <w:gridCol w:w="1905"/>
        <w:gridCol w:w="200"/>
        <w:gridCol w:w="353"/>
        <w:gridCol w:w="200"/>
        <w:gridCol w:w="1905"/>
        <w:gridCol w:w="201"/>
      </w:tblGrid>
      <w:tr w:rsidR="00AC4931" w:rsidRPr="00AC4931" w14:paraId="748BC451" w14:textId="77777777" w:rsidTr="00AC4931">
        <w:tc>
          <w:tcPr>
            <w:tcW w:w="15245" w:type="dxa"/>
            <w:shd w:val="clear" w:color="auto" w:fill="FFFFFF"/>
            <w:tcMar>
              <w:top w:w="15" w:type="dxa"/>
              <w:left w:w="0" w:type="dxa"/>
              <w:bottom w:w="0" w:type="dxa"/>
              <w:right w:w="15" w:type="dxa"/>
            </w:tcMar>
            <w:vAlign w:val="bottom"/>
            <w:hideMark/>
          </w:tcPr>
          <w:p w14:paraId="2FA42301" w14:textId="77777777" w:rsidR="00AC4931" w:rsidRPr="00AC4931" w:rsidRDefault="00AC4931" w:rsidP="00AC4931">
            <w:pPr>
              <w:widowControl/>
              <w:jc w:val="left"/>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u w:val="single"/>
              </w:rPr>
              <w:t>DECEMBER 31</w:t>
            </w:r>
          </w:p>
        </w:tc>
        <w:tc>
          <w:tcPr>
            <w:tcW w:w="352" w:type="dxa"/>
            <w:shd w:val="clear" w:color="auto" w:fill="FFFFFF"/>
            <w:tcMar>
              <w:top w:w="15" w:type="dxa"/>
              <w:left w:w="0" w:type="dxa"/>
              <w:bottom w:w="0" w:type="dxa"/>
              <w:right w:w="15" w:type="dxa"/>
            </w:tcMar>
            <w:vAlign w:val="bottom"/>
            <w:hideMark/>
          </w:tcPr>
          <w:p w14:paraId="46DFA3C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9" w:type="dxa"/>
            <w:gridSpan w:val="2"/>
            <w:tcBorders>
              <w:bottom w:val="single" w:sz="6" w:space="0" w:color="000000"/>
            </w:tcBorders>
            <w:shd w:val="clear" w:color="auto" w:fill="FFFFFF"/>
            <w:tcMar>
              <w:top w:w="15" w:type="dxa"/>
              <w:left w:w="0" w:type="dxa"/>
              <w:bottom w:w="0" w:type="dxa"/>
              <w:right w:w="15" w:type="dxa"/>
            </w:tcMar>
            <w:vAlign w:val="bottom"/>
            <w:hideMark/>
          </w:tcPr>
          <w:p w14:paraId="0C9B991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484BA70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52" w:type="dxa"/>
            <w:shd w:val="clear" w:color="auto" w:fill="FFFFFF"/>
            <w:tcMar>
              <w:top w:w="15" w:type="dxa"/>
              <w:left w:w="0" w:type="dxa"/>
              <w:bottom w:w="0" w:type="dxa"/>
              <w:right w:w="15" w:type="dxa"/>
            </w:tcMar>
            <w:vAlign w:val="bottom"/>
            <w:hideMark/>
          </w:tcPr>
          <w:p w14:paraId="19534B1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9" w:type="dxa"/>
            <w:gridSpan w:val="2"/>
            <w:tcBorders>
              <w:bottom w:val="single" w:sz="6" w:space="0" w:color="000000"/>
            </w:tcBorders>
            <w:shd w:val="clear" w:color="auto" w:fill="FFFFFF"/>
            <w:tcMar>
              <w:top w:w="15" w:type="dxa"/>
              <w:left w:w="0" w:type="dxa"/>
              <w:bottom w:w="0" w:type="dxa"/>
              <w:right w:w="15" w:type="dxa"/>
            </w:tcMar>
            <w:vAlign w:val="bottom"/>
            <w:hideMark/>
          </w:tcPr>
          <w:p w14:paraId="2B74E79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2" w:type="dxa"/>
            <w:shd w:val="clear" w:color="auto" w:fill="FFFFFF"/>
            <w:noWrap/>
            <w:tcMar>
              <w:top w:w="15" w:type="dxa"/>
              <w:left w:w="0" w:type="dxa"/>
              <w:bottom w:w="0" w:type="dxa"/>
              <w:right w:w="15" w:type="dxa"/>
            </w:tcMar>
            <w:vAlign w:val="bottom"/>
            <w:hideMark/>
          </w:tcPr>
          <w:p w14:paraId="3EE50F6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069E797" w14:textId="77777777" w:rsidTr="00AC4931">
        <w:tc>
          <w:tcPr>
            <w:tcW w:w="15245" w:type="dxa"/>
            <w:shd w:val="clear" w:color="auto" w:fill="CFF0FC"/>
            <w:tcMar>
              <w:top w:w="15" w:type="dxa"/>
              <w:left w:w="0" w:type="dxa"/>
              <w:bottom w:w="0" w:type="dxa"/>
              <w:right w:w="15" w:type="dxa"/>
            </w:tcMar>
            <w:hideMark/>
          </w:tcPr>
          <w:p w14:paraId="30F74D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Total current assets</w:t>
            </w:r>
          </w:p>
        </w:tc>
        <w:tc>
          <w:tcPr>
            <w:tcW w:w="352" w:type="dxa"/>
            <w:shd w:val="clear" w:color="auto" w:fill="CFF0FC"/>
            <w:tcMar>
              <w:top w:w="15" w:type="dxa"/>
              <w:left w:w="0" w:type="dxa"/>
              <w:bottom w:w="0" w:type="dxa"/>
              <w:right w:w="15" w:type="dxa"/>
            </w:tcMar>
            <w:vAlign w:val="bottom"/>
            <w:hideMark/>
          </w:tcPr>
          <w:p w14:paraId="1A685E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100A9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83" w:type="dxa"/>
            <w:tcBorders>
              <w:top w:val="single" w:sz="6" w:space="0" w:color="000000"/>
            </w:tcBorders>
            <w:shd w:val="clear" w:color="auto" w:fill="CFF0FC"/>
            <w:noWrap/>
            <w:tcMar>
              <w:top w:w="15" w:type="dxa"/>
              <w:left w:w="0" w:type="dxa"/>
              <w:bottom w:w="0" w:type="dxa"/>
              <w:right w:w="15" w:type="dxa"/>
            </w:tcMar>
            <w:vAlign w:val="bottom"/>
            <w:hideMark/>
          </w:tcPr>
          <w:p w14:paraId="017F287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4,269.0</w:t>
            </w:r>
          </w:p>
        </w:tc>
        <w:tc>
          <w:tcPr>
            <w:tcW w:w="191" w:type="dxa"/>
            <w:shd w:val="clear" w:color="auto" w:fill="CFF0FC"/>
            <w:noWrap/>
            <w:tcMar>
              <w:top w:w="15" w:type="dxa"/>
              <w:left w:w="0" w:type="dxa"/>
              <w:bottom w:w="0" w:type="dxa"/>
              <w:right w:w="15" w:type="dxa"/>
            </w:tcMar>
            <w:vAlign w:val="bottom"/>
            <w:hideMark/>
          </w:tcPr>
          <w:p w14:paraId="064034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2" w:type="dxa"/>
            <w:shd w:val="clear" w:color="auto" w:fill="CFF0FC"/>
            <w:tcMar>
              <w:top w:w="15" w:type="dxa"/>
              <w:left w:w="0" w:type="dxa"/>
              <w:bottom w:w="0" w:type="dxa"/>
              <w:right w:w="15" w:type="dxa"/>
            </w:tcMar>
            <w:vAlign w:val="bottom"/>
            <w:hideMark/>
          </w:tcPr>
          <w:p w14:paraId="683A22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95C20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83" w:type="dxa"/>
            <w:tcBorders>
              <w:top w:val="single" w:sz="6" w:space="0" w:color="000000"/>
            </w:tcBorders>
            <w:shd w:val="clear" w:color="auto" w:fill="CFF0FC"/>
            <w:noWrap/>
            <w:tcMar>
              <w:top w:w="15" w:type="dxa"/>
              <w:left w:w="0" w:type="dxa"/>
              <w:bottom w:w="0" w:type="dxa"/>
              <w:right w:w="15" w:type="dxa"/>
            </w:tcMar>
            <w:vAlign w:val="bottom"/>
            <w:hideMark/>
          </w:tcPr>
          <w:p w14:paraId="7E5E573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3,002.1</w:t>
            </w:r>
          </w:p>
        </w:tc>
        <w:tc>
          <w:tcPr>
            <w:tcW w:w="192" w:type="dxa"/>
            <w:shd w:val="clear" w:color="auto" w:fill="CFF0FC"/>
            <w:noWrap/>
            <w:tcMar>
              <w:top w:w="15" w:type="dxa"/>
              <w:left w:w="0" w:type="dxa"/>
              <w:bottom w:w="0" w:type="dxa"/>
              <w:right w:w="15" w:type="dxa"/>
            </w:tcMar>
            <w:vAlign w:val="bottom"/>
            <w:hideMark/>
          </w:tcPr>
          <w:p w14:paraId="04461A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2E3DABC" w14:textId="77777777" w:rsidTr="00AC4931">
        <w:tc>
          <w:tcPr>
            <w:tcW w:w="15245" w:type="dxa"/>
            <w:shd w:val="clear" w:color="auto" w:fill="FFFFFF"/>
            <w:tcMar>
              <w:top w:w="15" w:type="dxa"/>
              <w:left w:w="0" w:type="dxa"/>
              <w:bottom w:w="0" w:type="dxa"/>
              <w:right w:w="15" w:type="dxa"/>
            </w:tcMar>
            <w:hideMark/>
          </w:tcPr>
          <w:p w14:paraId="49E633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Total current liabilities</w:t>
            </w:r>
          </w:p>
        </w:tc>
        <w:tc>
          <w:tcPr>
            <w:tcW w:w="352" w:type="dxa"/>
            <w:shd w:val="clear" w:color="auto" w:fill="FFFFFF"/>
            <w:tcMar>
              <w:top w:w="15" w:type="dxa"/>
              <w:left w:w="0" w:type="dxa"/>
              <w:bottom w:w="0" w:type="dxa"/>
              <w:right w:w="15" w:type="dxa"/>
            </w:tcMar>
            <w:vAlign w:val="bottom"/>
            <w:hideMark/>
          </w:tcPr>
          <w:p w14:paraId="1F49A6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7806F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83" w:type="dxa"/>
            <w:tcBorders>
              <w:bottom w:val="single" w:sz="6" w:space="0" w:color="000000"/>
            </w:tcBorders>
            <w:shd w:val="clear" w:color="auto" w:fill="FFFFFF"/>
            <w:noWrap/>
            <w:tcMar>
              <w:top w:w="15" w:type="dxa"/>
              <w:left w:w="0" w:type="dxa"/>
              <w:bottom w:w="0" w:type="dxa"/>
              <w:right w:w="15" w:type="dxa"/>
            </w:tcMar>
            <w:vAlign w:val="bottom"/>
            <w:hideMark/>
          </w:tcPr>
          <w:p w14:paraId="45376F9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(3,146.9</w:t>
            </w:r>
          </w:p>
        </w:tc>
        <w:tc>
          <w:tcPr>
            <w:tcW w:w="191" w:type="dxa"/>
            <w:shd w:val="clear" w:color="auto" w:fill="FFFFFF"/>
            <w:noWrap/>
            <w:tcMar>
              <w:top w:w="15" w:type="dxa"/>
              <w:left w:w="0" w:type="dxa"/>
              <w:bottom w:w="0" w:type="dxa"/>
              <w:right w:w="15" w:type="dxa"/>
            </w:tcMar>
            <w:vAlign w:val="bottom"/>
            <w:hideMark/>
          </w:tcPr>
          <w:p w14:paraId="7AC1C3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52" w:type="dxa"/>
            <w:shd w:val="clear" w:color="auto" w:fill="FFFFFF"/>
            <w:tcMar>
              <w:top w:w="15" w:type="dxa"/>
              <w:left w:w="0" w:type="dxa"/>
              <w:bottom w:w="0" w:type="dxa"/>
              <w:right w:w="15" w:type="dxa"/>
            </w:tcMar>
            <w:vAlign w:val="bottom"/>
            <w:hideMark/>
          </w:tcPr>
          <w:p w14:paraId="767CEE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1E06E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83" w:type="dxa"/>
            <w:tcBorders>
              <w:bottom w:val="single" w:sz="6" w:space="0" w:color="000000"/>
            </w:tcBorders>
            <w:shd w:val="clear" w:color="auto" w:fill="FFFFFF"/>
            <w:noWrap/>
            <w:tcMar>
              <w:top w:w="15" w:type="dxa"/>
              <w:left w:w="0" w:type="dxa"/>
              <w:bottom w:w="0" w:type="dxa"/>
              <w:right w:w="15" w:type="dxa"/>
            </w:tcMar>
            <w:vAlign w:val="bottom"/>
            <w:hideMark/>
          </w:tcPr>
          <w:p w14:paraId="0A05B9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(2,410.2</w:t>
            </w:r>
          </w:p>
        </w:tc>
        <w:tc>
          <w:tcPr>
            <w:tcW w:w="192" w:type="dxa"/>
            <w:shd w:val="clear" w:color="auto" w:fill="FFFFFF"/>
            <w:noWrap/>
            <w:tcMar>
              <w:top w:w="15" w:type="dxa"/>
              <w:left w:w="0" w:type="dxa"/>
              <w:bottom w:w="0" w:type="dxa"/>
              <w:right w:w="15" w:type="dxa"/>
            </w:tcMar>
            <w:vAlign w:val="bottom"/>
            <w:hideMark/>
          </w:tcPr>
          <w:p w14:paraId="18B215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1C96FBB" w14:textId="77777777" w:rsidTr="00AC4931">
        <w:tc>
          <w:tcPr>
            <w:tcW w:w="15245" w:type="dxa"/>
            <w:shd w:val="clear" w:color="auto" w:fill="CFF0FC"/>
            <w:tcMar>
              <w:top w:w="15" w:type="dxa"/>
              <w:left w:w="0" w:type="dxa"/>
              <w:bottom w:w="0" w:type="dxa"/>
              <w:right w:w="15" w:type="dxa"/>
            </w:tcMar>
            <w:hideMark/>
          </w:tcPr>
          <w:p w14:paraId="7A4B214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Working capital</w:t>
            </w:r>
          </w:p>
        </w:tc>
        <w:tc>
          <w:tcPr>
            <w:tcW w:w="352" w:type="dxa"/>
            <w:shd w:val="clear" w:color="auto" w:fill="CFF0FC"/>
            <w:tcMar>
              <w:top w:w="15" w:type="dxa"/>
              <w:left w:w="0" w:type="dxa"/>
              <w:bottom w:w="0" w:type="dxa"/>
              <w:right w:w="15" w:type="dxa"/>
            </w:tcMar>
            <w:vAlign w:val="bottom"/>
            <w:hideMark/>
          </w:tcPr>
          <w:p w14:paraId="2F48AF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28E65B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83" w:type="dxa"/>
            <w:tcBorders>
              <w:top w:val="single" w:sz="6" w:space="0" w:color="000000"/>
            </w:tcBorders>
            <w:shd w:val="clear" w:color="auto" w:fill="CFF0FC"/>
            <w:noWrap/>
            <w:tcMar>
              <w:top w:w="15" w:type="dxa"/>
              <w:left w:w="0" w:type="dxa"/>
              <w:bottom w:w="0" w:type="dxa"/>
              <w:right w:w="15" w:type="dxa"/>
            </w:tcMar>
            <w:vAlign w:val="bottom"/>
            <w:hideMark/>
          </w:tcPr>
          <w:p w14:paraId="7BE096B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1,122.1</w:t>
            </w:r>
          </w:p>
        </w:tc>
        <w:tc>
          <w:tcPr>
            <w:tcW w:w="191" w:type="dxa"/>
            <w:shd w:val="clear" w:color="auto" w:fill="CFF0FC"/>
            <w:noWrap/>
            <w:tcMar>
              <w:top w:w="15" w:type="dxa"/>
              <w:left w:w="0" w:type="dxa"/>
              <w:bottom w:w="0" w:type="dxa"/>
              <w:right w:w="15" w:type="dxa"/>
            </w:tcMar>
            <w:vAlign w:val="bottom"/>
            <w:hideMark/>
          </w:tcPr>
          <w:p w14:paraId="72039D2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52" w:type="dxa"/>
            <w:shd w:val="clear" w:color="auto" w:fill="CFF0FC"/>
            <w:tcMar>
              <w:top w:w="15" w:type="dxa"/>
              <w:left w:w="0" w:type="dxa"/>
              <w:bottom w:w="0" w:type="dxa"/>
              <w:right w:w="15" w:type="dxa"/>
            </w:tcMar>
            <w:vAlign w:val="bottom"/>
            <w:hideMark/>
          </w:tcPr>
          <w:p w14:paraId="0FB119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8232AC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83" w:type="dxa"/>
            <w:tcBorders>
              <w:top w:val="single" w:sz="6" w:space="0" w:color="000000"/>
            </w:tcBorders>
            <w:shd w:val="clear" w:color="auto" w:fill="CFF0FC"/>
            <w:noWrap/>
            <w:tcMar>
              <w:top w:w="15" w:type="dxa"/>
              <w:left w:w="0" w:type="dxa"/>
              <w:bottom w:w="0" w:type="dxa"/>
              <w:right w:w="15" w:type="dxa"/>
            </w:tcMar>
            <w:vAlign w:val="bottom"/>
            <w:hideMark/>
          </w:tcPr>
          <w:p w14:paraId="182D15C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591.9</w:t>
            </w:r>
          </w:p>
        </w:tc>
        <w:tc>
          <w:tcPr>
            <w:tcW w:w="192" w:type="dxa"/>
            <w:shd w:val="clear" w:color="auto" w:fill="CFF0FC"/>
            <w:noWrap/>
            <w:tcMar>
              <w:top w:w="15" w:type="dxa"/>
              <w:left w:w="0" w:type="dxa"/>
              <w:bottom w:w="0" w:type="dxa"/>
              <w:right w:w="15" w:type="dxa"/>
            </w:tcMar>
            <w:vAlign w:val="bottom"/>
            <w:hideMark/>
          </w:tcPr>
          <w:p w14:paraId="14A8FB9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77D4C613" w14:textId="77777777" w:rsidTr="00AC4931">
        <w:tc>
          <w:tcPr>
            <w:tcW w:w="15245" w:type="dxa"/>
            <w:shd w:val="clear" w:color="auto" w:fill="FFFFFF"/>
            <w:tcMar>
              <w:top w:w="15" w:type="dxa"/>
              <w:left w:w="0" w:type="dxa"/>
              <w:bottom w:w="0" w:type="dxa"/>
              <w:right w:w="15" w:type="dxa"/>
            </w:tcMar>
            <w:hideMark/>
          </w:tcPr>
          <w:p w14:paraId="17D02D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Cash and cash equivalents</w:t>
            </w:r>
          </w:p>
        </w:tc>
        <w:tc>
          <w:tcPr>
            <w:tcW w:w="352" w:type="dxa"/>
            <w:shd w:val="clear" w:color="auto" w:fill="FFFFFF"/>
            <w:tcMar>
              <w:top w:w="15" w:type="dxa"/>
              <w:left w:w="0" w:type="dxa"/>
              <w:bottom w:w="0" w:type="dxa"/>
              <w:right w:w="15" w:type="dxa"/>
            </w:tcMar>
            <w:vAlign w:val="bottom"/>
            <w:hideMark/>
          </w:tcPr>
          <w:p w14:paraId="286F70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641A3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83" w:type="dxa"/>
            <w:shd w:val="clear" w:color="auto" w:fill="FFFFFF"/>
            <w:noWrap/>
            <w:tcMar>
              <w:top w:w="15" w:type="dxa"/>
              <w:left w:w="0" w:type="dxa"/>
              <w:bottom w:w="0" w:type="dxa"/>
              <w:right w:w="15" w:type="dxa"/>
            </w:tcMar>
            <w:vAlign w:val="bottom"/>
            <w:hideMark/>
          </w:tcPr>
          <w:p w14:paraId="2F3CFB4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(1,178.2</w:t>
            </w:r>
          </w:p>
        </w:tc>
        <w:tc>
          <w:tcPr>
            <w:tcW w:w="191" w:type="dxa"/>
            <w:shd w:val="clear" w:color="auto" w:fill="FFFFFF"/>
            <w:noWrap/>
            <w:tcMar>
              <w:top w:w="15" w:type="dxa"/>
              <w:left w:w="0" w:type="dxa"/>
              <w:bottom w:w="0" w:type="dxa"/>
              <w:right w:w="15" w:type="dxa"/>
            </w:tcMar>
            <w:vAlign w:val="bottom"/>
            <w:hideMark/>
          </w:tcPr>
          <w:p w14:paraId="518088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52" w:type="dxa"/>
            <w:shd w:val="clear" w:color="auto" w:fill="FFFFFF"/>
            <w:tcMar>
              <w:top w:w="15" w:type="dxa"/>
              <w:left w:w="0" w:type="dxa"/>
              <w:bottom w:w="0" w:type="dxa"/>
              <w:right w:w="15" w:type="dxa"/>
            </w:tcMar>
            <w:vAlign w:val="bottom"/>
            <w:hideMark/>
          </w:tcPr>
          <w:p w14:paraId="4B0212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99A52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83" w:type="dxa"/>
            <w:shd w:val="clear" w:color="auto" w:fill="FFFFFF"/>
            <w:noWrap/>
            <w:tcMar>
              <w:top w:w="15" w:type="dxa"/>
              <w:left w:w="0" w:type="dxa"/>
              <w:bottom w:w="0" w:type="dxa"/>
              <w:right w:w="15" w:type="dxa"/>
            </w:tcMar>
            <w:vAlign w:val="bottom"/>
            <w:hideMark/>
          </w:tcPr>
          <w:p w14:paraId="2066290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(444.7</w:t>
            </w:r>
          </w:p>
        </w:tc>
        <w:tc>
          <w:tcPr>
            <w:tcW w:w="192" w:type="dxa"/>
            <w:shd w:val="clear" w:color="auto" w:fill="FFFFFF"/>
            <w:noWrap/>
            <w:tcMar>
              <w:top w:w="15" w:type="dxa"/>
              <w:left w:w="0" w:type="dxa"/>
              <w:bottom w:w="0" w:type="dxa"/>
              <w:right w:w="15" w:type="dxa"/>
            </w:tcMar>
            <w:vAlign w:val="bottom"/>
            <w:hideMark/>
          </w:tcPr>
          <w:p w14:paraId="0A40ED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C81054A" w14:textId="77777777" w:rsidTr="00AC4931">
        <w:tc>
          <w:tcPr>
            <w:tcW w:w="15245" w:type="dxa"/>
            <w:shd w:val="clear" w:color="auto" w:fill="CFF0FC"/>
            <w:tcMar>
              <w:top w:w="15" w:type="dxa"/>
              <w:left w:w="0" w:type="dxa"/>
              <w:bottom w:w="0" w:type="dxa"/>
              <w:right w:w="15" w:type="dxa"/>
            </w:tcMar>
            <w:hideMark/>
          </w:tcPr>
          <w:p w14:paraId="38BFB9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Short-term debt</w:t>
            </w:r>
          </w:p>
        </w:tc>
        <w:tc>
          <w:tcPr>
            <w:tcW w:w="352" w:type="dxa"/>
            <w:shd w:val="clear" w:color="auto" w:fill="CFF0FC"/>
            <w:tcMar>
              <w:top w:w="15" w:type="dxa"/>
              <w:left w:w="0" w:type="dxa"/>
              <w:bottom w:w="0" w:type="dxa"/>
              <w:right w:w="15" w:type="dxa"/>
            </w:tcMar>
            <w:vAlign w:val="bottom"/>
            <w:hideMark/>
          </w:tcPr>
          <w:p w14:paraId="2E40BF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50C3B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83" w:type="dxa"/>
            <w:shd w:val="clear" w:color="auto" w:fill="CFF0FC"/>
            <w:noWrap/>
            <w:tcMar>
              <w:top w:w="15" w:type="dxa"/>
              <w:left w:w="0" w:type="dxa"/>
              <w:bottom w:w="0" w:type="dxa"/>
              <w:right w:w="15" w:type="dxa"/>
            </w:tcMar>
            <w:vAlign w:val="bottom"/>
            <w:hideMark/>
          </w:tcPr>
          <w:p w14:paraId="41583C8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301.8</w:t>
            </w:r>
          </w:p>
        </w:tc>
        <w:tc>
          <w:tcPr>
            <w:tcW w:w="191" w:type="dxa"/>
            <w:shd w:val="clear" w:color="auto" w:fill="CFF0FC"/>
            <w:noWrap/>
            <w:tcMar>
              <w:top w:w="15" w:type="dxa"/>
              <w:left w:w="0" w:type="dxa"/>
              <w:bottom w:w="0" w:type="dxa"/>
              <w:right w:w="15" w:type="dxa"/>
            </w:tcMar>
            <w:vAlign w:val="bottom"/>
            <w:hideMark/>
          </w:tcPr>
          <w:p w14:paraId="71169A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2" w:type="dxa"/>
            <w:shd w:val="clear" w:color="auto" w:fill="CFF0FC"/>
            <w:tcMar>
              <w:top w:w="15" w:type="dxa"/>
              <w:left w:w="0" w:type="dxa"/>
              <w:bottom w:w="0" w:type="dxa"/>
              <w:right w:w="15" w:type="dxa"/>
            </w:tcMar>
            <w:vAlign w:val="bottom"/>
            <w:hideMark/>
          </w:tcPr>
          <w:p w14:paraId="0B32E9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B2991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83" w:type="dxa"/>
            <w:shd w:val="clear" w:color="auto" w:fill="CFF0FC"/>
            <w:noWrap/>
            <w:tcMar>
              <w:top w:w="15" w:type="dxa"/>
              <w:left w:w="0" w:type="dxa"/>
              <w:bottom w:w="0" w:type="dxa"/>
              <w:right w:w="15" w:type="dxa"/>
            </w:tcMar>
            <w:vAlign w:val="bottom"/>
            <w:hideMark/>
          </w:tcPr>
          <w:p w14:paraId="44AEE17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368.1</w:t>
            </w:r>
          </w:p>
        </w:tc>
        <w:tc>
          <w:tcPr>
            <w:tcW w:w="192" w:type="dxa"/>
            <w:shd w:val="clear" w:color="auto" w:fill="CFF0FC"/>
            <w:noWrap/>
            <w:tcMar>
              <w:top w:w="15" w:type="dxa"/>
              <w:left w:w="0" w:type="dxa"/>
              <w:bottom w:w="0" w:type="dxa"/>
              <w:right w:w="15" w:type="dxa"/>
            </w:tcMar>
            <w:vAlign w:val="bottom"/>
            <w:hideMark/>
          </w:tcPr>
          <w:p w14:paraId="040D47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AF7DB8C" w14:textId="77777777" w:rsidTr="00AC4931">
        <w:tc>
          <w:tcPr>
            <w:tcW w:w="15245" w:type="dxa"/>
            <w:shd w:val="clear" w:color="auto" w:fill="FFFFFF"/>
            <w:tcMar>
              <w:top w:w="15" w:type="dxa"/>
              <w:left w:w="0" w:type="dxa"/>
              <w:bottom w:w="0" w:type="dxa"/>
              <w:right w:w="15" w:type="dxa"/>
            </w:tcMar>
            <w:hideMark/>
          </w:tcPr>
          <w:p w14:paraId="4CB4A4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Derivative (asset) and liability, current</w:t>
            </w:r>
          </w:p>
        </w:tc>
        <w:tc>
          <w:tcPr>
            <w:tcW w:w="352" w:type="dxa"/>
            <w:shd w:val="clear" w:color="auto" w:fill="FFFFFF"/>
            <w:tcMar>
              <w:top w:w="15" w:type="dxa"/>
              <w:left w:w="0" w:type="dxa"/>
              <w:bottom w:w="0" w:type="dxa"/>
              <w:right w:w="15" w:type="dxa"/>
            </w:tcMar>
            <w:vAlign w:val="bottom"/>
            <w:hideMark/>
          </w:tcPr>
          <w:p w14:paraId="491D5A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614BE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83" w:type="dxa"/>
            <w:shd w:val="clear" w:color="auto" w:fill="FFFFFF"/>
            <w:noWrap/>
            <w:tcMar>
              <w:top w:w="15" w:type="dxa"/>
              <w:left w:w="0" w:type="dxa"/>
              <w:bottom w:w="0" w:type="dxa"/>
              <w:right w:w="15" w:type="dxa"/>
            </w:tcMar>
            <w:vAlign w:val="bottom"/>
            <w:hideMark/>
          </w:tcPr>
          <w:p w14:paraId="64DEFD8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(22.6</w:t>
            </w:r>
          </w:p>
        </w:tc>
        <w:tc>
          <w:tcPr>
            <w:tcW w:w="191" w:type="dxa"/>
            <w:shd w:val="clear" w:color="auto" w:fill="FFFFFF"/>
            <w:noWrap/>
            <w:tcMar>
              <w:top w:w="15" w:type="dxa"/>
              <w:left w:w="0" w:type="dxa"/>
              <w:bottom w:w="0" w:type="dxa"/>
              <w:right w:w="15" w:type="dxa"/>
            </w:tcMar>
            <w:vAlign w:val="bottom"/>
            <w:hideMark/>
          </w:tcPr>
          <w:p w14:paraId="59B17A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52" w:type="dxa"/>
            <w:shd w:val="clear" w:color="auto" w:fill="FFFFFF"/>
            <w:tcMar>
              <w:top w:w="15" w:type="dxa"/>
              <w:left w:w="0" w:type="dxa"/>
              <w:bottom w:w="0" w:type="dxa"/>
              <w:right w:w="15" w:type="dxa"/>
            </w:tcMar>
            <w:vAlign w:val="bottom"/>
            <w:hideMark/>
          </w:tcPr>
          <w:p w14:paraId="08B7C1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C8A07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83" w:type="dxa"/>
            <w:shd w:val="clear" w:color="auto" w:fill="FFFFFF"/>
            <w:noWrap/>
            <w:tcMar>
              <w:top w:w="15" w:type="dxa"/>
              <w:left w:w="0" w:type="dxa"/>
              <w:bottom w:w="0" w:type="dxa"/>
              <w:right w:w="15" w:type="dxa"/>
            </w:tcMar>
            <w:vAlign w:val="bottom"/>
            <w:hideMark/>
          </w:tcPr>
          <w:p w14:paraId="264A126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w:t>
            </w:r>
          </w:p>
        </w:tc>
        <w:tc>
          <w:tcPr>
            <w:tcW w:w="192" w:type="dxa"/>
            <w:shd w:val="clear" w:color="auto" w:fill="FFFFFF"/>
            <w:noWrap/>
            <w:tcMar>
              <w:top w:w="15" w:type="dxa"/>
              <w:left w:w="0" w:type="dxa"/>
              <w:bottom w:w="0" w:type="dxa"/>
              <w:right w:w="15" w:type="dxa"/>
            </w:tcMar>
            <w:vAlign w:val="bottom"/>
            <w:hideMark/>
          </w:tcPr>
          <w:p w14:paraId="02B168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56B308E" w14:textId="77777777" w:rsidTr="00AC4931">
        <w:tc>
          <w:tcPr>
            <w:tcW w:w="15245" w:type="dxa"/>
            <w:shd w:val="clear" w:color="auto" w:fill="CFF0FC"/>
            <w:tcMar>
              <w:top w:w="15" w:type="dxa"/>
              <w:left w:w="0" w:type="dxa"/>
              <w:bottom w:w="0" w:type="dxa"/>
              <w:right w:w="15" w:type="dxa"/>
            </w:tcMar>
            <w:hideMark/>
          </w:tcPr>
          <w:p w14:paraId="41AE74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Dividends payable</w:t>
            </w:r>
          </w:p>
        </w:tc>
        <w:tc>
          <w:tcPr>
            <w:tcW w:w="352" w:type="dxa"/>
            <w:shd w:val="clear" w:color="auto" w:fill="CFF0FC"/>
            <w:tcMar>
              <w:top w:w="15" w:type="dxa"/>
              <w:left w:w="0" w:type="dxa"/>
              <w:bottom w:w="0" w:type="dxa"/>
              <w:right w:w="15" w:type="dxa"/>
            </w:tcMar>
            <w:vAlign w:val="bottom"/>
            <w:hideMark/>
          </w:tcPr>
          <w:p w14:paraId="5CB1D5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D6B47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83" w:type="dxa"/>
            <w:tcBorders>
              <w:bottom w:val="single" w:sz="6" w:space="0" w:color="000000"/>
            </w:tcBorders>
            <w:shd w:val="clear" w:color="auto" w:fill="CFF0FC"/>
            <w:noWrap/>
            <w:tcMar>
              <w:top w:w="15" w:type="dxa"/>
              <w:left w:w="0" w:type="dxa"/>
              <w:bottom w:w="0" w:type="dxa"/>
              <w:right w:w="15" w:type="dxa"/>
            </w:tcMar>
            <w:vAlign w:val="bottom"/>
            <w:hideMark/>
          </w:tcPr>
          <w:p w14:paraId="07A08F8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35AFAB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2" w:type="dxa"/>
            <w:shd w:val="clear" w:color="auto" w:fill="CFF0FC"/>
            <w:tcMar>
              <w:top w:w="15" w:type="dxa"/>
              <w:left w:w="0" w:type="dxa"/>
              <w:bottom w:w="0" w:type="dxa"/>
              <w:right w:w="15" w:type="dxa"/>
            </w:tcMar>
            <w:vAlign w:val="bottom"/>
            <w:hideMark/>
          </w:tcPr>
          <w:p w14:paraId="2F4001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57C13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83" w:type="dxa"/>
            <w:tcBorders>
              <w:bottom w:val="single" w:sz="6" w:space="0" w:color="000000"/>
            </w:tcBorders>
            <w:shd w:val="clear" w:color="auto" w:fill="CFF0FC"/>
            <w:noWrap/>
            <w:tcMar>
              <w:top w:w="15" w:type="dxa"/>
              <w:left w:w="0" w:type="dxa"/>
              <w:bottom w:w="0" w:type="dxa"/>
              <w:right w:w="15" w:type="dxa"/>
            </w:tcMar>
            <w:vAlign w:val="bottom"/>
            <w:hideMark/>
          </w:tcPr>
          <w:p w14:paraId="43FCFC7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54.1</w:t>
            </w:r>
          </w:p>
        </w:tc>
        <w:tc>
          <w:tcPr>
            <w:tcW w:w="192" w:type="dxa"/>
            <w:shd w:val="clear" w:color="auto" w:fill="CFF0FC"/>
            <w:noWrap/>
            <w:tcMar>
              <w:top w:w="15" w:type="dxa"/>
              <w:left w:w="0" w:type="dxa"/>
              <w:bottom w:w="0" w:type="dxa"/>
              <w:right w:w="15" w:type="dxa"/>
            </w:tcMar>
            <w:vAlign w:val="bottom"/>
            <w:hideMark/>
          </w:tcPr>
          <w:p w14:paraId="5B6D26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C2011D7" w14:textId="77777777" w:rsidTr="00AC4931">
        <w:tc>
          <w:tcPr>
            <w:tcW w:w="15245" w:type="dxa"/>
            <w:shd w:val="clear" w:color="auto" w:fill="FFFFFF"/>
            <w:tcMar>
              <w:top w:w="15" w:type="dxa"/>
              <w:left w:w="0" w:type="dxa"/>
              <w:bottom w:w="0" w:type="dxa"/>
              <w:right w:w="15" w:type="dxa"/>
            </w:tcMar>
            <w:hideMark/>
          </w:tcPr>
          <w:p w14:paraId="7C327D9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Operating working capital</w:t>
            </w:r>
          </w:p>
        </w:tc>
        <w:tc>
          <w:tcPr>
            <w:tcW w:w="352" w:type="dxa"/>
            <w:shd w:val="clear" w:color="auto" w:fill="FFFFFF"/>
            <w:tcMar>
              <w:top w:w="15" w:type="dxa"/>
              <w:left w:w="0" w:type="dxa"/>
              <w:bottom w:w="0" w:type="dxa"/>
              <w:right w:w="15" w:type="dxa"/>
            </w:tcMar>
            <w:vAlign w:val="bottom"/>
            <w:hideMark/>
          </w:tcPr>
          <w:p w14:paraId="380816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955978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83" w:type="dxa"/>
            <w:tcBorders>
              <w:top w:val="single" w:sz="6" w:space="0" w:color="000000"/>
            </w:tcBorders>
            <w:shd w:val="clear" w:color="auto" w:fill="FFFFFF"/>
            <w:noWrap/>
            <w:tcMar>
              <w:top w:w="15" w:type="dxa"/>
              <w:left w:w="0" w:type="dxa"/>
              <w:bottom w:w="0" w:type="dxa"/>
              <w:right w:w="15" w:type="dxa"/>
            </w:tcMar>
            <w:vAlign w:val="bottom"/>
            <w:hideMark/>
          </w:tcPr>
          <w:p w14:paraId="53A214D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223.1</w:t>
            </w:r>
          </w:p>
        </w:tc>
        <w:tc>
          <w:tcPr>
            <w:tcW w:w="191" w:type="dxa"/>
            <w:shd w:val="clear" w:color="auto" w:fill="FFFFFF"/>
            <w:noWrap/>
            <w:tcMar>
              <w:top w:w="15" w:type="dxa"/>
              <w:left w:w="0" w:type="dxa"/>
              <w:bottom w:w="0" w:type="dxa"/>
              <w:right w:w="15" w:type="dxa"/>
            </w:tcMar>
            <w:vAlign w:val="bottom"/>
            <w:hideMark/>
          </w:tcPr>
          <w:p w14:paraId="0C075CC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52" w:type="dxa"/>
            <w:shd w:val="clear" w:color="auto" w:fill="FFFFFF"/>
            <w:tcMar>
              <w:top w:w="15" w:type="dxa"/>
              <w:left w:w="0" w:type="dxa"/>
              <w:bottom w:w="0" w:type="dxa"/>
              <w:right w:w="15" w:type="dxa"/>
            </w:tcMar>
            <w:vAlign w:val="bottom"/>
            <w:hideMark/>
          </w:tcPr>
          <w:p w14:paraId="117FB0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AB2BA5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83" w:type="dxa"/>
            <w:tcBorders>
              <w:top w:val="single" w:sz="6" w:space="0" w:color="000000"/>
            </w:tcBorders>
            <w:shd w:val="clear" w:color="auto" w:fill="FFFFFF"/>
            <w:noWrap/>
            <w:tcMar>
              <w:top w:w="15" w:type="dxa"/>
              <w:left w:w="0" w:type="dxa"/>
              <w:bottom w:w="0" w:type="dxa"/>
              <w:right w:w="15" w:type="dxa"/>
            </w:tcMar>
            <w:vAlign w:val="bottom"/>
            <w:hideMark/>
          </w:tcPr>
          <w:p w14:paraId="65A300A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565.2</w:t>
            </w:r>
          </w:p>
        </w:tc>
        <w:tc>
          <w:tcPr>
            <w:tcW w:w="192" w:type="dxa"/>
            <w:shd w:val="clear" w:color="auto" w:fill="FFFFFF"/>
            <w:noWrap/>
            <w:tcMar>
              <w:top w:w="15" w:type="dxa"/>
              <w:left w:w="0" w:type="dxa"/>
              <w:bottom w:w="0" w:type="dxa"/>
              <w:right w:w="15" w:type="dxa"/>
            </w:tcMar>
            <w:vAlign w:val="bottom"/>
            <w:hideMark/>
          </w:tcPr>
          <w:p w14:paraId="395C11B5"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15592AB7"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35</w:t>
      </w:r>
    </w:p>
    <w:p w14:paraId="18C87E8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lastRenderedPageBreak/>
        <w:t> </w:t>
      </w:r>
    </w:p>
    <w:p w14:paraId="5EA9F467"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911EF9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020EAA5"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13684E9F">
          <v:rect id="_x0000_i1062" style="width:0;height:1.5pt" o:hralign="center" o:hrstd="t" o:hrnoshade="t" o:hr="t" fillcolor="black" stroked="f"/>
        </w:pict>
      </w:r>
    </w:p>
    <w:p w14:paraId="09D6624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086242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526B26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896B865"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392CC1C3" w14:textId="77777777" w:rsidR="00AC4931" w:rsidRPr="00AC4931" w:rsidRDefault="00AC4931" w:rsidP="00AC4931">
      <w:pPr>
        <w:widowControl/>
        <w:rPr>
          <w:rFonts w:ascii="微软雅黑" w:eastAsia="微软雅黑" w:hAnsi="微软雅黑" w:cs="宋体"/>
          <w:b/>
          <w:bCs/>
          <w:color w:val="000000"/>
          <w:kern w:val="0"/>
          <w:sz w:val="24"/>
          <w:szCs w:val="24"/>
        </w:rPr>
      </w:pPr>
      <w:r w:rsidRPr="00AC4931">
        <w:rPr>
          <w:rFonts w:ascii="微软雅黑" w:eastAsia="微软雅黑" w:hAnsi="微软雅黑" w:cs="宋体" w:hint="eastAsia"/>
          <w:b/>
          <w:bCs/>
          <w:color w:val="000000"/>
          <w:kern w:val="0"/>
          <w:sz w:val="24"/>
          <w:szCs w:val="24"/>
        </w:rPr>
        <w:t> </w:t>
      </w:r>
    </w:p>
    <w:p w14:paraId="0512277A" w14:textId="77777777" w:rsidR="00AC4931" w:rsidRPr="00AC4931" w:rsidRDefault="00AC4931" w:rsidP="00AC4931">
      <w:pPr>
        <w:widowControl/>
        <w:spacing w:before="10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RECONCILIATION OF U.S. GAAP MEASURE TO “NET DEBT” (DOLLARS IN MILLIONS)</w:t>
      </w:r>
    </w:p>
    <w:p w14:paraId="24813602"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8271"/>
        <w:gridCol w:w="326"/>
        <w:gridCol w:w="201"/>
        <w:gridCol w:w="1740"/>
        <w:gridCol w:w="201"/>
        <w:gridCol w:w="326"/>
        <w:gridCol w:w="201"/>
        <w:gridCol w:w="1740"/>
        <w:gridCol w:w="201"/>
        <w:gridCol w:w="326"/>
        <w:gridCol w:w="201"/>
        <w:gridCol w:w="1740"/>
        <w:gridCol w:w="201"/>
        <w:gridCol w:w="326"/>
        <w:gridCol w:w="201"/>
        <w:gridCol w:w="1740"/>
        <w:gridCol w:w="201"/>
        <w:gridCol w:w="326"/>
        <w:gridCol w:w="201"/>
        <w:gridCol w:w="1740"/>
        <w:gridCol w:w="204"/>
      </w:tblGrid>
      <w:tr w:rsidR="00AC4931" w:rsidRPr="00AC4931" w14:paraId="78D85EE0" w14:textId="77777777" w:rsidTr="00AC4931">
        <w:tc>
          <w:tcPr>
            <w:tcW w:w="8209" w:type="dxa"/>
            <w:shd w:val="clear" w:color="auto" w:fill="FFFFFF"/>
            <w:tcMar>
              <w:top w:w="15" w:type="dxa"/>
              <w:left w:w="0" w:type="dxa"/>
              <w:bottom w:w="0" w:type="dxa"/>
              <w:right w:w="15" w:type="dxa"/>
            </w:tcMar>
            <w:vAlign w:val="bottom"/>
            <w:hideMark/>
          </w:tcPr>
          <w:p w14:paraId="0C01B788" w14:textId="77777777" w:rsidR="00AC4931" w:rsidRPr="00AC4931" w:rsidRDefault="00AC4931" w:rsidP="00AC4931">
            <w:pPr>
              <w:widowControl/>
              <w:jc w:val="left"/>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u w:val="single"/>
              </w:rPr>
              <w:t>DECEMBER 31</w:t>
            </w:r>
          </w:p>
        </w:tc>
        <w:tc>
          <w:tcPr>
            <w:tcW w:w="324" w:type="dxa"/>
            <w:shd w:val="clear" w:color="auto" w:fill="FFFFFF"/>
            <w:tcMar>
              <w:top w:w="15" w:type="dxa"/>
              <w:left w:w="0" w:type="dxa"/>
              <w:bottom w:w="0" w:type="dxa"/>
              <w:right w:w="15" w:type="dxa"/>
            </w:tcMar>
            <w:vAlign w:val="bottom"/>
            <w:hideMark/>
          </w:tcPr>
          <w:p w14:paraId="38EA96D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8" w:type="dxa"/>
            <w:gridSpan w:val="2"/>
            <w:tcBorders>
              <w:bottom w:val="single" w:sz="6" w:space="0" w:color="000000"/>
            </w:tcBorders>
            <w:shd w:val="clear" w:color="auto" w:fill="FFFFFF"/>
            <w:tcMar>
              <w:top w:w="15" w:type="dxa"/>
              <w:left w:w="0" w:type="dxa"/>
              <w:bottom w:w="0" w:type="dxa"/>
              <w:right w:w="15" w:type="dxa"/>
            </w:tcMar>
            <w:vAlign w:val="bottom"/>
            <w:hideMark/>
          </w:tcPr>
          <w:p w14:paraId="1AA9F6C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056BD72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24" w:type="dxa"/>
            <w:shd w:val="clear" w:color="auto" w:fill="FFFFFF"/>
            <w:tcMar>
              <w:top w:w="15" w:type="dxa"/>
              <w:left w:w="0" w:type="dxa"/>
              <w:bottom w:w="0" w:type="dxa"/>
              <w:right w:w="15" w:type="dxa"/>
            </w:tcMar>
            <w:vAlign w:val="bottom"/>
            <w:hideMark/>
          </w:tcPr>
          <w:p w14:paraId="1529BDE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18" w:type="dxa"/>
            <w:gridSpan w:val="2"/>
            <w:tcBorders>
              <w:bottom w:val="single" w:sz="6" w:space="0" w:color="000000"/>
            </w:tcBorders>
            <w:shd w:val="clear" w:color="auto" w:fill="FFFFFF"/>
            <w:tcMar>
              <w:top w:w="15" w:type="dxa"/>
              <w:left w:w="0" w:type="dxa"/>
              <w:bottom w:w="0" w:type="dxa"/>
              <w:right w:w="15" w:type="dxa"/>
            </w:tcMar>
            <w:vAlign w:val="bottom"/>
            <w:hideMark/>
          </w:tcPr>
          <w:p w14:paraId="7D65F18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1" w:type="dxa"/>
            <w:shd w:val="clear" w:color="auto" w:fill="FFFFFF"/>
            <w:noWrap/>
            <w:tcMar>
              <w:top w:w="15" w:type="dxa"/>
              <w:left w:w="0" w:type="dxa"/>
              <w:bottom w:w="0" w:type="dxa"/>
              <w:right w:w="15" w:type="dxa"/>
            </w:tcMar>
            <w:vAlign w:val="bottom"/>
            <w:hideMark/>
          </w:tcPr>
          <w:p w14:paraId="4AEF6F8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24" w:type="dxa"/>
            <w:shd w:val="clear" w:color="auto" w:fill="FFFFFF"/>
            <w:tcMar>
              <w:top w:w="15" w:type="dxa"/>
              <w:left w:w="0" w:type="dxa"/>
              <w:bottom w:w="0" w:type="dxa"/>
              <w:right w:w="15" w:type="dxa"/>
            </w:tcMar>
            <w:vAlign w:val="bottom"/>
            <w:hideMark/>
          </w:tcPr>
          <w:p w14:paraId="5E9683C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18" w:type="dxa"/>
            <w:gridSpan w:val="2"/>
            <w:tcBorders>
              <w:bottom w:val="single" w:sz="6" w:space="0" w:color="000000"/>
            </w:tcBorders>
            <w:shd w:val="clear" w:color="auto" w:fill="FFFFFF"/>
            <w:tcMar>
              <w:top w:w="15" w:type="dxa"/>
              <w:left w:w="0" w:type="dxa"/>
              <w:bottom w:w="0" w:type="dxa"/>
              <w:right w:w="15" w:type="dxa"/>
            </w:tcMar>
            <w:vAlign w:val="bottom"/>
            <w:hideMark/>
          </w:tcPr>
          <w:p w14:paraId="4F496AA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91" w:type="dxa"/>
            <w:shd w:val="clear" w:color="auto" w:fill="FFFFFF"/>
            <w:noWrap/>
            <w:tcMar>
              <w:top w:w="15" w:type="dxa"/>
              <w:left w:w="0" w:type="dxa"/>
              <w:bottom w:w="0" w:type="dxa"/>
              <w:right w:w="15" w:type="dxa"/>
            </w:tcMar>
            <w:vAlign w:val="bottom"/>
            <w:hideMark/>
          </w:tcPr>
          <w:p w14:paraId="4E8DD6A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24" w:type="dxa"/>
            <w:shd w:val="clear" w:color="auto" w:fill="FFFFFF"/>
            <w:tcMar>
              <w:top w:w="15" w:type="dxa"/>
              <w:left w:w="0" w:type="dxa"/>
              <w:bottom w:w="0" w:type="dxa"/>
              <w:right w:w="15" w:type="dxa"/>
            </w:tcMar>
            <w:vAlign w:val="bottom"/>
            <w:hideMark/>
          </w:tcPr>
          <w:p w14:paraId="32705E7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18" w:type="dxa"/>
            <w:gridSpan w:val="2"/>
            <w:tcBorders>
              <w:bottom w:val="single" w:sz="6" w:space="0" w:color="000000"/>
            </w:tcBorders>
            <w:shd w:val="clear" w:color="auto" w:fill="FFFFFF"/>
            <w:tcMar>
              <w:top w:w="15" w:type="dxa"/>
              <w:left w:w="0" w:type="dxa"/>
              <w:bottom w:w="0" w:type="dxa"/>
              <w:right w:w="15" w:type="dxa"/>
            </w:tcMar>
            <w:vAlign w:val="bottom"/>
            <w:hideMark/>
          </w:tcPr>
          <w:p w14:paraId="1BE4017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2017</w:t>
            </w:r>
          </w:p>
        </w:tc>
        <w:tc>
          <w:tcPr>
            <w:tcW w:w="191" w:type="dxa"/>
            <w:shd w:val="clear" w:color="auto" w:fill="FFFFFF"/>
            <w:noWrap/>
            <w:tcMar>
              <w:top w:w="15" w:type="dxa"/>
              <w:left w:w="0" w:type="dxa"/>
              <w:bottom w:w="0" w:type="dxa"/>
              <w:right w:w="15" w:type="dxa"/>
            </w:tcMar>
            <w:vAlign w:val="bottom"/>
            <w:hideMark/>
          </w:tcPr>
          <w:p w14:paraId="1519526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24" w:type="dxa"/>
            <w:shd w:val="clear" w:color="auto" w:fill="FFFFFF"/>
            <w:tcMar>
              <w:top w:w="15" w:type="dxa"/>
              <w:left w:w="0" w:type="dxa"/>
              <w:bottom w:w="0" w:type="dxa"/>
              <w:right w:w="15" w:type="dxa"/>
            </w:tcMar>
            <w:vAlign w:val="bottom"/>
            <w:hideMark/>
          </w:tcPr>
          <w:p w14:paraId="077C06C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8" w:type="dxa"/>
            <w:gridSpan w:val="2"/>
            <w:tcBorders>
              <w:bottom w:val="single" w:sz="6" w:space="0" w:color="000000"/>
            </w:tcBorders>
            <w:shd w:val="clear" w:color="auto" w:fill="FFFFFF"/>
            <w:tcMar>
              <w:top w:w="15" w:type="dxa"/>
              <w:left w:w="0" w:type="dxa"/>
              <w:bottom w:w="0" w:type="dxa"/>
              <w:right w:w="15" w:type="dxa"/>
            </w:tcMar>
            <w:vAlign w:val="bottom"/>
            <w:hideMark/>
          </w:tcPr>
          <w:p w14:paraId="3C1CB85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2016</w:t>
            </w:r>
          </w:p>
        </w:tc>
        <w:tc>
          <w:tcPr>
            <w:tcW w:w="194" w:type="dxa"/>
            <w:shd w:val="clear" w:color="auto" w:fill="FFFFFF"/>
            <w:noWrap/>
            <w:tcMar>
              <w:top w:w="15" w:type="dxa"/>
              <w:left w:w="0" w:type="dxa"/>
              <w:bottom w:w="0" w:type="dxa"/>
              <w:right w:w="15" w:type="dxa"/>
            </w:tcMar>
            <w:vAlign w:val="bottom"/>
            <w:hideMark/>
          </w:tcPr>
          <w:p w14:paraId="34D8B65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2DC002F" w14:textId="77777777" w:rsidTr="00AC4931">
        <w:tc>
          <w:tcPr>
            <w:tcW w:w="8209" w:type="dxa"/>
            <w:shd w:val="clear" w:color="auto" w:fill="CFF0FC"/>
            <w:tcMar>
              <w:top w:w="15" w:type="dxa"/>
              <w:left w:w="0" w:type="dxa"/>
              <w:bottom w:w="0" w:type="dxa"/>
              <w:right w:w="15" w:type="dxa"/>
            </w:tcMar>
            <w:hideMark/>
          </w:tcPr>
          <w:p w14:paraId="1FBCC2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Short-term debt</w:t>
            </w:r>
          </w:p>
        </w:tc>
        <w:tc>
          <w:tcPr>
            <w:tcW w:w="324" w:type="dxa"/>
            <w:shd w:val="clear" w:color="auto" w:fill="CFF0FC"/>
            <w:tcMar>
              <w:top w:w="15" w:type="dxa"/>
              <w:left w:w="0" w:type="dxa"/>
              <w:bottom w:w="0" w:type="dxa"/>
              <w:right w:w="15" w:type="dxa"/>
            </w:tcMar>
            <w:vAlign w:val="bottom"/>
            <w:hideMark/>
          </w:tcPr>
          <w:p w14:paraId="278AA7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D39DF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11" w:type="dxa"/>
            <w:tcBorders>
              <w:top w:val="single" w:sz="6" w:space="0" w:color="000000"/>
            </w:tcBorders>
            <w:shd w:val="clear" w:color="auto" w:fill="CFF0FC"/>
            <w:noWrap/>
            <w:tcMar>
              <w:top w:w="15" w:type="dxa"/>
              <w:left w:w="0" w:type="dxa"/>
              <w:bottom w:w="0" w:type="dxa"/>
              <w:right w:w="15" w:type="dxa"/>
            </w:tcMar>
            <w:vAlign w:val="bottom"/>
            <w:hideMark/>
          </w:tcPr>
          <w:p w14:paraId="0041D9C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301.8</w:t>
            </w:r>
          </w:p>
        </w:tc>
        <w:tc>
          <w:tcPr>
            <w:tcW w:w="191" w:type="dxa"/>
            <w:shd w:val="clear" w:color="auto" w:fill="CFF0FC"/>
            <w:noWrap/>
            <w:tcMar>
              <w:top w:w="15" w:type="dxa"/>
              <w:left w:w="0" w:type="dxa"/>
              <w:bottom w:w="0" w:type="dxa"/>
              <w:right w:w="15" w:type="dxa"/>
            </w:tcMar>
            <w:vAlign w:val="bottom"/>
            <w:hideMark/>
          </w:tcPr>
          <w:p w14:paraId="794D3C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4" w:type="dxa"/>
            <w:shd w:val="clear" w:color="auto" w:fill="CFF0FC"/>
            <w:tcMar>
              <w:top w:w="15" w:type="dxa"/>
              <w:left w:w="0" w:type="dxa"/>
              <w:bottom w:w="0" w:type="dxa"/>
              <w:right w:w="15" w:type="dxa"/>
            </w:tcMar>
            <w:vAlign w:val="bottom"/>
            <w:hideMark/>
          </w:tcPr>
          <w:p w14:paraId="2306A4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0DC1E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11" w:type="dxa"/>
            <w:tcBorders>
              <w:top w:val="single" w:sz="6" w:space="0" w:color="000000"/>
            </w:tcBorders>
            <w:shd w:val="clear" w:color="auto" w:fill="CFF0FC"/>
            <w:noWrap/>
            <w:tcMar>
              <w:top w:w="15" w:type="dxa"/>
              <w:left w:w="0" w:type="dxa"/>
              <w:bottom w:w="0" w:type="dxa"/>
              <w:right w:w="15" w:type="dxa"/>
            </w:tcMar>
            <w:vAlign w:val="bottom"/>
            <w:hideMark/>
          </w:tcPr>
          <w:p w14:paraId="2780C23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368.1</w:t>
            </w:r>
          </w:p>
        </w:tc>
        <w:tc>
          <w:tcPr>
            <w:tcW w:w="191" w:type="dxa"/>
            <w:shd w:val="clear" w:color="auto" w:fill="CFF0FC"/>
            <w:noWrap/>
            <w:tcMar>
              <w:top w:w="15" w:type="dxa"/>
              <w:left w:w="0" w:type="dxa"/>
              <w:bottom w:w="0" w:type="dxa"/>
              <w:right w:w="15" w:type="dxa"/>
            </w:tcMar>
            <w:vAlign w:val="bottom"/>
            <w:hideMark/>
          </w:tcPr>
          <w:p w14:paraId="11A740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4" w:type="dxa"/>
            <w:shd w:val="clear" w:color="auto" w:fill="CFF0FC"/>
            <w:tcMar>
              <w:top w:w="15" w:type="dxa"/>
              <w:left w:w="0" w:type="dxa"/>
              <w:bottom w:w="0" w:type="dxa"/>
              <w:right w:w="15" w:type="dxa"/>
            </w:tcMar>
            <w:vAlign w:val="bottom"/>
            <w:hideMark/>
          </w:tcPr>
          <w:p w14:paraId="584F04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A6064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11" w:type="dxa"/>
            <w:tcBorders>
              <w:top w:val="single" w:sz="6" w:space="0" w:color="000000"/>
            </w:tcBorders>
            <w:shd w:val="clear" w:color="auto" w:fill="CFF0FC"/>
            <w:noWrap/>
            <w:tcMar>
              <w:top w:w="15" w:type="dxa"/>
              <w:left w:w="0" w:type="dxa"/>
              <w:bottom w:w="0" w:type="dxa"/>
              <w:right w:w="15" w:type="dxa"/>
            </w:tcMar>
            <w:vAlign w:val="bottom"/>
            <w:hideMark/>
          </w:tcPr>
          <w:p w14:paraId="0EEF074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620.7</w:t>
            </w:r>
          </w:p>
        </w:tc>
        <w:tc>
          <w:tcPr>
            <w:tcW w:w="191" w:type="dxa"/>
            <w:shd w:val="clear" w:color="auto" w:fill="CFF0FC"/>
            <w:noWrap/>
            <w:tcMar>
              <w:top w:w="15" w:type="dxa"/>
              <w:left w:w="0" w:type="dxa"/>
              <w:bottom w:w="0" w:type="dxa"/>
              <w:right w:w="15" w:type="dxa"/>
            </w:tcMar>
            <w:vAlign w:val="bottom"/>
            <w:hideMark/>
          </w:tcPr>
          <w:p w14:paraId="02F72A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4" w:type="dxa"/>
            <w:shd w:val="clear" w:color="auto" w:fill="CFF0FC"/>
            <w:tcMar>
              <w:top w:w="15" w:type="dxa"/>
              <w:left w:w="0" w:type="dxa"/>
              <w:bottom w:w="0" w:type="dxa"/>
              <w:right w:w="15" w:type="dxa"/>
            </w:tcMar>
            <w:vAlign w:val="bottom"/>
            <w:hideMark/>
          </w:tcPr>
          <w:p w14:paraId="5F1AC6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1413D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11" w:type="dxa"/>
            <w:tcBorders>
              <w:top w:val="single" w:sz="6" w:space="0" w:color="000000"/>
            </w:tcBorders>
            <w:shd w:val="clear" w:color="auto" w:fill="CFF0FC"/>
            <w:noWrap/>
            <w:tcMar>
              <w:top w:w="15" w:type="dxa"/>
              <w:left w:w="0" w:type="dxa"/>
              <w:bottom w:w="0" w:type="dxa"/>
              <w:right w:w="15" w:type="dxa"/>
            </w:tcMar>
            <w:vAlign w:val="bottom"/>
            <w:hideMark/>
          </w:tcPr>
          <w:p w14:paraId="5ED1689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19.7</w:t>
            </w:r>
          </w:p>
        </w:tc>
        <w:tc>
          <w:tcPr>
            <w:tcW w:w="191" w:type="dxa"/>
            <w:shd w:val="clear" w:color="auto" w:fill="CFF0FC"/>
            <w:noWrap/>
            <w:tcMar>
              <w:top w:w="15" w:type="dxa"/>
              <w:left w:w="0" w:type="dxa"/>
              <w:bottom w:w="0" w:type="dxa"/>
              <w:right w:w="15" w:type="dxa"/>
            </w:tcMar>
            <w:vAlign w:val="bottom"/>
            <w:hideMark/>
          </w:tcPr>
          <w:p w14:paraId="22A6E6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4" w:type="dxa"/>
            <w:shd w:val="clear" w:color="auto" w:fill="CFF0FC"/>
            <w:tcMar>
              <w:top w:w="15" w:type="dxa"/>
              <w:left w:w="0" w:type="dxa"/>
              <w:bottom w:w="0" w:type="dxa"/>
              <w:right w:w="15" w:type="dxa"/>
            </w:tcMar>
            <w:vAlign w:val="bottom"/>
            <w:hideMark/>
          </w:tcPr>
          <w:p w14:paraId="77E7FD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9F4F3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11" w:type="dxa"/>
            <w:tcBorders>
              <w:top w:val="single" w:sz="6" w:space="0" w:color="000000"/>
            </w:tcBorders>
            <w:shd w:val="clear" w:color="auto" w:fill="CFF0FC"/>
            <w:noWrap/>
            <w:tcMar>
              <w:top w:w="15" w:type="dxa"/>
              <w:left w:w="0" w:type="dxa"/>
              <w:bottom w:w="0" w:type="dxa"/>
              <w:right w:w="15" w:type="dxa"/>
            </w:tcMar>
            <w:vAlign w:val="bottom"/>
            <w:hideMark/>
          </w:tcPr>
          <w:p w14:paraId="652EC4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216.3</w:t>
            </w:r>
          </w:p>
        </w:tc>
        <w:tc>
          <w:tcPr>
            <w:tcW w:w="194" w:type="dxa"/>
            <w:shd w:val="clear" w:color="auto" w:fill="CFF0FC"/>
            <w:noWrap/>
            <w:tcMar>
              <w:top w:w="15" w:type="dxa"/>
              <w:left w:w="0" w:type="dxa"/>
              <w:bottom w:w="0" w:type="dxa"/>
              <w:right w:w="15" w:type="dxa"/>
            </w:tcMar>
            <w:vAlign w:val="bottom"/>
            <w:hideMark/>
          </w:tcPr>
          <w:p w14:paraId="4E3644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99C71C7" w14:textId="77777777" w:rsidTr="00AC4931">
        <w:tc>
          <w:tcPr>
            <w:tcW w:w="8209" w:type="dxa"/>
            <w:shd w:val="clear" w:color="auto" w:fill="FFFFFF"/>
            <w:tcMar>
              <w:top w:w="15" w:type="dxa"/>
              <w:left w:w="0" w:type="dxa"/>
              <w:bottom w:w="0" w:type="dxa"/>
              <w:right w:w="15" w:type="dxa"/>
            </w:tcMar>
            <w:hideMark/>
          </w:tcPr>
          <w:p w14:paraId="1CFFBD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Long-term debt</w:t>
            </w:r>
          </w:p>
        </w:tc>
        <w:tc>
          <w:tcPr>
            <w:tcW w:w="324" w:type="dxa"/>
            <w:shd w:val="clear" w:color="auto" w:fill="FFFFFF"/>
            <w:tcMar>
              <w:top w:w="15" w:type="dxa"/>
              <w:left w:w="0" w:type="dxa"/>
              <w:bottom w:w="0" w:type="dxa"/>
              <w:right w:w="15" w:type="dxa"/>
            </w:tcMar>
            <w:vAlign w:val="bottom"/>
            <w:hideMark/>
          </w:tcPr>
          <w:p w14:paraId="1A12DA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0620E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tcBorders>
              <w:bottom w:val="single" w:sz="6" w:space="0" w:color="000000"/>
            </w:tcBorders>
            <w:shd w:val="clear" w:color="auto" w:fill="FFFFFF"/>
            <w:noWrap/>
            <w:tcMar>
              <w:top w:w="15" w:type="dxa"/>
              <w:left w:w="0" w:type="dxa"/>
              <w:bottom w:w="0" w:type="dxa"/>
              <w:right w:w="15" w:type="dxa"/>
            </w:tcMar>
            <w:vAlign w:val="bottom"/>
            <w:hideMark/>
          </w:tcPr>
          <w:p w14:paraId="2CC869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2,109.6</w:t>
            </w:r>
          </w:p>
        </w:tc>
        <w:tc>
          <w:tcPr>
            <w:tcW w:w="191" w:type="dxa"/>
            <w:shd w:val="clear" w:color="auto" w:fill="FFFFFF"/>
            <w:noWrap/>
            <w:tcMar>
              <w:top w:w="15" w:type="dxa"/>
              <w:left w:w="0" w:type="dxa"/>
              <w:bottom w:w="0" w:type="dxa"/>
              <w:right w:w="15" w:type="dxa"/>
            </w:tcMar>
            <w:vAlign w:val="bottom"/>
            <w:hideMark/>
          </w:tcPr>
          <w:p w14:paraId="1F7CFC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4" w:type="dxa"/>
            <w:shd w:val="clear" w:color="auto" w:fill="FFFFFF"/>
            <w:tcMar>
              <w:top w:w="15" w:type="dxa"/>
              <w:left w:w="0" w:type="dxa"/>
              <w:bottom w:w="0" w:type="dxa"/>
              <w:right w:w="15" w:type="dxa"/>
            </w:tcMar>
            <w:vAlign w:val="bottom"/>
            <w:hideMark/>
          </w:tcPr>
          <w:p w14:paraId="18E6FD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0A8F1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tcBorders>
              <w:bottom w:val="single" w:sz="6" w:space="0" w:color="000000"/>
            </w:tcBorders>
            <w:shd w:val="clear" w:color="auto" w:fill="FFFFFF"/>
            <w:noWrap/>
            <w:tcMar>
              <w:top w:w="15" w:type="dxa"/>
              <w:left w:w="0" w:type="dxa"/>
              <w:bottom w:w="0" w:type="dxa"/>
              <w:right w:w="15" w:type="dxa"/>
            </w:tcMar>
            <w:vAlign w:val="bottom"/>
            <w:hideMark/>
          </w:tcPr>
          <w:p w14:paraId="1C4D302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1,726.1</w:t>
            </w:r>
          </w:p>
        </w:tc>
        <w:tc>
          <w:tcPr>
            <w:tcW w:w="191" w:type="dxa"/>
            <w:shd w:val="clear" w:color="auto" w:fill="FFFFFF"/>
            <w:noWrap/>
            <w:tcMar>
              <w:top w:w="15" w:type="dxa"/>
              <w:left w:w="0" w:type="dxa"/>
              <w:bottom w:w="0" w:type="dxa"/>
              <w:right w:w="15" w:type="dxa"/>
            </w:tcMar>
            <w:vAlign w:val="bottom"/>
            <w:hideMark/>
          </w:tcPr>
          <w:p w14:paraId="583C1C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4" w:type="dxa"/>
            <w:shd w:val="clear" w:color="auto" w:fill="FFFFFF"/>
            <w:tcMar>
              <w:top w:w="15" w:type="dxa"/>
              <w:left w:w="0" w:type="dxa"/>
              <w:bottom w:w="0" w:type="dxa"/>
              <w:right w:w="15" w:type="dxa"/>
            </w:tcMar>
            <w:vAlign w:val="bottom"/>
            <w:hideMark/>
          </w:tcPr>
          <w:p w14:paraId="1512FC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4647C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tcBorders>
              <w:bottom w:val="single" w:sz="6" w:space="0" w:color="000000"/>
            </w:tcBorders>
            <w:shd w:val="clear" w:color="auto" w:fill="FFFFFF"/>
            <w:noWrap/>
            <w:tcMar>
              <w:top w:w="15" w:type="dxa"/>
              <w:left w:w="0" w:type="dxa"/>
              <w:bottom w:w="0" w:type="dxa"/>
              <w:right w:w="15" w:type="dxa"/>
            </w:tcMar>
            <w:vAlign w:val="bottom"/>
            <w:hideMark/>
          </w:tcPr>
          <w:p w14:paraId="6E07D12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1,609.0</w:t>
            </w:r>
          </w:p>
        </w:tc>
        <w:tc>
          <w:tcPr>
            <w:tcW w:w="191" w:type="dxa"/>
            <w:shd w:val="clear" w:color="auto" w:fill="FFFFFF"/>
            <w:noWrap/>
            <w:tcMar>
              <w:top w:w="15" w:type="dxa"/>
              <w:left w:w="0" w:type="dxa"/>
              <w:bottom w:w="0" w:type="dxa"/>
              <w:right w:w="15" w:type="dxa"/>
            </w:tcMar>
            <w:vAlign w:val="bottom"/>
            <w:hideMark/>
          </w:tcPr>
          <w:p w14:paraId="3CF06D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4" w:type="dxa"/>
            <w:shd w:val="clear" w:color="auto" w:fill="FFFFFF"/>
            <w:tcMar>
              <w:top w:w="15" w:type="dxa"/>
              <w:left w:w="0" w:type="dxa"/>
              <w:bottom w:w="0" w:type="dxa"/>
              <w:right w:w="15" w:type="dxa"/>
            </w:tcMar>
            <w:vAlign w:val="bottom"/>
            <w:hideMark/>
          </w:tcPr>
          <w:p w14:paraId="6E94BD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B433E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tcBorders>
              <w:bottom w:val="single" w:sz="6" w:space="0" w:color="000000"/>
            </w:tcBorders>
            <w:shd w:val="clear" w:color="auto" w:fill="FFFFFF"/>
            <w:noWrap/>
            <w:tcMar>
              <w:top w:w="15" w:type="dxa"/>
              <w:left w:w="0" w:type="dxa"/>
              <w:bottom w:w="0" w:type="dxa"/>
              <w:right w:w="15" w:type="dxa"/>
            </w:tcMar>
            <w:vAlign w:val="bottom"/>
            <w:hideMark/>
          </w:tcPr>
          <w:p w14:paraId="3DC6DE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1,310.7</w:t>
            </w:r>
          </w:p>
        </w:tc>
        <w:tc>
          <w:tcPr>
            <w:tcW w:w="191" w:type="dxa"/>
            <w:shd w:val="clear" w:color="auto" w:fill="FFFFFF"/>
            <w:noWrap/>
            <w:tcMar>
              <w:top w:w="15" w:type="dxa"/>
              <w:left w:w="0" w:type="dxa"/>
              <w:bottom w:w="0" w:type="dxa"/>
              <w:right w:w="15" w:type="dxa"/>
            </w:tcMar>
            <w:vAlign w:val="bottom"/>
            <w:hideMark/>
          </w:tcPr>
          <w:p w14:paraId="1144C6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4" w:type="dxa"/>
            <w:shd w:val="clear" w:color="auto" w:fill="FFFFFF"/>
            <w:tcMar>
              <w:top w:w="15" w:type="dxa"/>
              <w:left w:w="0" w:type="dxa"/>
              <w:bottom w:w="0" w:type="dxa"/>
              <w:right w:w="15" w:type="dxa"/>
            </w:tcMar>
            <w:vAlign w:val="bottom"/>
            <w:hideMark/>
          </w:tcPr>
          <w:p w14:paraId="167731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5C39B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tcBorders>
              <w:bottom w:val="single" w:sz="6" w:space="0" w:color="000000"/>
            </w:tcBorders>
            <w:shd w:val="clear" w:color="auto" w:fill="FFFFFF"/>
            <w:noWrap/>
            <w:tcMar>
              <w:top w:w="15" w:type="dxa"/>
              <w:left w:w="0" w:type="dxa"/>
              <w:bottom w:w="0" w:type="dxa"/>
              <w:right w:w="15" w:type="dxa"/>
            </w:tcMar>
            <w:vAlign w:val="bottom"/>
            <w:hideMark/>
          </w:tcPr>
          <w:p w14:paraId="6C22294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1,312.5</w:t>
            </w:r>
          </w:p>
        </w:tc>
        <w:tc>
          <w:tcPr>
            <w:tcW w:w="194" w:type="dxa"/>
            <w:shd w:val="clear" w:color="auto" w:fill="FFFFFF"/>
            <w:noWrap/>
            <w:tcMar>
              <w:top w:w="15" w:type="dxa"/>
              <w:left w:w="0" w:type="dxa"/>
              <w:bottom w:w="0" w:type="dxa"/>
              <w:right w:w="15" w:type="dxa"/>
            </w:tcMar>
            <w:vAlign w:val="bottom"/>
            <w:hideMark/>
          </w:tcPr>
          <w:p w14:paraId="7595A9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042141E" w14:textId="77777777" w:rsidTr="00AC4931">
        <w:tc>
          <w:tcPr>
            <w:tcW w:w="8209" w:type="dxa"/>
            <w:shd w:val="clear" w:color="auto" w:fill="CFF0FC"/>
            <w:tcMar>
              <w:top w:w="15" w:type="dxa"/>
              <w:left w:w="0" w:type="dxa"/>
              <w:bottom w:w="0" w:type="dxa"/>
              <w:right w:w="15" w:type="dxa"/>
            </w:tcMar>
            <w:hideMark/>
          </w:tcPr>
          <w:p w14:paraId="51C59DD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debt</w:t>
            </w:r>
          </w:p>
        </w:tc>
        <w:tc>
          <w:tcPr>
            <w:tcW w:w="324" w:type="dxa"/>
            <w:shd w:val="clear" w:color="auto" w:fill="CFF0FC"/>
            <w:tcMar>
              <w:top w:w="15" w:type="dxa"/>
              <w:left w:w="0" w:type="dxa"/>
              <w:bottom w:w="0" w:type="dxa"/>
              <w:right w:w="15" w:type="dxa"/>
            </w:tcMar>
            <w:vAlign w:val="bottom"/>
            <w:hideMark/>
          </w:tcPr>
          <w:p w14:paraId="2545CE1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200725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11" w:type="dxa"/>
            <w:tcBorders>
              <w:top w:val="single" w:sz="6" w:space="0" w:color="000000"/>
            </w:tcBorders>
            <w:shd w:val="clear" w:color="auto" w:fill="CFF0FC"/>
            <w:noWrap/>
            <w:tcMar>
              <w:top w:w="15" w:type="dxa"/>
              <w:left w:w="0" w:type="dxa"/>
              <w:bottom w:w="0" w:type="dxa"/>
              <w:right w:w="15" w:type="dxa"/>
            </w:tcMar>
            <w:vAlign w:val="bottom"/>
            <w:hideMark/>
          </w:tcPr>
          <w:p w14:paraId="66305F7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2,411.4</w:t>
            </w:r>
          </w:p>
        </w:tc>
        <w:tc>
          <w:tcPr>
            <w:tcW w:w="191" w:type="dxa"/>
            <w:shd w:val="clear" w:color="auto" w:fill="CFF0FC"/>
            <w:noWrap/>
            <w:tcMar>
              <w:top w:w="15" w:type="dxa"/>
              <w:left w:w="0" w:type="dxa"/>
              <w:bottom w:w="0" w:type="dxa"/>
              <w:right w:w="15" w:type="dxa"/>
            </w:tcMar>
            <w:vAlign w:val="bottom"/>
            <w:hideMark/>
          </w:tcPr>
          <w:p w14:paraId="68CAE72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24" w:type="dxa"/>
            <w:shd w:val="clear" w:color="auto" w:fill="CFF0FC"/>
            <w:tcMar>
              <w:top w:w="15" w:type="dxa"/>
              <w:left w:w="0" w:type="dxa"/>
              <w:bottom w:w="0" w:type="dxa"/>
              <w:right w:w="15" w:type="dxa"/>
            </w:tcMar>
            <w:vAlign w:val="bottom"/>
            <w:hideMark/>
          </w:tcPr>
          <w:p w14:paraId="4B1246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728FCA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11" w:type="dxa"/>
            <w:tcBorders>
              <w:top w:val="single" w:sz="6" w:space="0" w:color="000000"/>
            </w:tcBorders>
            <w:shd w:val="clear" w:color="auto" w:fill="CFF0FC"/>
            <w:noWrap/>
            <w:tcMar>
              <w:top w:w="15" w:type="dxa"/>
              <w:left w:w="0" w:type="dxa"/>
              <w:bottom w:w="0" w:type="dxa"/>
              <w:right w:w="15" w:type="dxa"/>
            </w:tcMar>
            <w:vAlign w:val="bottom"/>
            <w:hideMark/>
          </w:tcPr>
          <w:p w14:paraId="1A70F79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2,094.2</w:t>
            </w:r>
          </w:p>
        </w:tc>
        <w:tc>
          <w:tcPr>
            <w:tcW w:w="191" w:type="dxa"/>
            <w:shd w:val="clear" w:color="auto" w:fill="CFF0FC"/>
            <w:noWrap/>
            <w:tcMar>
              <w:top w:w="15" w:type="dxa"/>
              <w:left w:w="0" w:type="dxa"/>
              <w:bottom w:w="0" w:type="dxa"/>
              <w:right w:w="15" w:type="dxa"/>
            </w:tcMar>
            <w:vAlign w:val="bottom"/>
            <w:hideMark/>
          </w:tcPr>
          <w:p w14:paraId="7AD852A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24" w:type="dxa"/>
            <w:shd w:val="clear" w:color="auto" w:fill="CFF0FC"/>
            <w:tcMar>
              <w:top w:w="15" w:type="dxa"/>
              <w:left w:w="0" w:type="dxa"/>
              <w:bottom w:w="0" w:type="dxa"/>
              <w:right w:w="15" w:type="dxa"/>
            </w:tcMar>
            <w:vAlign w:val="bottom"/>
            <w:hideMark/>
          </w:tcPr>
          <w:p w14:paraId="57E773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5472DE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11" w:type="dxa"/>
            <w:tcBorders>
              <w:top w:val="single" w:sz="6" w:space="0" w:color="000000"/>
            </w:tcBorders>
            <w:shd w:val="clear" w:color="auto" w:fill="CFF0FC"/>
            <w:noWrap/>
            <w:tcMar>
              <w:top w:w="15" w:type="dxa"/>
              <w:left w:w="0" w:type="dxa"/>
              <w:bottom w:w="0" w:type="dxa"/>
              <w:right w:w="15" w:type="dxa"/>
            </w:tcMar>
            <w:vAlign w:val="bottom"/>
            <w:hideMark/>
          </w:tcPr>
          <w:p w14:paraId="76B8AB1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2,229.7</w:t>
            </w:r>
          </w:p>
        </w:tc>
        <w:tc>
          <w:tcPr>
            <w:tcW w:w="191" w:type="dxa"/>
            <w:shd w:val="clear" w:color="auto" w:fill="CFF0FC"/>
            <w:noWrap/>
            <w:tcMar>
              <w:top w:w="15" w:type="dxa"/>
              <w:left w:w="0" w:type="dxa"/>
              <w:bottom w:w="0" w:type="dxa"/>
              <w:right w:w="15" w:type="dxa"/>
            </w:tcMar>
            <w:vAlign w:val="bottom"/>
            <w:hideMark/>
          </w:tcPr>
          <w:p w14:paraId="2587953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24" w:type="dxa"/>
            <w:shd w:val="clear" w:color="auto" w:fill="CFF0FC"/>
            <w:tcMar>
              <w:top w:w="15" w:type="dxa"/>
              <w:left w:w="0" w:type="dxa"/>
              <w:bottom w:w="0" w:type="dxa"/>
              <w:right w:w="15" w:type="dxa"/>
            </w:tcMar>
            <w:vAlign w:val="bottom"/>
            <w:hideMark/>
          </w:tcPr>
          <w:p w14:paraId="5D73A0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7D8294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11" w:type="dxa"/>
            <w:tcBorders>
              <w:top w:val="single" w:sz="6" w:space="0" w:color="000000"/>
            </w:tcBorders>
            <w:shd w:val="clear" w:color="auto" w:fill="CFF0FC"/>
            <w:noWrap/>
            <w:tcMar>
              <w:top w:w="15" w:type="dxa"/>
              <w:left w:w="0" w:type="dxa"/>
              <w:bottom w:w="0" w:type="dxa"/>
              <w:right w:w="15" w:type="dxa"/>
            </w:tcMar>
            <w:vAlign w:val="bottom"/>
            <w:hideMark/>
          </w:tcPr>
          <w:p w14:paraId="7AB40A5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1,330.4</w:t>
            </w:r>
          </w:p>
        </w:tc>
        <w:tc>
          <w:tcPr>
            <w:tcW w:w="191" w:type="dxa"/>
            <w:shd w:val="clear" w:color="auto" w:fill="CFF0FC"/>
            <w:noWrap/>
            <w:tcMar>
              <w:top w:w="15" w:type="dxa"/>
              <w:left w:w="0" w:type="dxa"/>
              <w:bottom w:w="0" w:type="dxa"/>
              <w:right w:w="15" w:type="dxa"/>
            </w:tcMar>
            <w:vAlign w:val="bottom"/>
            <w:hideMark/>
          </w:tcPr>
          <w:p w14:paraId="67FE8AD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24" w:type="dxa"/>
            <w:shd w:val="clear" w:color="auto" w:fill="CFF0FC"/>
            <w:tcMar>
              <w:top w:w="15" w:type="dxa"/>
              <w:left w:w="0" w:type="dxa"/>
              <w:bottom w:w="0" w:type="dxa"/>
              <w:right w:w="15" w:type="dxa"/>
            </w:tcMar>
            <w:vAlign w:val="bottom"/>
            <w:hideMark/>
          </w:tcPr>
          <w:p w14:paraId="2B2254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F1EA9E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11" w:type="dxa"/>
            <w:tcBorders>
              <w:top w:val="single" w:sz="6" w:space="0" w:color="000000"/>
            </w:tcBorders>
            <w:shd w:val="clear" w:color="auto" w:fill="CFF0FC"/>
            <w:noWrap/>
            <w:tcMar>
              <w:top w:w="15" w:type="dxa"/>
              <w:left w:w="0" w:type="dxa"/>
              <w:bottom w:w="0" w:type="dxa"/>
              <w:right w:w="15" w:type="dxa"/>
            </w:tcMar>
            <w:vAlign w:val="bottom"/>
            <w:hideMark/>
          </w:tcPr>
          <w:p w14:paraId="3668FA4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1,528.8</w:t>
            </w:r>
          </w:p>
        </w:tc>
        <w:tc>
          <w:tcPr>
            <w:tcW w:w="194" w:type="dxa"/>
            <w:shd w:val="clear" w:color="auto" w:fill="CFF0FC"/>
            <w:noWrap/>
            <w:tcMar>
              <w:top w:w="15" w:type="dxa"/>
              <w:left w:w="0" w:type="dxa"/>
              <w:bottom w:w="0" w:type="dxa"/>
              <w:right w:w="15" w:type="dxa"/>
            </w:tcMar>
            <w:vAlign w:val="bottom"/>
            <w:hideMark/>
          </w:tcPr>
          <w:p w14:paraId="74565D3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3616671A" w14:textId="77777777" w:rsidTr="00AC4931">
        <w:tc>
          <w:tcPr>
            <w:tcW w:w="8209" w:type="dxa"/>
            <w:shd w:val="clear" w:color="auto" w:fill="FFFFFF"/>
            <w:tcMar>
              <w:top w:w="15" w:type="dxa"/>
              <w:left w:w="0" w:type="dxa"/>
              <w:bottom w:w="0" w:type="dxa"/>
              <w:right w:w="15" w:type="dxa"/>
            </w:tcMar>
            <w:hideMark/>
          </w:tcPr>
          <w:p w14:paraId="720A8B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Cash and cash equivalents</w:t>
            </w:r>
          </w:p>
        </w:tc>
        <w:tc>
          <w:tcPr>
            <w:tcW w:w="324" w:type="dxa"/>
            <w:shd w:val="clear" w:color="auto" w:fill="FFFFFF"/>
            <w:tcMar>
              <w:top w:w="15" w:type="dxa"/>
              <w:left w:w="0" w:type="dxa"/>
              <w:bottom w:w="0" w:type="dxa"/>
              <w:right w:w="15" w:type="dxa"/>
            </w:tcMar>
            <w:vAlign w:val="bottom"/>
            <w:hideMark/>
          </w:tcPr>
          <w:p w14:paraId="1990EE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8142F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shd w:val="clear" w:color="auto" w:fill="FFFFFF"/>
            <w:noWrap/>
            <w:tcMar>
              <w:top w:w="15" w:type="dxa"/>
              <w:left w:w="0" w:type="dxa"/>
              <w:bottom w:w="0" w:type="dxa"/>
              <w:right w:w="15" w:type="dxa"/>
            </w:tcMar>
            <w:vAlign w:val="bottom"/>
            <w:hideMark/>
          </w:tcPr>
          <w:p w14:paraId="697A03F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(1,178.2</w:t>
            </w:r>
          </w:p>
        </w:tc>
        <w:tc>
          <w:tcPr>
            <w:tcW w:w="191" w:type="dxa"/>
            <w:shd w:val="clear" w:color="auto" w:fill="FFFFFF"/>
            <w:noWrap/>
            <w:tcMar>
              <w:top w:w="15" w:type="dxa"/>
              <w:left w:w="0" w:type="dxa"/>
              <w:bottom w:w="0" w:type="dxa"/>
              <w:right w:w="15" w:type="dxa"/>
            </w:tcMar>
            <w:vAlign w:val="bottom"/>
            <w:hideMark/>
          </w:tcPr>
          <w:p w14:paraId="08F7F6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24" w:type="dxa"/>
            <w:shd w:val="clear" w:color="auto" w:fill="FFFFFF"/>
            <w:tcMar>
              <w:top w:w="15" w:type="dxa"/>
              <w:left w:w="0" w:type="dxa"/>
              <w:bottom w:w="0" w:type="dxa"/>
              <w:right w:w="15" w:type="dxa"/>
            </w:tcMar>
            <w:vAlign w:val="bottom"/>
            <w:hideMark/>
          </w:tcPr>
          <w:p w14:paraId="2BABDA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ADA71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shd w:val="clear" w:color="auto" w:fill="FFFFFF"/>
            <w:noWrap/>
            <w:tcMar>
              <w:top w:w="15" w:type="dxa"/>
              <w:left w:w="0" w:type="dxa"/>
              <w:bottom w:w="0" w:type="dxa"/>
              <w:right w:w="15" w:type="dxa"/>
            </w:tcMar>
            <w:vAlign w:val="bottom"/>
            <w:hideMark/>
          </w:tcPr>
          <w:p w14:paraId="29452B9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(444.7</w:t>
            </w:r>
          </w:p>
        </w:tc>
        <w:tc>
          <w:tcPr>
            <w:tcW w:w="191" w:type="dxa"/>
            <w:shd w:val="clear" w:color="auto" w:fill="FFFFFF"/>
            <w:noWrap/>
            <w:tcMar>
              <w:top w:w="15" w:type="dxa"/>
              <w:left w:w="0" w:type="dxa"/>
              <w:bottom w:w="0" w:type="dxa"/>
              <w:right w:w="15" w:type="dxa"/>
            </w:tcMar>
            <w:vAlign w:val="bottom"/>
            <w:hideMark/>
          </w:tcPr>
          <w:p w14:paraId="5DA50E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24" w:type="dxa"/>
            <w:shd w:val="clear" w:color="auto" w:fill="FFFFFF"/>
            <w:tcMar>
              <w:top w:w="15" w:type="dxa"/>
              <w:left w:w="0" w:type="dxa"/>
              <w:bottom w:w="0" w:type="dxa"/>
              <w:right w:w="15" w:type="dxa"/>
            </w:tcMar>
            <w:vAlign w:val="bottom"/>
            <w:hideMark/>
          </w:tcPr>
          <w:p w14:paraId="202FE0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7BAF1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shd w:val="clear" w:color="auto" w:fill="FFFFFF"/>
            <w:noWrap/>
            <w:tcMar>
              <w:top w:w="15" w:type="dxa"/>
              <w:left w:w="0" w:type="dxa"/>
              <w:bottom w:w="0" w:type="dxa"/>
              <w:right w:w="15" w:type="dxa"/>
            </w:tcMar>
            <w:vAlign w:val="bottom"/>
            <w:hideMark/>
          </w:tcPr>
          <w:p w14:paraId="09C839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(615.8</w:t>
            </w:r>
          </w:p>
        </w:tc>
        <w:tc>
          <w:tcPr>
            <w:tcW w:w="191" w:type="dxa"/>
            <w:shd w:val="clear" w:color="auto" w:fill="FFFFFF"/>
            <w:noWrap/>
            <w:tcMar>
              <w:top w:w="15" w:type="dxa"/>
              <w:left w:w="0" w:type="dxa"/>
              <w:bottom w:w="0" w:type="dxa"/>
              <w:right w:w="15" w:type="dxa"/>
            </w:tcMar>
            <w:vAlign w:val="bottom"/>
            <w:hideMark/>
          </w:tcPr>
          <w:p w14:paraId="614F8F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24" w:type="dxa"/>
            <w:shd w:val="clear" w:color="auto" w:fill="FFFFFF"/>
            <w:tcMar>
              <w:top w:w="15" w:type="dxa"/>
              <w:left w:w="0" w:type="dxa"/>
              <w:bottom w:w="0" w:type="dxa"/>
              <w:right w:w="15" w:type="dxa"/>
            </w:tcMar>
            <w:vAlign w:val="bottom"/>
            <w:hideMark/>
          </w:tcPr>
          <w:p w14:paraId="445100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28304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shd w:val="clear" w:color="auto" w:fill="FFFFFF"/>
            <w:noWrap/>
            <w:tcMar>
              <w:top w:w="15" w:type="dxa"/>
              <w:left w:w="0" w:type="dxa"/>
              <w:bottom w:w="0" w:type="dxa"/>
              <w:right w:w="15" w:type="dxa"/>
            </w:tcMar>
            <w:vAlign w:val="bottom"/>
            <w:hideMark/>
          </w:tcPr>
          <w:p w14:paraId="2742CD1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(959.5</w:t>
            </w:r>
          </w:p>
        </w:tc>
        <w:tc>
          <w:tcPr>
            <w:tcW w:w="191" w:type="dxa"/>
            <w:shd w:val="clear" w:color="auto" w:fill="FFFFFF"/>
            <w:noWrap/>
            <w:tcMar>
              <w:top w:w="15" w:type="dxa"/>
              <w:left w:w="0" w:type="dxa"/>
              <w:bottom w:w="0" w:type="dxa"/>
              <w:right w:w="15" w:type="dxa"/>
            </w:tcMar>
            <w:vAlign w:val="bottom"/>
            <w:hideMark/>
          </w:tcPr>
          <w:p w14:paraId="48C1E5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24" w:type="dxa"/>
            <w:shd w:val="clear" w:color="auto" w:fill="FFFFFF"/>
            <w:tcMar>
              <w:top w:w="15" w:type="dxa"/>
              <w:left w:w="0" w:type="dxa"/>
              <w:bottom w:w="0" w:type="dxa"/>
              <w:right w:w="15" w:type="dxa"/>
            </w:tcMar>
            <w:vAlign w:val="bottom"/>
            <w:hideMark/>
          </w:tcPr>
          <w:p w14:paraId="519DE2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0FCA8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shd w:val="clear" w:color="auto" w:fill="FFFFFF"/>
            <w:noWrap/>
            <w:tcMar>
              <w:top w:w="15" w:type="dxa"/>
              <w:left w:w="0" w:type="dxa"/>
              <w:bottom w:w="0" w:type="dxa"/>
              <w:right w:w="15" w:type="dxa"/>
            </w:tcMar>
            <w:vAlign w:val="bottom"/>
            <w:hideMark/>
          </w:tcPr>
          <w:p w14:paraId="67EA895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(1,226.7</w:t>
            </w:r>
          </w:p>
        </w:tc>
        <w:tc>
          <w:tcPr>
            <w:tcW w:w="194" w:type="dxa"/>
            <w:shd w:val="clear" w:color="auto" w:fill="FFFFFF"/>
            <w:noWrap/>
            <w:tcMar>
              <w:top w:w="15" w:type="dxa"/>
              <w:left w:w="0" w:type="dxa"/>
              <w:bottom w:w="0" w:type="dxa"/>
              <w:right w:w="15" w:type="dxa"/>
            </w:tcMar>
            <w:vAlign w:val="bottom"/>
            <w:hideMark/>
          </w:tcPr>
          <w:p w14:paraId="2BA362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CC4C268" w14:textId="77777777" w:rsidTr="00AC4931">
        <w:tc>
          <w:tcPr>
            <w:tcW w:w="8209" w:type="dxa"/>
            <w:shd w:val="clear" w:color="auto" w:fill="CFF0FC"/>
            <w:tcMar>
              <w:top w:w="15" w:type="dxa"/>
              <w:left w:w="0" w:type="dxa"/>
              <w:bottom w:w="0" w:type="dxa"/>
              <w:right w:w="15" w:type="dxa"/>
            </w:tcMar>
            <w:hideMark/>
          </w:tcPr>
          <w:p w14:paraId="147E1D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Debt issuance cost/Debt-related derivatives, net</w:t>
            </w:r>
          </w:p>
        </w:tc>
        <w:tc>
          <w:tcPr>
            <w:tcW w:w="324" w:type="dxa"/>
            <w:shd w:val="clear" w:color="auto" w:fill="CFF0FC"/>
            <w:tcMar>
              <w:top w:w="15" w:type="dxa"/>
              <w:left w:w="0" w:type="dxa"/>
              <w:bottom w:w="0" w:type="dxa"/>
              <w:right w:w="15" w:type="dxa"/>
            </w:tcMar>
            <w:vAlign w:val="bottom"/>
            <w:hideMark/>
          </w:tcPr>
          <w:p w14:paraId="454BD9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9E9FB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tcBorders>
              <w:bottom w:val="single" w:sz="6" w:space="0" w:color="000000"/>
            </w:tcBorders>
            <w:shd w:val="clear" w:color="auto" w:fill="CFF0FC"/>
            <w:noWrap/>
            <w:tcMar>
              <w:top w:w="15" w:type="dxa"/>
              <w:left w:w="0" w:type="dxa"/>
              <w:bottom w:w="0" w:type="dxa"/>
              <w:right w:w="15" w:type="dxa"/>
            </w:tcMar>
            <w:vAlign w:val="bottom"/>
            <w:hideMark/>
          </w:tcPr>
          <w:p w14:paraId="705C155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(19.0</w:t>
            </w:r>
          </w:p>
        </w:tc>
        <w:tc>
          <w:tcPr>
            <w:tcW w:w="191" w:type="dxa"/>
            <w:shd w:val="clear" w:color="auto" w:fill="CFF0FC"/>
            <w:noWrap/>
            <w:tcMar>
              <w:top w:w="15" w:type="dxa"/>
              <w:left w:w="0" w:type="dxa"/>
              <w:bottom w:w="0" w:type="dxa"/>
              <w:right w:w="15" w:type="dxa"/>
            </w:tcMar>
            <w:vAlign w:val="bottom"/>
            <w:hideMark/>
          </w:tcPr>
          <w:p w14:paraId="17AC8C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24" w:type="dxa"/>
            <w:shd w:val="clear" w:color="auto" w:fill="CFF0FC"/>
            <w:tcMar>
              <w:top w:w="15" w:type="dxa"/>
              <w:left w:w="0" w:type="dxa"/>
              <w:bottom w:w="0" w:type="dxa"/>
              <w:right w:w="15" w:type="dxa"/>
            </w:tcMar>
            <w:vAlign w:val="bottom"/>
            <w:hideMark/>
          </w:tcPr>
          <w:p w14:paraId="518554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2FBBF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tcBorders>
              <w:bottom w:val="single" w:sz="6" w:space="0" w:color="000000"/>
            </w:tcBorders>
            <w:shd w:val="clear" w:color="auto" w:fill="CFF0FC"/>
            <w:noWrap/>
            <w:tcMar>
              <w:top w:w="15" w:type="dxa"/>
              <w:left w:w="0" w:type="dxa"/>
              <w:bottom w:w="0" w:type="dxa"/>
              <w:right w:w="15" w:type="dxa"/>
            </w:tcMar>
            <w:vAlign w:val="bottom"/>
            <w:hideMark/>
          </w:tcPr>
          <w:p w14:paraId="0EF2750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91" w:type="dxa"/>
            <w:shd w:val="clear" w:color="auto" w:fill="CFF0FC"/>
            <w:noWrap/>
            <w:tcMar>
              <w:top w:w="15" w:type="dxa"/>
              <w:left w:w="0" w:type="dxa"/>
              <w:bottom w:w="0" w:type="dxa"/>
              <w:right w:w="15" w:type="dxa"/>
            </w:tcMar>
            <w:vAlign w:val="bottom"/>
            <w:hideMark/>
          </w:tcPr>
          <w:p w14:paraId="068142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4" w:type="dxa"/>
            <w:shd w:val="clear" w:color="auto" w:fill="CFF0FC"/>
            <w:tcMar>
              <w:top w:w="15" w:type="dxa"/>
              <w:left w:w="0" w:type="dxa"/>
              <w:bottom w:w="0" w:type="dxa"/>
              <w:right w:w="15" w:type="dxa"/>
            </w:tcMar>
            <w:vAlign w:val="bottom"/>
            <w:hideMark/>
          </w:tcPr>
          <w:p w14:paraId="27D1A9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16AF1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tcBorders>
              <w:bottom w:val="single" w:sz="6" w:space="0" w:color="000000"/>
            </w:tcBorders>
            <w:shd w:val="clear" w:color="auto" w:fill="CFF0FC"/>
            <w:noWrap/>
            <w:tcMar>
              <w:top w:w="15" w:type="dxa"/>
              <w:left w:w="0" w:type="dxa"/>
              <w:bottom w:w="0" w:type="dxa"/>
              <w:right w:w="15" w:type="dxa"/>
            </w:tcMar>
            <w:vAlign w:val="bottom"/>
            <w:hideMark/>
          </w:tcPr>
          <w:p w14:paraId="6ED14CD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4.9</w:t>
            </w:r>
          </w:p>
        </w:tc>
        <w:tc>
          <w:tcPr>
            <w:tcW w:w="191" w:type="dxa"/>
            <w:shd w:val="clear" w:color="auto" w:fill="CFF0FC"/>
            <w:noWrap/>
            <w:tcMar>
              <w:top w:w="15" w:type="dxa"/>
              <w:left w:w="0" w:type="dxa"/>
              <w:bottom w:w="0" w:type="dxa"/>
              <w:right w:w="15" w:type="dxa"/>
            </w:tcMar>
            <w:vAlign w:val="bottom"/>
            <w:hideMark/>
          </w:tcPr>
          <w:p w14:paraId="6E7D08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4" w:type="dxa"/>
            <w:shd w:val="clear" w:color="auto" w:fill="CFF0FC"/>
            <w:tcMar>
              <w:top w:w="15" w:type="dxa"/>
              <w:left w:w="0" w:type="dxa"/>
              <w:bottom w:w="0" w:type="dxa"/>
              <w:right w:w="15" w:type="dxa"/>
            </w:tcMar>
            <w:vAlign w:val="bottom"/>
            <w:hideMark/>
          </w:tcPr>
          <w:p w14:paraId="4DAACC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C86DF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tcBorders>
              <w:bottom w:val="single" w:sz="6" w:space="0" w:color="000000"/>
            </w:tcBorders>
            <w:shd w:val="clear" w:color="auto" w:fill="CFF0FC"/>
            <w:noWrap/>
            <w:tcMar>
              <w:top w:w="15" w:type="dxa"/>
              <w:left w:w="0" w:type="dxa"/>
              <w:bottom w:w="0" w:type="dxa"/>
              <w:right w:w="15" w:type="dxa"/>
            </w:tcMar>
            <w:vAlign w:val="bottom"/>
            <w:hideMark/>
          </w:tcPr>
          <w:p w14:paraId="4D485A2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w:t>
            </w:r>
          </w:p>
        </w:tc>
        <w:tc>
          <w:tcPr>
            <w:tcW w:w="191" w:type="dxa"/>
            <w:shd w:val="clear" w:color="auto" w:fill="CFF0FC"/>
            <w:noWrap/>
            <w:tcMar>
              <w:top w:w="15" w:type="dxa"/>
              <w:left w:w="0" w:type="dxa"/>
              <w:bottom w:w="0" w:type="dxa"/>
              <w:right w:w="15" w:type="dxa"/>
            </w:tcMar>
            <w:vAlign w:val="bottom"/>
            <w:hideMark/>
          </w:tcPr>
          <w:p w14:paraId="6BB7CE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24" w:type="dxa"/>
            <w:shd w:val="clear" w:color="auto" w:fill="CFF0FC"/>
            <w:tcMar>
              <w:top w:w="15" w:type="dxa"/>
              <w:left w:w="0" w:type="dxa"/>
              <w:bottom w:w="0" w:type="dxa"/>
              <w:right w:w="15" w:type="dxa"/>
            </w:tcMar>
            <w:vAlign w:val="bottom"/>
            <w:hideMark/>
          </w:tcPr>
          <w:p w14:paraId="05763A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3B8E9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1" w:type="dxa"/>
            <w:tcBorders>
              <w:bottom w:val="single" w:sz="6" w:space="0" w:color="000000"/>
            </w:tcBorders>
            <w:shd w:val="clear" w:color="auto" w:fill="CFF0FC"/>
            <w:noWrap/>
            <w:tcMar>
              <w:top w:w="15" w:type="dxa"/>
              <w:left w:w="0" w:type="dxa"/>
              <w:bottom w:w="0" w:type="dxa"/>
              <w:right w:w="15" w:type="dxa"/>
            </w:tcMar>
            <w:vAlign w:val="bottom"/>
            <w:hideMark/>
          </w:tcPr>
          <w:p w14:paraId="07DC5F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w:t>
            </w:r>
          </w:p>
        </w:tc>
        <w:tc>
          <w:tcPr>
            <w:tcW w:w="194" w:type="dxa"/>
            <w:shd w:val="clear" w:color="auto" w:fill="CFF0FC"/>
            <w:noWrap/>
            <w:tcMar>
              <w:top w:w="15" w:type="dxa"/>
              <w:left w:w="0" w:type="dxa"/>
              <w:bottom w:w="0" w:type="dxa"/>
              <w:right w:w="15" w:type="dxa"/>
            </w:tcMar>
            <w:vAlign w:val="bottom"/>
            <w:hideMark/>
          </w:tcPr>
          <w:p w14:paraId="2C4136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0201FD8" w14:textId="77777777" w:rsidTr="00AC4931">
        <w:tc>
          <w:tcPr>
            <w:tcW w:w="8209" w:type="dxa"/>
            <w:shd w:val="clear" w:color="auto" w:fill="FFFFFF"/>
            <w:tcMar>
              <w:top w:w="15" w:type="dxa"/>
              <w:left w:w="0" w:type="dxa"/>
              <w:bottom w:w="0" w:type="dxa"/>
              <w:right w:w="15" w:type="dxa"/>
            </w:tcMar>
            <w:hideMark/>
          </w:tcPr>
          <w:p w14:paraId="0362F68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debt</w:t>
            </w:r>
          </w:p>
        </w:tc>
        <w:tc>
          <w:tcPr>
            <w:tcW w:w="324" w:type="dxa"/>
            <w:shd w:val="clear" w:color="auto" w:fill="FFFFFF"/>
            <w:tcMar>
              <w:top w:w="15" w:type="dxa"/>
              <w:left w:w="0" w:type="dxa"/>
              <w:bottom w:w="0" w:type="dxa"/>
              <w:right w:w="15" w:type="dxa"/>
            </w:tcMar>
            <w:vAlign w:val="bottom"/>
            <w:hideMark/>
          </w:tcPr>
          <w:p w14:paraId="0697B43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04E882E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11" w:type="dxa"/>
            <w:tcBorders>
              <w:top w:val="single" w:sz="6" w:space="0" w:color="000000"/>
            </w:tcBorders>
            <w:shd w:val="clear" w:color="auto" w:fill="FFFFFF"/>
            <w:noWrap/>
            <w:tcMar>
              <w:top w:w="15" w:type="dxa"/>
              <w:left w:w="0" w:type="dxa"/>
              <w:bottom w:w="0" w:type="dxa"/>
              <w:right w:w="15" w:type="dxa"/>
            </w:tcMar>
            <w:vAlign w:val="bottom"/>
            <w:hideMark/>
          </w:tcPr>
          <w:p w14:paraId="66F2E69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1,214.2</w:t>
            </w:r>
          </w:p>
        </w:tc>
        <w:tc>
          <w:tcPr>
            <w:tcW w:w="191" w:type="dxa"/>
            <w:shd w:val="clear" w:color="auto" w:fill="FFFFFF"/>
            <w:noWrap/>
            <w:tcMar>
              <w:top w:w="15" w:type="dxa"/>
              <w:left w:w="0" w:type="dxa"/>
              <w:bottom w:w="0" w:type="dxa"/>
              <w:right w:w="15" w:type="dxa"/>
            </w:tcMar>
            <w:vAlign w:val="bottom"/>
            <w:hideMark/>
          </w:tcPr>
          <w:p w14:paraId="0F84B5F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24" w:type="dxa"/>
            <w:shd w:val="clear" w:color="auto" w:fill="FFFFFF"/>
            <w:tcMar>
              <w:top w:w="15" w:type="dxa"/>
              <w:left w:w="0" w:type="dxa"/>
              <w:bottom w:w="0" w:type="dxa"/>
              <w:right w:w="15" w:type="dxa"/>
            </w:tcMar>
            <w:vAlign w:val="bottom"/>
            <w:hideMark/>
          </w:tcPr>
          <w:p w14:paraId="7145F5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3D9235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11" w:type="dxa"/>
            <w:tcBorders>
              <w:top w:val="single" w:sz="6" w:space="0" w:color="000000"/>
            </w:tcBorders>
            <w:shd w:val="clear" w:color="auto" w:fill="FFFFFF"/>
            <w:noWrap/>
            <w:tcMar>
              <w:top w:w="15" w:type="dxa"/>
              <w:left w:w="0" w:type="dxa"/>
              <w:bottom w:w="0" w:type="dxa"/>
              <w:right w:w="15" w:type="dxa"/>
            </w:tcMar>
            <w:vAlign w:val="bottom"/>
            <w:hideMark/>
          </w:tcPr>
          <w:p w14:paraId="5C2D974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1,649.8</w:t>
            </w:r>
          </w:p>
        </w:tc>
        <w:tc>
          <w:tcPr>
            <w:tcW w:w="191" w:type="dxa"/>
            <w:shd w:val="clear" w:color="auto" w:fill="FFFFFF"/>
            <w:noWrap/>
            <w:tcMar>
              <w:top w:w="15" w:type="dxa"/>
              <w:left w:w="0" w:type="dxa"/>
              <w:bottom w:w="0" w:type="dxa"/>
              <w:right w:w="15" w:type="dxa"/>
            </w:tcMar>
            <w:vAlign w:val="bottom"/>
            <w:hideMark/>
          </w:tcPr>
          <w:p w14:paraId="5C121E8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24" w:type="dxa"/>
            <w:shd w:val="clear" w:color="auto" w:fill="FFFFFF"/>
            <w:tcMar>
              <w:top w:w="15" w:type="dxa"/>
              <w:left w:w="0" w:type="dxa"/>
              <w:bottom w:w="0" w:type="dxa"/>
              <w:right w:w="15" w:type="dxa"/>
            </w:tcMar>
            <w:vAlign w:val="bottom"/>
            <w:hideMark/>
          </w:tcPr>
          <w:p w14:paraId="3E299A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5D2B274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11" w:type="dxa"/>
            <w:tcBorders>
              <w:top w:val="single" w:sz="6" w:space="0" w:color="000000"/>
            </w:tcBorders>
            <w:shd w:val="clear" w:color="auto" w:fill="FFFFFF"/>
            <w:noWrap/>
            <w:tcMar>
              <w:top w:w="15" w:type="dxa"/>
              <w:left w:w="0" w:type="dxa"/>
              <w:bottom w:w="0" w:type="dxa"/>
              <w:right w:w="15" w:type="dxa"/>
            </w:tcMar>
            <w:vAlign w:val="bottom"/>
            <w:hideMark/>
          </w:tcPr>
          <w:p w14:paraId="5B8FEE4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1,618.8</w:t>
            </w:r>
          </w:p>
        </w:tc>
        <w:tc>
          <w:tcPr>
            <w:tcW w:w="191" w:type="dxa"/>
            <w:shd w:val="clear" w:color="auto" w:fill="FFFFFF"/>
            <w:noWrap/>
            <w:tcMar>
              <w:top w:w="15" w:type="dxa"/>
              <w:left w:w="0" w:type="dxa"/>
              <w:bottom w:w="0" w:type="dxa"/>
              <w:right w:w="15" w:type="dxa"/>
            </w:tcMar>
            <w:vAlign w:val="bottom"/>
            <w:hideMark/>
          </w:tcPr>
          <w:p w14:paraId="3BB4AE7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24" w:type="dxa"/>
            <w:shd w:val="clear" w:color="auto" w:fill="FFFFFF"/>
            <w:tcMar>
              <w:top w:w="15" w:type="dxa"/>
              <w:left w:w="0" w:type="dxa"/>
              <w:bottom w:w="0" w:type="dxa"/>
              <w:right w:w="15" w:type="dxa"/>
            </w:tcMar>
            <w:vAlign w:val="bottom"/>
            <w:hideMark/>
          </w:tcPr>
          <w:p w14:paraId="1D9636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6C4A7F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11" w:type="dxa"/>
            <w:tcBorders>
              <w:top w:val="single" w:sz="6" w:space="0" w:color="000000"/>
            </w:tcBorders>
            <w:shd w:val="clear" w:color="auto" w:fill="FFFFFF"/>
            <w:noWrap/>
            <w:tcMar>
              <w:top w:w="15" w:type="dxa"/>
              <w:left w:w="0" w:type="dxa"/>
              <w:bottom w:w="0" w:type="dxa"/>
              <w:right w:w="15" w:type="dxa"/>
            </w:tcMar>
            <w:vAlign w:val="bottom"/>
            <w:hideMark/>
          </w:tcPr>
          <w:p w14:paraId="616D629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368.4</w:t>
            </w:r>
          </w:p>
        </w:tc>
        <w:tc>
          <w:tcPr>
            <w:tcW w:w="191" w:type="dxa"/>
            <w:shd w:val="clear" w:color="auto" w:fill="FFFFFF"/>
            <w:noWrap/>
            <w:tcMar>
              <w:top w:w="15" w:type="dxa"/>
              <w:left w:w="0" w:type="dxa"/>
              <w:bottom w:w="0" w:type="dxa"/>
              <w:right w:w="15" w:type="dxa"/>
            </w:tcMar>
            <w:vAlign w:val="bottom"/>
            <w:hideMark/>
          </w:tcPr>
          <w:p w14:paraId="3C6CE26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24" w:type="dxa"/>
            <w:shd w:val="clear" w:color="auto" w:fill="FFFFFF"/>
            <w:tcMar>
              <w:top w:w="15" w:type="dxa"/>
              <w:left w:w="0" w:type="dxa"/>
              <w:bottom w:w="0" w:type="dxa"/>
              <w:right w:w="15" w:type="dxa"/>
            </w:tcMar>
            <w:vAlign w:val="bottom"/>
            <w:hideMark/>
          </w:tcPr>
          <w:p w14:paraId="38353F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DCBA48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11" w:type="dxa"/>
            <w:tcBorders>
              <w:top w:val="single" w:sz="6" w:space="0" w:color="000000"/>
            </w:tcBorders>
            <w:shd w:val="clear" w:color="auto" w:fill="FFFFFF"/>
            <w:noWrap/>
            <w:tcMar>
              <w:top w:w="15" w:type="dxa"/>
              <w:left w:w="0" w:type="dxa"/>
              <w:bottom w:w="0" w:type="dxa"/>
              <w:right w:w="15" w:type="dxa"/>
            </w:tcMar>
            <w:vAlign w:val="bottom"/>
            <w:hideMark/>
          </w:tcPr>
          <w:p w14:paraId="3872AFA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298.7</w:t>
            </w:r>
          </w:p>
        </w:tc>
        <w:tc>
          <w:tcPr>
            <w:tcW w:w="194" w:type="dxa"/>
            <w:shd w:val="clear" w:color="auto" w:fill="FFFFFF"/>
            <w:noWrap/>
            <w:tcMar>
              <w:top w:w="15" w:type="dxa"/>
              <w:left w:w="0" w:type="dxa"/>
              <w:bottom w:w="0" w:type="dxa"/>
              <w:right w:w="15" w:type="dxa"/>
            </w:tcMar>
            <w:vAlign w:val="bottom"/>
            <w:hideMark/>
          </w:tcPr>
          <w:p w14:paraId="22CA25FD"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2B727F81" w14:textId="77777777" w:rsidR="00AC4931" w:rsidRPr="00AC4931" w:rsidRDefault="00AC4931" w:rsidP="00AC4931">
      <w:pPr>
        <w:widowControl/>
        <w:rPr>
          <w:rFonts w:ascii="微软雅黑" w:eastAsia="微软雅黑" w:hAnsi="微软雅黑" w:cs="宋体"/>
          <w:b/>
          <w:bCs/>
          <w:color w:val="000000"/>
          <w:kern w:val="0"/>
          <w:sz w:val="24"/>
          <w:szCs w:val="24"/>
        </w:rPr>
      </w:pPr>
      <w:r w:rsidRPr="00AC4931">
        <w:rPr>
          <w:rFonts w:ascii="微软雅黑" w:eastAsia="微软雅黑" w:hAnsi="微软雅黑" w:cs="宋体" w:hint="eastAsia"/>
          <w:b/>
          <w:bCs/>
          <w:color w:val="000000"/>
          <w:kern w:val="0"/>
          <w:sz w:val="24"/>
          <w:szCs w:val="24"/>
        </w:rPr>
        <w:t> </w:t>
      </w:r>
    </w:p>
    <w:p w14:paraId="62925021" w14:textId="77777777" w:rsidR="00AC4931" w:rsidRPr="00AC4931" w:rsidRDefault="00AC4931" w:rsidP="00AC4931">
      <w:pPr>
        <w:widowControl/>
        <w:spacing w:before="10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OPERATING WORKING CAPITAL</w:t>
      </w:r>
    </w:p>
    <w:p w14:paraId="2218DAC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Due to the need to optimize cash generation to create value for our shareholders, management focuses on operationally derived working capital as defined in the table above.</w:t>
      </w:r>
    </w:p>
    <w:p w14:paraId="2E8DE780"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reconciling items used to derive this measure are, by contrast, managed as part of our overall management of cash and debt, but they are not part of the responsibilities of day-to-day operations management.</w:t>
      </w:r>
    </w:p>
    <w:p w14:paraId="14F6DFDC"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DF6C3E7"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NET DEBT</w:t>
      </w:r>
    </w:p>
    <w:p w14:paraId="5EC64B9C"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As part of efficiently managing the Company’s overall cost of funds, we routinely enter into “debt-related derivatives” (DRD) as part of our debt management.</w:t>
      </w:r>
    </w:p>
    <w:p w14:paraId="784F7F94"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Creditors and credit rating agencies use net debt adjusted for DRD in their analyses of the Company’s debt and therefore we provide this non-U.S. GAAP measure. DRD are fair value adjustments to the carrying value of the underlying debt. Also included in the DRD is the unamortized fair value adjustment related to discontinued fair value hedges, which will be amortized over the remaining life of the debt. By adjusting for DRD, the total financial liability of net debt is disclosed without grossing debt up with currency or interest fair values.</w:t>
      </w:r>
    </w:p>
    <w:p w14:paraId="1CDE3DCA"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4F52CF3"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36</w:t>
      </w:r>
    </w:p>
    <w:p w14:paraId="1CCA337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424C66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lastRenderedPageBreak/>
        <w:t> </w:t>
      </w:r>
    </w:p>
    <w:p w14:paraId="61DD22E8"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B90F9EA"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39CF3F1">
          <v:rect id="_x0000_i1063" style="width:0;height:1.5pt" o:hralign="center" o:hrstd="t" o:hrnoshade="t" o:hr="t" fillcolor="black" stroked="f"/>
        </w:pict>
      </w:r>
    </w:p>
    <w:p w14:paraId="03D08BD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2912DB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69490D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C845DCB"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0D0F139C" w14:textId="77777777" w:rsidR="00AC4931" w:rsidRPr="00AC4931" w:rsidRDefault="00AC4931" w:rsidP="00AC4931">
      <w:pPr>
        <w:widowControl/>
        <w:spacing w:before="16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ADJUSTED OPERATING INCOME AND OPERATING MARGIN AND ADJUSTED EPS</w:t>
      </w:r>
    </w:p>
    <w:p w14:paraId="166FF98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Adjusted operating margin and adjusted EPS are non-GAAP measures our management uses to evaluate our business, because we believe they assist investors and analysts in comparing our performance across reporting periods on a consistent basis by excluding items that are non-operational or non-recurring in nature (such as costs related to capacity alignments, costs related to antitrust matters, separation costs and for EPS unusual tax items) and that we do not believe are indicative of our core operating performance and underlying business trends. Adjusted operating margin and adjusted EPS should be considered in addition to, but not as a substitute for, other measures of financial performance reported in accordance with U.S. GAAP, including operating margin and EPS.</w:t>
      </w:r>
    </w:p>
    <w:p w14:paraId="60C37552" w14:textId="77777777" w:rsidR="00AC4931" w:rsidRPr="00AC4931" w:rsidRDefault="00AC4931" w:rsidP="00AC4931">
      <w:pPr>
        <w:widowControl/>
        <w:spacing w:before="120"/>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8526"/>
        <w:gridCol w:w="319"/>
        <w:gridCol w:w="199"/>
        <w:gridCol w:w="1379"/>
        <w:gridCol w:w="199"/>
        <w:gridCol w:w="319"/>
        <w:gridCol w:w="199"/>
        <w:gridCol w:w="1239"/>
        <w:gridCol w:w="199"/>
        <w:gridCol w:w="319"/>
        <w:gridCol w:w="199"/>
        <w:gridCol w:w="1219"/>
        <w:gridCol w:w="199"/>
        <w:gridCol w:w="319"/>
        <w:gridCol w:w="199"/>
        <w:gridCol w:w="1379"/>
        <w:gridCol w:w="199"/>
        <w:gridCol w:w="319"/>
        <w:gridCol w:w="199"/>
        <w:gridCol w:w="1239"/>
        <w:gridCol w:w="199"/>
        <w:gridCol w:w="319"/>
        <w:gridCol w:w="199"/>
        <w:gridCol w:w="1330"/>
        <w:gridCol w:w="200"/>
      </w:tblGrid>
      <w:tr w:rsidR="00AC4931" w:rsidRPr="00AC4931" w14:paraId="4FC5BFC9" w14:textId="77777777" w:rsidTr="00AC4931">
        <w:tc>
          <w:tcPr>
            <w:tcW w:w="8522" w:type="dxa"/>
            <w:shd w:val="clear" w:color="auto" w:fill="FFFFFF"/>
            <w:tcMar>
              <w:top w:w="15" w:type="dxa"/>
              <w:left w:w="0" w:type="dxa"/>
              <w:bottom w:w="0" w:type="dxa"/>
              <w:right w:w="15" w:type="dxa"/>
            </w:tcMar>
            <w:vAlign w:val="bottom"/>
            <w:hideMark/>
          </w:tcPr>
          <w:p w14:paraId="4578B21D" w14:textId="77777777" w:rsidR="00AC4931" w:rsidRPr="00AC4931" w:rsidRDefault="00AC4931" w:rsidP="00AC4931">
            <w:pPr>
              <w:widowControl/>
              <w:jc w:val="left"/>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ITEMS AFFECTING COMPARABILITY</w:t>
            </w:r>
          </w:p>
        </w:tc>
        <w:tc>
          <w:tcPr>
            <w:tcW w:w="319" w:type="dxa"/>
            <w:shd w:val="clear" w:color="auto" w:fill="FFFFFF"/>
            <w:tcMar>
              <w:top w:w="15" w:type="dxa"/>
              <w:left w:w="0" w:type="dxa"/>
              <w:bottom w:w="0" w:type="dxa"/>
              <w:right w:w="15" w:type="dxa"/>
            </w:tcMar>
            <w:vAlign w:val="bottom"/>
            <w:hideMark/>
          </w:tcPr>
          <w:p w14:paraId="4255EEE2"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5BA209A"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363" w:type="dxa"/>
            <w:shd w:val="clear" w:color="auto" w:fill="FFFFFF"/>
            <w:noWrap/>
            <w:tcMar>
              <w:top w:w="15" w:type="dxa"/>
              <w:left w:w="0" w:type="dxa"/>
              <w:bottom w:w="0" w:type="dxa"/>
              <w:right w:w="15" w:type="dxa"/>
            </w:tcMar>
            <w:vAlign w:val="bottom"/>
            <w:hideMark/>
          </w:tcPr>
          <w:p w14:paraId="00819F3F"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7C6EB90"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19" w:type="dxa"/>
            <w:shd w:val="clear" w:color="auto" w:fill="FFFFFF"/>
            <w:tcMar>
              <w:top w:w="15" w:type="dxa"/>
              <w:left w:w="0" w:type="dxa"/>
              <w:bottom w:w="0" w:type="dxa"/>
              <w:right w:w="15" w:type="dxa"/>
            </w:tcMar>
            <w:vAlign w:val="bottom"/>
            <w:hideMark/>
          </w:tcPr>
          <w:p w14:paraId="7547A537"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89A1345"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223" w:type="dxa"/>
            <w:shd w:val="clear" w:color="auto" w:fill="FFFFFF"/>
            <w:noWrap/>
            <w:tcMar>
              <w:top w:w="15" w:type="dxa"/>
              <w:left w:w="0" w:type="dxa"/>
              <w:bottom w:w="0" w:type="dxa"/>
              <w:right w:w="15" w:type="dxa"/>
            </w:tcMar>
            <w:vAlign w:val="bottom"/>
            <w:hideMark/>
          </w:tcPr>
          <w:p w14:paraId="29E23009"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559874F"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19" w:type="dxa"/>
            <w:shd w:val="clear" w:color="auto" w:fill="FFFFFF"/>
            <w:tcMar>
              <w:top w:w="15" w:type="dxa"/>
              <w:left w:w="0" w:type="dxa"/>
              <w:bottom w:w="0" w:type="dxa"/>
              <w:right w:w="15" w:type="dxa"/>
            </w:tcMar>
            <w:vAlign w:val="bottom"/>
            <w:hideMark/>
          </w:tcPr>
          <w:p w14:paraId="36A8CAD3"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479D46D"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111" w:type="dxa"/>
            <w:shd w:val="clear" w:color="auto" w:fill="FFFFFF"/>
            <w:noWrap/>
            <w:tcMar>
              <w:top w:w="15" w:type="dxa"/>
              <w:left w:w="0" w:type="dxa"/>
              <w:bottom w:w="0" w:type="dxa"/>
              <w:right w:w="15" w:type="dxa"/>
            </w:tcMar>
            <w:vAlign w:val="bottom"/>
            <w:hideMark/>
          </w:tcPr>
          <w:p w14:paraId="50D70FEC"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58A9EA8"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19" w:type="dxa"/>
            <w:shd w:val="clear" w:color="auto" w:fill="FFFFFF"/>
            <w:tcMar>
              <w:top w:w="15" w:type="dxa"/>
              <w:left w:w="0" w:type="dxa"/>
              <w:bottom w:w="0" w:type="dxa"/>
              <w:right w:w="15" w:type="dxa"/>
            </w:tcMar>
            <w:vAlign w:val="bottom"/>
            <w:hideMark/>
          </w:tcPr>
          <w:p w14:paraId="11F58FA4"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4943CAE"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363" w:type="dxa"/>
            <w:shd w:val="clear" w:color="auto" w:fill="FFFFFF"/>
            <w:noWrap/>
            <w:tcMar>
              <w:top w:w="15" w:type="dxa"/>
              <w:left w:w="0" w:type="dxa"/>
              <w:bottom w:w="0" w:type="dxa"/>
              <w:right w:w="15" w:type="dxa"/>
            </w:tcMar>
            <w:vAlign w:val="bottom"/>
            <w:hideMark/>
          </w:tcPr>
          <w:p w14:paraId="15E8983C"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724F20B"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19" w:type="dxa"/>
            <w:shd w:val="clear" w:color="auto" w:fill="FFFFFF"/>
            <w:tcMar>
              <w:top w:w="15" w:type="dxa"/>
              <w:left w:w="0" w:type="dxa"/>
              <w:bottom w:w="0" w:type="dxa"/>
              <w:right w:w="15" w:type="dxa"/>
            </w:tcMar>
            <w:vAlign w:val="bottom"/>
            <w:hideMark/>
          </w:tcPr>
          <w:p w14:paraId="7F6644F8"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170C80C"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223" w:type="dxa"/>
            <w:shd w:val="clear" w:color="auto" w:fill="FFFFFF"/>
            <w:noWrap/>
            <w:tcMar>
              <w:top w:w="15" w:type="dxa"/>
              <w:left w:w="0" w:type="dxa"/>
              <w:bottom w:w="0" w:type="dxa"/>
              <w:right w:w="15" w:type="dxa"/>
            </w:tcMar>
            <w:vAlign w:val="bottom"/>
            <w:hideMark/>
          </w:tcPr>
          <w:p w14:paraId="2EB721D8"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29A18C3"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19" w:type="dxa"/>
            <w:shd w:val="clear" w:color="auto" w:fill="FFFFFF"/>
            <w:tcMar>
              <w:top w:w="15" w:type="dxa"/>
              <w:left w:w="0" w:type="dxa"/>
              <w:bottom w:w="0" w:type="dxa"/>
              <w:right w:w="15" w:type="dxa"/>
            </w:tcMar>
            <w:vAlign w:val="bottom"/>
            <w:hideMark/>
          </w:tcPr>
          <w:p w14:paraId="2CB4BAA5"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C69228F"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223" w:type="dxa"/>
            <w:shd w:val="clear" w:color="auto" w:fill="FFFFFF"/>
            <w:noWrap/>
            <w:tcMar>
              <w:top w:w="15" w:type="dxa"/>
              <w:left w:w="0" w:type="dxa"/>
              <w:bottom w:w="0" w:type="dxa"/>
              <w:right w:w="15" w:type="dxa"/>
            </w:tcMar>
            <w:vAlign w:val="bottom"/>
            <w:hideMark/>
          </w:tcPr>
          <w:p w14:paraId="585FA0E3"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2" w:type="dxa"/>
            <w:shd w:val="clear" w:color="auto" w:fill="FFFFFF"/>
            <w:noWrap/>
            <w:tcMar>
              <w:top w:w="15" w:type="dxa"/>
              <w:left w:w="0" w:type="dxa"/>
              <w:bottom w:w="0" w:type="dxa"/>
              <w:right w:w="15" w:type="dxa"/>
            </w:tcMar>
            <w:vAlign w:val="bottom"/>
            <w:hideMark/>
          </w:tcPr>
          <w:p w14:paraId="67AC159B"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r w:rsidR="00AC4931" w:rsidRPr="00AC4931" w14:paraId="50FE52E4" w14:textId="77777777" w:rsidTr="00AC4931">
        <w:tc>
          <w:tcPr>
            <w:tcW w:w="8522" w:type="dxa"/>
            <w:shd w:val="clear" w:color="auto" w:fill="FFFFFF"/>
            <w:tcMar>
              <w:top w:w="15" w:type="dxa"/>
              <w:left w:w="0" w:type="dxa"/>
              <w:bottom w:w="0" w:type="dxa"/>
              <w:right w:w="15" w:type="dxa"/>
            </w:tcMar>
            <w:vAlign w:val="bottom"/>
            <w:hideMark/>
          </w:tcPr>
          <w:p w14:paraId="705B721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9" w:type="dxa"/>
            <w:shd w:val="clear" w:color="auto" w:fill="FFFFFF"/>
            <w:tcMar>
              <w:top w:w="15" w:type="dxa"/>
              <w:left w:w="0" w:type="dxa"/>
              <w:bottom w:w="0" w:type="dxa"/>
              <w:right w:w="15" w:type="dxa"/>
            </w:tcMar>
            <w:vAlign w:val="bottom"/>
            <w:hideMark/>
          </w:tcPr>
          <w:p w14:paraId="7F35922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5427" w:type="dxa"/>
            <w:gridSpan w:val="10"/>
            <w:tcBorders>
              <w:bottom w:val="single" w:sz="6" w:space="0" w:color="000000"/>
            </w:tcBorders>
            <w:shd w:val="clear" w:color="auto" w:fill="FFFFFF"/>
            <w:tcMar>
              <w:top w:w="15" w:type="dxa"/>
              <w:left w:w="0" w:type="dxa"/>
              <w:bottom w:w="0" w:type="dxa"/>
              <w:right w:w="15" w:type="dxa"/>
            </w:tcMar>
            <w:vAlign w:val="bottom"/>
            <w:hideMark/>
          </w:tcPr>
          <w:p w14:paraId="4535F23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4199D31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9" w:type="dxa"/>
            <w:shd w:val="clear" w:color="auto" w:fill="FFFFFF"/>
            <w:tcMar>
              <w:top w:w="15" w:type="dxa"/>
              <w:left w:w="0" w:type="dxa"/>
              <w:bottom w:w="0" w:type="dxa"/>
              <w:right w:w="15" w:type="dxa"/>
            </w:tcMar>
            <w:vAlign w:val="bottom"/>
            <w:hideMark/>
          </w:tcPr>
          <w:p w14:paraId="4542F7A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5538" w:type="dxa"/>
            <w:gridSpan w:val="10"/>
            <w:tcBorders>
              <w:bottom w:val="single" w:sz="6" w:space="0" w:color="000000"/>
            </w:tcBorders>
            <w:shd w:val="clear" w:color="auto" w:fill="FFFFFF"/>
            <w:tcMar>
              <w:top w:w="15" w:type="dxa"/>
              <w:left w:w="0" w:type="dxa"/>
              <w:bottom w:w="0" w:type="dxa"/>
              <w:right w:w="15" w:type="dxa"/>
            </w:tcMar>
            <w:vAlign w:val="bottom"/>
            <w:hideMark/>
          </w:tcPr>
          <w:p w14:paraId="3523E8F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2" w:type="dxa"/>
            <w:shd w:val="clear" w:color="auto" w:fill="FFFFFF"/>
            <w:noWrap/>
            <w:tcMar>
              <w:top w:w="15" w:type="dxa"/>
              <w:left w:w="0" w:type="dxa"/>
              <w:bottom w:w="0" w:type="dxa"/>
              <w:right w:w="15" w:type="dxa"/>
            </w:tcMar>
            <w:vAlign w:val="bottom"/>
            <w:hideMark/>
          </w:tcPr>
          <w:p w14:paraId="3DADD62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96E8C46" w14:textId="77777777" w:rsidTr="00AC4931">
        <w:tc>
          <w:tcPr>
            <w:tcW w:w="8522" w:type="dxa"/>
            <w:shd w:val="clear" w:color="auto" w:fill="FFFFFF"/>
            <w:tcMar>
              <w:top w:w="15" w:type="dxa"/>
              <w:left w:w="0" w:type="dxa"/>
              <w:bottom w:w="0" w:type="dxa"/>
              <w:right w:w="15" w:type="dxa"/>
            </w:tcMar>
            <w:vAlign w:val="bottom"/>
            <w:hideMark/>
          </w:tcPr>
          <w:p w14:paraId="47BEC6C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(DOLLARS IN MILLIONS, EXCEPT EPS)</w:t>
            </w:r>
          </w:p>
        </w:tc>
        <w:tc>
          <w:tcPr>
            <w:tcW w:w="319" w:type="dxa"/>
            <w:shd w:val="clear" w:color="auto" w:fill="FFFFFF"/>
            <w:tcMar>
              <w:top w:w="15" w:type="dxa"/>
              <w:left w:w="0" w:type="dxa"/>
              <w:bottom w:w="0" w:type="dxa"/>
              <w:right w:w="15" w:type="dxa"/>
            </w:tcMar>
            <w:vAlign w:val="bottom"/>
            <w:hideMark/>
          </w:tcPr>
          <w:p w14:paraId="7CDD755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6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ECA19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Reported</w:t>
            </w:r>
          </w:p>
        </w:tc>
        <w:tc>
          <w:tcPr>
            <w:tcW w:w="191" w:type="dxa"/>
            <w:shd w:val="clear" w:color="auto" w:fill="FFFFFF"/>
            <w:noWrap/>
            <w:tcMar>
              <w:top w:w="15" w:type="dxa"/>
              <w:left w:w="0" w:type="dxa"/>
              <w:bottom w:w="0" w:type="dxa"/>
              <w:right w:w="15" w:type="dxa"/>
            </w:tcMar>
            <w:vAlign w:val="bottom"/>
            <w:hideMark/>
          </w:tcPr>
          <w:p w14:paraId="4F00F7A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9" w:type="dxa"/>
            <w:tcBorders>
              <w:top w:val="single" w:sz="6" w:space="0" w:color="000000"/>
            </w:tcBorders>
            <w:shd w:val="clear" w:color="auto" w:fill="FFFFFF"/>
            <w:tcMar>
              <w:top w:w="15" w:type="dxa"/>
              <w:left w:w="0" w:type="dxa"/>
              <w:bottom w:w="0" w:type="dxa"/>
              <w:right w:w="15" w:type="dxa"/>
            </w:tcMar>
            <w:vAlign w:val="bottom"/>
            <w:hideMark/>
          </w:tcPr>
          <w:p w14:paraId="73297F8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2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A0F6C2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Adjust-</w:t>
            </w:r>
          </w:p>
          <w:p w14:paraId="5CB456C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ments</w:t>
            </w:r>
            <w:r w:rsidRPr="00AC4931">
              <w:rPr>
                <w:rFonts w:ascii="Arial" w:eastAsia="宋体" w:hAnsi="Arial" w:cs="Arial"/>
                <w:b/>
                <w:bCs/>
                <w:color w:val="000000"/>
                <w:kern w:val="0"/>
                <w:sz w:val="18"/>
                <w:szCs w:val="18"/>
                <w:vertAlign w:val="superscript"/>
              </w:rPr>
              <w:t>1)</w:t>
            </w:r>
          </w:p>
        </w:tc>
        <w:tc>
          <w:tcPr>
            <w:tcW w:w="191" w:type="dxa"/>
            <w:shd w:val="clear" w:color="auto" w:fill="FFFFFF"/>
            <w:noWrap/>
            <w:tcMar>
              <w:top w:w="15" w:type="dxa"/>
              <w:left w:w="0" w:type="dxa"/>
              <w:bottom w:w="0" w:type="dxa"/>
              <w:right w:w="15" w:type="dxa"/>
            </w:tcMar>
            <w:vAlign w:val="bottom"/>
            <w:hideMark/>
          </w:tcPr>
          <w:p w14:paraId="0D72D962"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19" w:type="dxa"/>
            <w:tcBorders>
              <w:top w:val="single" w:sz="6" w:space="0" w:color="000000"/>
            </w:tcBorders>
            <w:shd w:val="clear" w:color="auto" w:fill="FFFFFF"/>
            <w:tcMar>
              <w:top w:w="15" w:type="dxa"/>
              <w:left w:w="0" w:type="dxa"/>
              <w:bottom w:w="0" w:type="dxa"/>
              <w:right w:w="15" w:type="dxa"/>
            </w:tcMar>
            <w:vAlign w:val="bottom"/>
            <w:hideMark/>
          </w:tcPr>
          <w:p w14:paraId="0A0A2F1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1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BD387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Non-</w:t>
            </w:r>
          </w:p>
          <w:p w14:paraId="4D2BB5B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p w14:paraId="20E65BA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GAAP</w:t>
            </w:r>
          </w:p>
        </w:tc>
        <w:tc>
          <w:tcPr>
            <w:tcW w:w="191" w:type="dxa"/>
            <w:shd w:val="clear" w:color="auto" w:fill="FFFFFF"/>
            <w:noWrap/>
            <w:tcMar>
              <w:top w:w="15" w:type="dxa"/>
              <w:left w:w="0" w:type="dxa"/>
              <w:bottom w:w="0" w:type="dxa"/>
              <w:right w:w="15" w:type="dxa"/>
            </w:tcMar>
            <w:vAlign w:val="bottom"/>
            <w:hideMark/>
          </w:tcPr>
          <w:p w14:paraId="40572EB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9" w:type="dxa"/>
            <w:shd w:val="clear" w:color="auto" w:fill="FFFFFF"/>
            <w:tcMar>
              <w:top w:w="15" w:type="dxa"/>
              <w:left w:w="0" w:type="dxa"/>
              <w:bottom w:w="0" w:type="dxa"/>
              <w:right w:w="15" w:type="dxa"/>
            </w:tcMar>
            <w:vAlign w:val="bottom"/>
            <w:hideMark/>
          </w:tcPr>
          <w:p w14:paraId="6BA932B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6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0CAFA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Reported</w:t>
            </w:r>
          </w:p>
        </w:tc>
        <w:tc>
          <w:tcPr>
            <w:tcW w:w="191" w:type="dxa"/>
            <w:shd w:val="clear" w:color="auto" w:fill="FFFFFF"/>
            <w:noWrap/>
            <w:tcMar>
              <w:top w:w="15" w:type="dxa"/>
              <w:left w:w="0" w:type="dxa"/>
              <w:bottom w:w="0" w:type="dxa"/>
              <w:right w:w="15" w:type="dxa"/>
            </w:tcMar>
            <w:vAlign w:val="bottom"/>
            <w:hideMark/>
          </w:tcPr>
          <w:p w14:paraId="62BBE45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9" w:type="dxa"/>
            <w:tcBorders>
              <w:top w:val="single" w:sz="6" w:space="0" w:color="000000"/>
            </w:tcBorders>
            <w:shd w:val="clear" w:color="auto" w:fill="FFFFFF"/>
            <w:tcMar>
              <w:top w:w="15" w:type="dxa"/>
              <w:left w:w="0" w:type="dxa"/>
              <w:bottom w:w="0" w:type="dxa"/>
              <w:right w:w="15" w:type="dxa"/>
            </w:tcMar>
            <w:vAlign w:val="bottom"/>
            <w:hideMark/>
          </w:tcPr>
          <w:p w14:paraId="5D34112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2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82274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Adjust-</w:t>
            </w:r>
          </w:p>
          <w:p w14:paraId="6929DE8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ments</w:t>
            </w:r>
            <w:r w:rsidRPr="00AC4931">
              <w:rPr>
                <w:rFonts w:ascii="Arial" w:eastAsia="宋体" w:hAnsi="Arial" w:cs="Arial"/>
                <w:b/>
                <w:bCs/>
                <w:color w:val="000000"/>
                <w:kern w:val="0"/>
                <w:sz w:val="18"/>
                <w:szCs w:val="18"/>
                <w:vertAlign w:val="superscript"/>
              </w:rPr>
              <w:t>1)</w:t>
            </w:r>
          </w:p>
        </w:tc>
        <w:tc>
          <w:tcPr>
            <w:tcW w:w="191" w:type="dxa"/>
            <w:shd w:val="clear" w:color="auto" w:fill="FFFFFF"/>
            <w:noWrap/>
            <w:tcMar>
              <w:top w:w="15" w:type="dxa"/>
              <w:left w:w="0" w:type="dxa"/>
              <w:bottom w:w="0" w:type="dxa"/>
              <w:right w:w="15" w:type="dxa"/>
            </w:tcMar>
            <w:vAlign w:val="bottom"/>
            <w:hideMark/>
          </w:tcPr>
          <w:p w14:paraId="0649E38B"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19" w:type="dxa"/>
            <w:tcBorders>
              <w:top w:val="single" w:sz="6" w:space="0" w:color="000000"/>
            </w:tcBorders>
            <w:shd w:val="clear" w:color="auto" w:fill="FFFFFF"/>
            <w:tcMar>
              <w:top w:w="15" w:type="dxa"/>
              <w:left w:w="0" w:type="dxa"/>
              <w:bottom w:w="0" w:type="dxa"/>
              <w:right w:w="15" w:type="dxa"/>
            </w:tcMar>
            <w:vAlign w:val="bottom"/>
            <w:hideMark/>
          </w:tcPr>
          <w:p w14:paraId="5BAAF57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2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897588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Non-</w:t>
            </w:r>
          </w:p>
          <w:p w14:paraId="712D0B4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p w14:paraId="6815F4B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GAAP</w:t>
            </w:r>
          </w:p>
        </w:tc>
        <w:tc>
          <w:tcPr>
            <w:tcW w:w="192" w:type="dxa"/>
            <w:shd w:val="clear" w:color="auto" w:fill="FFFFFF"/>
            <w:noWrap/>
            <w:tcMar>
              <w:top w:w="15" w:type="dxa"/>
              <w:left w:w="0" w:type="dxa"/>
              <w:bottom w:w="0" w:type="dxa"/>
              <w:right w:w="15" w:type="dxa"/>
            </w:tcMar>
            <w:vAlign w:val="bottom"/>
            <w:hideMark/>
          </w:tcPr>
          <w:p w14:paraId="2D59CF3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F74ECFF" w14:textId="77777777" w:rsidTr="00AC4931">
        <w:tc>
          <w:tcPr>
            <w:tcW w:w="8522" w:type="dxa"/>
            <w:shd w:val="clear" w:color="auto" w:fill="CFF0FC"/>
            <w:tcMar>
              <w:top w:w="15" w:type="dxa"/>
              <w:left w:w="0" w:type="dxa"/>
              <w:bottom w:w="0" w:type="dxa"/>
              <w:right w:w="15" w:type="dxa"/>
            </w:tcMar>
            <w:hideMark/>
          </w:tcPr>
          <w:p w14:paraId="510854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income</w:t>
            </w:r>
          </w:p>
        </w:tc>
        <w:tc>
          <w:tcPr>
            <w:tcW w:w="319" w:type="dxa"/>
            <w:shd w:val="clear" w:color="auto" w:fill="CFF0FC"/>
            <w:tcMar>
              <w:top w:w="15" w:type="dxa"/>
              <w:left w:w="0" w:type="dxa"/>
              <w:bottom w:w="0" w:type="dxa"/>
              <w:right w:w="15" w:type="dxa"/>
            </w:tcMar>
            <w:vAlign w:val="bottom"/>
            <w:hideMark/>
          </w:tcPr>
          <w:p w14:paraId="47AB75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7D30E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tcBorders>
              <w:top w:val="single" w:sz="6" w:space="0" w:color="000000"/>
            </w:tcBorders>
            <w:shd w:val="clear" w:color="auto" w:fill="CFF0FC"/>
            <w:noWrap/>
            <w:tcMar>
              <w:top w:w="15" w:type="dxa"/>
              <w:left w:w="0" w:type="dxa"/>
              <w:bottom w:w="0" w:type="dxa"/>
              <w:right w:w="15" w:type="dxa"/>
            </w:tcMar>
            <w:vAlign w:val="bottom"/>
            <w:hideMark/>
          </w:tcPr>
          <w:p w14:paraId="16CF7E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382</w:t>
            </w:r>
          </w:p>
        </w:tc>
        <w:tc>
          <w:tcPr>
            <w:tcW w:w="191" w:type="dxa"/>
            <w:shd w:val="clear" w:color="auto" w:fill="CFF0FC"/>
            <w:noWrap/>
            <w:tcMar>
              <w:top w:w="15" w:type="dxa"/>
              <w:left w:w="0" w:type="dxa"/>
              <w:bottom w:w="0" w:type="dxa"/>
              <w:right w:w="15" w:type="dxa"/>
            </w:tcMar>
            <w:vAlign w:val="bottom"/>
            <w:hideMark/>
          </w:tcPr>
          <w:p w14:paraId="313FD2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78752D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2715F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tcBorders>
              <w:top w:val="single" w:sz="6" w:space="0" w:color="000000"/>
            </w:tcBorders>
            <w:shd w:val="clear" w:color="auto" w:fill="CFF0FC"/>
            <w:noWrap/>
            <w:tcMar>
              <w:top w:w="15" w:type="dxa"/>
              <w:left w:w="0" w:type="dxa"/>
              <w:bottom w:w="0" w:type="dxa"/>
              <w:right w:w="15" w:type="dxa"/>
            </w:tcMar>
            <w:vAlign w:val="bottom"/>
            <w:hideMark/>
          </w:tcPr>
          <w:p w14:paraId="125D4AB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100</w:t>
            </w:r>
          </w:p>
        </w:tc>
        <w:tc>
          <w:tcPr>
            <w:tcW w:w="191" w:type="dxa"/>
            <w:shd w:val="clear" w:color="auto" w:fill="CFF0FC"/>
            <w:noWrap/>
            <w:tcMar>
              <w:top w:w="15" w:type="dxa"/>
              <w:left w:w="0" w:type="dxa"/>
              <w:bottom w:w="0" w:type="dxa"/>
              <w:right w:w="15" w:type="dxa"/>
            </w:tcMar>
            <w:vAlign w:val="bottom"/>
            <w:hideMark/>
          </w:tcPr>
          <w:p w14:paraId="200740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513394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2CAE4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111" w:type="dxa"/>
            <w:tcBorders>
              <w:top w:val="single" w:sz="6" w:space="0" w:color="000000"/>
            </w:tcBorders>
            <w:shd w:val="clear" w:color="auto" w:fill="CFF0FC"/>
            <w:noWrap/>
            <w:tcMar>
              <w:top w:w="15" w:type="dxa"/>
              <w:left w:w="0" w:type="dxa"/>
              <w:bottom w:w="0" w:type="dxa"/>
              <w:right w:w="15" w:type="dxa"/>
            </w:tcMar>
            <w:vAlign w:val="bottom"/>
            <w:hideMark/>
          </w:tcPr>
          <w:p w14:paraId="7C9D30D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482</w:t>
            </w:r>
          </w:p>
        </w:tc>
        <w:tc>
          <w:tcPr>
            <w:tcW w:w="191" w:type="dxa"/>
            <w:shd w:val="clear" w:color="auto" w:fill="CFF0FC"/>
            <w:noWrap/>
            <w:tcMar>
              <w:top w:w="15" w:type="dxa"/>
              <w:left w:w="0" w:type="dxa"/>
              <w:bottom w:w="0" w:type="dxa"/>
              <w:right w:w="15" w:type="dxa"/>
            </w:tcMar>
            <w:vAlign w:val="bottom"/>
            <w:hideMark/>
          </w:tcPr>
          <w:p w14:paraId="356713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4E5591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3C979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tcBorders>
              <w:top w:val="single" w:sz="6" w:space="0" w:color="000000"/>
            </w:tcBorders>
            <w:shd w:val="clear" w:color="auto" w:fill="CFF0FC"/>
            <w:noWrap/>
            <w:tcMar>
              <w:top w:w="15" w:type="dxa"/>
              <w:left w:w="0" w:type="dxa"/>
              <w:bottom w:w="0" w:type="dxa"/>
              <w:right w:w="15" w:type="dxa"/>
            </w:tcMar>
            <w:vAlign w:val="bottom"/>
            <w:hideMark/>
          </w:tcPr>
          <w:p w14:paraId="234A797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726</w:t>
            </w:r>
          </w:p>
        </w:tc>
        <w:tc>
          <w:tcPr>
            <w:tcW w:w="191" w:type="dxa"/>
            <w:shd w:val="clear" w:color="auto" w:fill="CFF0FC"/>
            <w:noWrap/>
            <w:tcMar>
              <w:top w:w="15" w:type="dxa"/>
              <w:left w:w="0" w:type="dxa"/>
              <w:bottom w:w="0" w:type="dxa"/>
              <w:right w:w="15" w:type="dxa"/>
            </w:tcMar>
            <w:vAlign w:val="bottom"/>
            <w:hideMark/>
          </w:tcPr>
          <w:p w14:paraId="7B2180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4F4C6F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25B34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tcBorders>
              <w:top w:val="single" w:sz="6" w:space="0" w:color="000000"/>
            </w:tcBorders>
            <w:shd w:val="clear" w:color="auto" w:fill="CFF0FC"/>
            <w:noWrap/>
            <w:tcMar>
              <w:top w:w="15" w:type="dxa"/>
              <w:left w:w="0" w:type="dxa"/>
              <w:bottom w:w="0" w:type="dxa"/>
              <w:right w:w="15" w:type="dxa"/>
            </w:tcMar>
            <w:vAlign w:val="bottom"/>
            <w:hideMark/>
          </w:tcPr>
          <w:p w14:paraId="3FFA5A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49</w:t>
            </w:r>
          </w:p>
        </w:tc>
        <w:tc>
          <w:tcPr>
            <w:tcW w:w="191" w:type="dxa"/>
            <w:shd w:val="clear" w:color="auto" w:fill="CFF0FC"/>
            <w:noWrap/>
            <w:tcMar>
              <w:top w:w="15" w:type="dxa"/>
              <w:left w:w="0" w:type="dxa"/>
              <w:bottom w:w="0" w:type="dxa"/>
              <w:right w:w="15" w:type="dxa"/>
            </w:tcMar>
            <w:vAlign w:val="bottom"/>
            <w:hideMark/>
          </w:tcPr>
          <w:p w14:paraId="027C78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7C2874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719EC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tcBorders>
              <w:top w:val="single" w:sz="6" w:space="0" w:color="000000"/>
            </w:tcBorders>
            <w:shd w:val="clear" w:color="auto" w:fill="CFF0FC"/>
            <w:noWrap/>
            <w:tcMar>
              <w:top w:w="15" w:type="dxa"/>
              <w:left w:w="0" w:type="dxa"/>
              <w:bottom w:w="0" w:type="dxa"/>
              <w:right w:w="15" w:type="dxa"/>
            </w:tcMar>
            <w:vAlign w:val="bottom"/>
            <w:hideMark/>
          </w:tcPr>
          <w:p w14:paraId="788E3E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775</w:t>
            </w:r>
          </w:p>
        </w:tc>
        <w:tc>
          <w:tcPr>
            <w:tcW w:w="192" w:type="dxa"/>
            <w:shd w:val="clear" w:color="auto" w:fill="CFF0FC"/>
            <w:noWrap/>
            <w:tcMar>
              <w:top w:w="15" w:type="dxa"/>
              <w:left w:w="0" w:type="dxa"/>
              <w:bottom w:w="0" w:type="dxa"/>
              <w:right w:w="15" w:type="dxa"/>
            </w:tcMar>
            <w:vAlign w:val="bottom"/>
            <w:hideMark/>
          </w:tcPr>
          <w:p w14:paraId="04139C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81705C9" w14:textId="77777777" w:rsidTr="00AC4931">
        <w:tc>
          <w:tcPr>
            <w:tcW w:w="8522" w:type="dxa"/>
            <w:shd w:val="clear" w:color="auto" w:fill="FFFFFF"/>
            <w:tcMar>
              <w:top w:w="15" w:type="dxa"/>
              <w:left w:w="0" w:type="dxa"/>
              <w:bottom w:w="0" w:type="dxa"/>
              <w:right w:w="15" w:type="dxa"/>
            </w:tcMar>
            <w:hideMark/>
          </w:tcPr>
          <w:p w14:paraId="43B4ED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margin, %</w:t>
            </w:r>
          </w:p>
        </w:tc>
        <w:tc>
          <w:tcPr>
            <w:tcW w:w="319" w:type="dxa"/>
            <w:shd w:val="clear" w:color="auto" w:fill="FFFFFF"/>
            <w:tcMar>
              <w:top w:w="15" w:type="dxa"/>
              <w:left w:w="0" w:type="dxa"/>
              <w:bottom w:w="0" w:type="dxa"/>
              <w:right w:w="15" w:type="dxa"/>
            </w:tcMar>
            <w:vAlign w:val="bottom"/>
            <w:hideMark/>
          </w:tcPr>
          <w:p w14:paraId="0F031D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58A80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63" w:type="dxa"/>
            <w:shd w:val="clear" w:color="auto" w:fill="FFFFFF"/>
            <w:noWrap/>
            <w:tcMar>
              <w:top w:w="15" w:type="dxa"/>
              <w:left w:w="0" w:type="dxa"/>
              <w:bottom w:w="0" w:type="dxa"/>
              <w:right w:w="15" w:type="dxa"/>
            </w:tcMar>
            <w:vAlign w:val="bottom"/>
            <w:hideMark/>
          </w:tcPr>
          <w:p w14:paraId="2D6CE6C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5.1</w:t>
            </w:r>
          </w:p>
        </w:tc>
        <w:tc>
          <w:tcPr>
            <w:tcW w:w="191" w:type="dxa"/>
            <w:shd w:val="clear" w:color="auto" w:fill="FFFFFF"/>
            <w:noWrap/>
            <w:tcMar>
              <w:top w:w="15" w:type="dxa"/>
              <w:left w:w="0" w:type="dxa"/>
              <w:bottom w:w="0" w:type="dxa"/>
              <w:right w:w="15" w:type="dxa"/>
            </w:tcMar>
            <w:vAlign w:val="bottom"/>
            <w:hideMark/>
          </w:tcPr>
          <w:p w14:paraId="45DE47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7B7144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36229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23" w:type="dxa"/>
            <w:shd w:val="clear" w:color="auto" w:fill="FFFFFF"/>
            <w:noWrap/>
            <w:tcMar>
              <w:top w:w="15" w:type="dxa"/>
              <w:left w:w="0" w:type="dxa"/>
              <w:bottom w:w="0" w:type="dxa"/>
              <w:right w:w="15" w:type="dxa"/>
            </w:tcMar>
            <w:vAlign w:val="bottom"/>
            <w:hideMark/>
          </w:tcPr>
          <w:p w14:paraId="27E9A31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w:t>
            </w:r>
          </w:p>
        </w:tc>
        <w:tc>
          <w:tcPr>
            <w:tcW w:w="191" w:type="dxa"/>
            <w:shd w:val="clear" w:color="auto" w:fill="FFFFFF"/>
            <w:noWrap/>
            <w:tcMar>
              <w:top w:w="15" w:type="dxa"/>
              <w:left w:w="0" w:type="dxa"/>
              <w:bottom w:w="0" w:type="dxa"/>
              <w:right w:w="15" w:type="dxa"/>
            </w:tcMar>
            <w:vAlign w:val="bottom"/>
            <w:hideMark/>
          </w:tcPr>
          <w:p w14:paraId="492377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70BEE0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5B0D1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11" w:type="dxa"/>
            <w:shd w:val="clear" w:color="auto" w:fill="FFFFFF"/>
            <w:noWrap/>
            <w:tcMar>
              <w:top w:w="15" w:type="dxa"/>
              <w:left w:w="0" w:type="dxa"/>
              <w:bottom w:w="0" w:type="dxa"/>
              <w:right w:w="15" w:type="dxa"/>
            </w:tcMar>
            <w:vAlign w:val="bottom"/>
            <w:hideMark/>
          </w:tcPr>
          <w:p w14:paraId="4B72620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6.5</w:t>
            </w:r>
          </w:p>
        </w:tc>
        <w:tc>
          <w:tcPr>
            <w:tcW w:w="191" w:type="dxa"/>
            <w:shd w:val="clear" w:color="auto" w:fill="FFFFFF"/>
            <w:noWrap/>
            <w:tcMar>
              <w:top w:w="15" w:type="dxa"/>
              <w:left w:w="0" w:type="dxa"/>
              <w:bottom w:w="0" w:type="dxa"/>
              <w:right w:w="15" w:type="dxa"/>
            </w:tcMar>
            <w:vAlign w:val="bottom"/>
            <w:hideMark/>
          </w:tcPr>
          <w:p w14:paraId="7E2703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39ABF9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594B0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63" w:type="dxa"/>
            <w:shd w:val="clear" w:color="auto" w:fill="FFFFFF"/>
            <w:noWrap/>
            <w:tcMar>
              <w:top w:w="15" w:type="dxa"/>
              <w:left w:w="0" w:type="dxa"/>
              <w:bottom w:w="0" w:type="dxa"/>
              <w:right w:w="15" w:type="dxa"/>
            </w:tcMar>
            <w:vAlign w:val="bottom"/>
            <w:hideMark/>
          </w:tcPr>
          <w:p w14:paraId="04500A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8.5</w:t>
            </w:r>
          </w:p>
        </w:tc>
        <w:tc>
          <w:tcPr>
            <w:tcW w:w="191" w:type="dxa"/>
            <w:shd w:val="clear" w:color="auto" w:fill="FFFFFF"/>
            <w:noWrap/>
            <w:tcMar>
              <w:top w:w="15" w:type="dxa"/>
              <w:left w:w="0" w:type="dxa"/>
              <w:bottom w:w="0" w:type="dxa"/>
              <w:right w:w="15" w:type="dxa"/>
            </w:tcMar>
            <w:vAlign w:val="bottom"/>
            <w:hideMark/>
          </w:tcPr>
          <w:p w14:paraId="0DA27E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2DD2D9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CED46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23" w:type="dxa"/>
            <w:shd w:val="clear" w:color="auto" w:fill="FFFFFF"/>
            <w:noWrap/>
            <w:tcMar>
              <w:top w:w="15" w:type="dxa"/>
              <w:left w:w="0" w:type="dxa"/>
              <w:bottom w:w="0" w:type="dxa"/>
              <w:right w:w="15" w:type="dxa"/>
            </w:tcMar>
            <w:vAlign w:val="bottom"/>
            <w:hideMark/>
          </w:tcPr>
          <w:p w14:paraId="05C1220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91" w:type="dxa"/>
            <w:shd w:val="clear" w:color="auto" w:fill="FFFFFF"/>
            <w:noWrap/>
            <w:tcMar>
              <w:top w:w="15" w:type="dxa"/>
              <w:left w:w="0" w:type="dxa"/>
              <w:bottom w:w="0" w:type="dxa"/>
              <w:right w:w="15" w:type="dxa"/>
            </w:tcMar>
            <w:vAlign w:val="bottom"/>
            <w:hideMark/>
          </w:tcPr>
          <w:p w14:paraId="5D422E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4EFC9A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BB033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23" w:type="dxa"/>
            <w:shd w:val="clear" w:color="auto" w:fill="FFFFFF"/>
            <w:noWrap/>
            <w:tcMar>
              <w:top w:w="15" w:type="dxa"/>
              <w:left w:w="0" w:type="dxa"/>
              <w:bottom w:w="0" w:type="dxa"/>
              <w:right w:w="15" w:type="dxa"/>
            </w:tcMar>
            <w:vAlign w:val="bottom"/>
            <w:hideMark/>
          </w:tcPr>
          <w:p w14:paraId="41B6A83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9.1</w:t>
            </w:r>
          </w:p>
        </w:tc>
        <w:tc>
          <w:tcPr>
            <w:tcW w:w="192" w:type="dxa"/>
            <w:shd w:val="clear" w:color="auto" w:fill="FFFFFF"/>
            <w:noWrap/>
            <w:tcMar>
              <w:top w:w="15" w:type="dxa"/>
              <w:left w:w="0" w:type="dxa"/>
              <w:bottom w:w="0" w:type="dxa"/>
              <w:right w:w="15" w:type="dxa"/>
            </w:tcMar>
            <w:vAlign w:val="bottom"/>
            <w:hideMark/>
          </w:tcPr>
          <w:p w14:paraId="175F8F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19FFC61" w14:textId="77777777" w:rsidTr="00AC4931">
        <w:tc>
          <w:tcPr>
            <w:tcW w:w="8522" w:type="dxa"/>
            <w:shd w:val="clear" w:color="auto" w:fill="CFF0FC"/>
            <w:tcMar>
              <w:top w:w="15" w:type="dxa"/>
              <w:left w:w="0" w:type="dxa"/>
              <w:bottom w:w="0" w:type="dxa"/>
              <w:right w:w="15" w:type="dxa"/>
            </w:tcMar>
            <w:hideMark/>
          </w:tcPr>
          <w:p w14:paraId="3645BD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before taxes from</w:t>
            </w:r>
          </w:p>
        </w:tc>
        <w:tc>
          <w:tcPr>
            <w:tcW w:w="319" w:type="dxa"/>
            <w:shd w:val="clear" w:color="auto" w:fill="CFF0FC"/>
            <w:tcMar>
              <w:top w:w="15" w:type="dxa"/>
              <w:left w:w="0" w:type="dxa"/>
              <w:bottom w:w="0" w:type="dxa"/>
              <w:right w:w="15" w:type="dxa"/>
            </w:tcMar>
            <w:vAlign w:val="bottom"/>
            <w:hideMark/>
          </w:tcPr>
          <w:p w14:paraId="2C7524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50925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shd w:val="clear" w:color="auto" w:fill="CFF0FC"/>
            <w:noWrap/>
            <w:tcMar>
              <w:top w:w="15" w:type="dxa"/>
              <w:left w:w="0" w:type="dxa"/>
              <w:bottom w:w="0" w:type="dxa"/>
              <w:right w:w="15" w:type="dxa"/>
            </w:tcMar>
            <w:vAlign w:val="bottom"/>
            <w:hideMark/>
          </w:tcPr>
          <w:p w14:paraId="6AE4CA6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291</w:t>
            </w:r>
          </w:p>
        </w:tc>
        <w:tc>
          <w:tcPr>
            <w:tcW w:w="191" w:type="dxa"/>
            <w:shd w:val="clear" w:color="auto" w:fill="CFF0FC"/>
            <w:noWrap/>
            <w:tcMar>
              <w:top w:w="15" w:type="dxa"/>
              <w:left w:w="0" w:type="dxa"/>
              <w:bottom w:w="0" w:type="dxa"/>
              <w:right w:w="15" w:type="dxa"/>
            </w:tcMar>
            <w:vAlign w:val="bottom"/>
            <w:hideMark/>
          </w:tcPr>
          <w:p w14:paraId="66369A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57D4F7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02DC4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CFF0FC"/>
            <w:noWrap/>
            <w:tcMar>
              <w:top w:w="15" w:type="dxa"/>
              <w:left w:w="0" w:type="dxa"/>
              <w:bottom w:w="0" w:type="dxa"/>
              <w:right w:w="15" w:type="dxa"/>
            </w:tcMar>
            <w:vAlign w:val="bottom"/>
            <w:hideMark/>
          </w:tcPr>
          <w:p w14:paraId="16D2356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100</w:t>
            </w:r>
          </w:p>
        </w:tc>
        <w:tc>
          <w:tcPr>
            <w:tcW w:w="191" w:type="dxa"/>
            <w:shd w:val="clear" w:color="auto" w:fill="CFF0FC"/>
            <w:noWrap/>
            <w:tcMar>
              <w:top w:w="15" w:type="dxa"/>
              <w:left w:w="0" w:type="dxa"/>
              <w:bottom w:w="0" w:type="dxa"/>
              <w:right w:w="15" w:type="dxa"/>
            </w:tcMar>
            <w:vAlign w:val="bottom"/>
            <w:hideMark/>
          </w:tcPr>
          <w:p w14:paraId="19580E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622B93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CCC11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111" w:type="dxa"/>
            <w:shd w:val="clear" w:color="auto" w:fill="CFF0FC"/>
            <w:noWrap/>
            <w:tcMar>
              <w:top w:w="15" w:type="dxa"/>
              <w:left w:w="0" w:type="dxa"/>
              <w:bottom w:w="0" w:type="dxa"/>
              <w:right w:w="15" w:type="dxa"/>
            </w:tcMar>
            <w:vAlign w:val="bottom"/>
            <w:hideMark/>
          </w:tcPr>
          <w:p w14:paraId="7BD8D45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391</w:t>
            </w:r>
          </w:p>
        </w:tc>
        <w:tc>
          <w:tcPr>
            <w:tcW w:w="191" w:type="dxa"/>
            <w:shd w:val="clear" w:color="auto" w:fill="CFF0FC"/>
            <w:noWrap/>
            <w:tcMar>
              <w:top w:w="15" w:type="dxa"/>
              <w:left w:w="0" w:type="dxa"/>
              <w:bottom w:w="0" w:type="dxa"/>
              <w:right w:w="15" w:type="dxa"/>
            </w:tcMar>
            <w:vAlign w:val="bottom"/>
            <w:hideMark/>
          </w:tcPr>
          <w:p w14:paraId="4857EC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700A304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1EC38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shd w:val="clear" w:color="auto" w:fill="CFF0FC"/>
            <w:noWrap/>
            <w:tcMar>
              <w:top w:w="15" w:type="dxa"/>
              <w:left w:w="0" w:type="dxa"/>
              <w:bottom w:w="0" w:type="dxa"/>
              <w:right w:w="15" w:type="dxa"/>
            </w:tcMar>
            <w:vAlign w:val="bottom"/>
            <w:hideMark/>
          </w:tcPr>
          <w:p w14:paraId="6E49962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648</w:t>
            </w:r>
          </w:p>
        </w:tc>
        <w:tc>
          <w:tcPr>
            <w:tcW w:w="191" w:type="dxa"/>
            <w:shd w:val="clear" w:color="auto" w:fill="CFF0FC"/>
            <w:noWrap/>
            <w:tcMar>
              <w:top w:w="15" w:type="dxa"/>
              <w:left w:w="0" w:type="dxa"/>
              <w:bottom w:w="0" w:type="dxa"/>
              <w:right w:w="15" w:type="dxa"/>
            </w:tcMar>
            <w:vAlign w:val="bottom"/>
            <w:hideMark/>
          </w:tcPr>
          <w:p w14:paraId="181355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38C9B3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D0081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CFF0FC"/>
            <w:noWrap/>
            <w:tcMar>
              <w:top w:w="15" w:type="dxa"/>
              <w:left w:w="0" w:type="dxa"/>
              <w:bottom w:w="0" w:type="dxa"/>
              <w:right w:w="15" w:type="dxa"/>
            </w:tcMar>
            <w:vAlign w:val="bottom"/>
            <w:hideMark/>
          </w:tcPr>
          <w:p w14:paraId="077C5A1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49</w:t>
            </w:r>
          </w:p>
        </w:tc>
        <w:tc>
          <w:tcPr>
            <w:tcW w:w="191" w:type="dxa"/>
            <w:shd w:val="clear" w:color="auto" w:fill="CFF0FC"/>
            <w:noWrap/>
            <w:tcMar>
              <w:top w:w="15" w:type="dxa"/>
              <w:left w:w="0" w:type="dxa"/>
              <w:bottom w:w="0" w:type="dxa"/>
              <w:right w:w="15" w:type="dxa"/>
            </w:tcMar>
            <w:vAlign w:val="bottom"/>
            <w:hideMark/>
          </w:tcPr>
          <w:p w14:paraId="4897ED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078BCB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91B7B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CFF0FC"/>
            <w:noWrap/>
            <w:tcMar>
              <w:top w:w="15" w:type="dxa"/>
              <w:left w:w="0" w:type="dxa"/>
              <w:bottom w:w="0" w:type="dxa"/>
              <w:right w:w="15" w:type="dxa"/>
            </w:tcMar>
            <w:vAlign w:val="bottom"/>
            <w:hideMark/>
          </w:tcPr>
          <w:p w14:paraId="4E60718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697</w:t>
            </w:r>
          </w:p>
        </w:tc>
        <w:tc>
          <w:tcPr>
            <w:tcW w:w="192" w:type="dxa"/>
            <w:shd w:val="clear" w:color="auto" w:fill="CFF0FC"/>
            <w:noWrap/>
            <w:tcMar>
              <w:top w:w="15" w:type="dxa"/>
              <w:left w:w="0" w:type="dxa"/>
              <w:bottom w:w="0" w:type="dxa"/>
              <w:right w:w="15" w:type="dxa"/>
            </w:tcMar>
            <w:vAlign w:val="bottom"/>
            <w:hideMark/>
          </w:tcPr>
          <w:p w14:paraId="64EFE1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60F184C" w14:textId="77777777" w:rsidTr="00AC4931">
        <w:tc>
          <w:tcPr>
            <w:tcW w:w="8522" w:type="dxa"/>
            <w:shd w:val="clear" w:color="auto" w:fill="FFFFFF"/>
            <w:tcMar>
              <w:top w:w="15" w:type="dxa"/>
              <w:left w:w="0" w:type="dxa"/>
              <w:bottom w:w="0" w:type="dxa"/>
              <w:right w:w="15" w:type="dxa"/>
            </w:tcMar>
            <w:hideMark/>
          </w:tcPr>
          <w:p w14:paraId="51A209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 attributable to controlling</w:t>
            </w:r>
          </w:p>
          <w:p w14:paraId="505A16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interest</w:t>
            </w:r>
          </w:p>
        </w:tc>
        <w:tc>
          <w:tcPr>
            <w:tcW w:w="319" w:type="dxa"/>
            <w:shd w:val="clear" w:color="auto" w:fill="FFFFFF"/>
            <w:tcMar>
              <w:top w:w="15" w:type="dxa"/>
              <w:left w:w="0" w:type="dxa"/>
              <w:bottom w:w="0" w:type="dxa"/>
              <w:right w:w="15" w:type="dxa"/>
            </w:tcMar>
            <w:vAlign w:val="bottom"/>
            <w:hideMark/>
          </w:tcPr>
          <w:p w14:paraId="2B0BDE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16DBE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shd w:val="clear" w:color="auto" w:fill="FFFFFF"/>
            <w:noWrap/>
            <w:tcMar>
              <w:top w:w="15" w:type="dxa"/>
              <w:left w:w="0" w:type="dxa"/>
              <w:bottom w:w="0" w:type="dxa"/>
              <w:right w:w="15" w:type="dxa"/>
            </w:tcMar>
            <w:vAlign w:val="bottom"/>
            <w:hideMark/>
          </w:tcPr>
          <w:p w14:paraId="6A44320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187</w:t>
            </w:r>
          </w:p>
        </w:tc>
        <w:tc>
          <w:tcPr>
            <w:tcW w:w="191" w:type="dxa"/>
            <w:shd w:val="clear" w:color="auto" w:fill="FFFFFF"/>
            <w:noWrap/>
            <w:tcMar>
              <w:top w:w="15" w:type="dxa"/>
              <w:left w:w="0" w:type="dxa"/>
              <w:bottom w:w="0" w:type="dxa"/>
              <w:right w:w="15" w:type="dxa"/>
            </w:tcMar>
            <w:vAlign w:val="bottom"/>
            <w:hideMark/>
          </w:tcPr>
          <w:p w14:paraId="553FC2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0A0E23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B748D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FFFFFF"/>
            <w:noWrap/>
            <w:tcMar>
              <w:top w:w="15" w:type="dxa"/>
              <w:left w:w="0" w:type="dxa"/>
              <w:bottom w:w="0" w:type="dxa"/>
              <w:right w:w="15" w:type="dxa"/>
            </w:tcMar>
            <w:vAlign w:val="bottom"/>
            <w:hideMark/>
          </w:tcPr>
          <w:p w14:paraId="2176F38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88</w:t>
            </w:r>
          </w:p>
        </w:tc>
        <w:tc>
          <w:tcPr>
            <w:tcW w:w="191" w:type="dxa"/>
            <w:shd w:val="clear" w:color="auto" w:fill="FFFFFF"/>
            <w:noWrap/>
            <w:tcMar>
              <w:top w:w="15" w:type="dxa"/>
              <w:left w:w="0" w:type="dxa"/>
              <w:bottom w:w="0" w:type="dxa"/>
              <w:right w:w="15" w:type="dxa"/>
            </w:tcMar>
            <w:vAlign w:val="bottom"/>
            <w:hideMark/>
          </w:tcPr>
          <w:p w14:paraId="6B686D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20337AA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1F61D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111" w:type="dxa"/>
            <w:shd w:val="clear" w:color="auto" w:fill="FFFFFF"/>
            <w:noWrap/>
            <w:tcMar>
              <w:top w:w="15" w:type="dxa"/>
              <w:left w:w="0" w:type="dxa"/>
              <w:bottom w:w="0" w:type="dxa"/>
              <w:right w:w="15" w:type="dxa"/>
            </w:tcMar>
            <w:vAlign w:val="bottom"/>
            <w:hideMark/>
          </w:tcPr>
          <w:p w14:paraId="09DBA11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275</w:t>
            </w:r>
          </w:p>
        </w:tc>
        <w:tc>
          <w:tcPr>
            <w:tcW w:w="191" w:type="dxa"/>
            <w:shd w:val="clear" w:color="auto" w:fill="FFFFFF"/>
            <w:noWrap/>
            <w:tcMar>
              <w:top w:w="15" w:type="dxa"/>
              <w:left w:w="0" w:type="dxa"/>
              <w:bottom w:w="0" w:type="dxa"/>
              <w:right w:w="15" w:type="dxa"/>
            </w:tcMar>
            <w:vAlign w:val="bottom"/>
            <w:hideMark/>
          </w:tcPr>
          <w:p w14:paraId="49BF2B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4601E4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1A4CC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shd w:val="clear" w:color="auto" w:fill="FFFFFF"/>
            <w:noWrap/>
            <w:tcMar>
              <w:top w:w="15" w:type="dxa"/>
              <w:left w:w="0" w:type="dxa"/>
              <w:bottom w:w="0" w:type="dxa"/>
              <w:right w:w="15" w:type="dxa"/>
            </w:tcMar>
            <w:vAlign w:val="bottom"/>
            <w:hideMark/>
          </w:tcPr>
          <w:p w14:paraId="3A4F4F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462</w:t>
            </w:r>
          </w:p>
        </w:tc>
        <w:tc>
          <w:tcPr>
            <w:tcW w:w="191" w:type="dxa"/>
            <w:shd w:val="clear" w:color="auto" w:fill="FFFFFF"/>
            <w:noWrap/>
            <w:tcMar>
              <w:top w:w="15" w:type="dxa"/>
              <w:left w:w="0" w:type="dxa"/>
              <w:bottom w:w="0" w:type="dxa"/>
              <w:right w:w="15" w:type="dxa"/>
            </w:tcMar>
            <w:vAlign w:val="bottom"/>
            <w:hideMark/>
          </w:tcPr>
          <w:p w14:paraId="0FB3FB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06C918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BC809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FFFFFF"/>
            <w:noWrap/>
            <w:tcMar>
              <w:top w:w="15" w:type="dxa"/>
              <w:left w:w="0" w:type="dxa"/>
              <w:bottom w:w="0" w:type="dxa"/>
              <w:right w:w="15" w:type="dxa"/>
            </w:tcMar>
            <w:vAlign w:val="bottom"/>
            <w:hideMark/>
          </w:tcPr>
          <w:p w14:paraId="742B99F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w:t>
            </w:r>
          </w:p>
        </w:tc>
        <w:tc>
          <w:tcPr>
            <w:tcW w:w="191" w:type="dxa"/>
            <w:shd w:val="clear" w:color="auto" w:fill="FFFFFF"/>
            <w:noWrap/>
            <w:tcMar>
              <w:top w:w="15" w:type="dxa"/>
              <w:left w:w="0" w:type="dxa"/>
              <w:bottom w:w="0" w:type="dxa"/>
              <w:right w:w="15" w:type="dxa"/>
            </w:tcMar>
            <w:vAlign w:val="bottom"/>
            <w:hideMark/>
          </w:tcPr>
          <w:p w14:paraId="47BF6D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15D5EBC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AC405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FFFFFF"/>
            <w:noWrap/>
            <w:tcMar>
              <w:top w:w="15" w:type="dxa"/>
              <w:left w:w="0" w:type="dxa"/>
              <w:bottom w:w="0" w:type="dxa"/>
              <w:right w:w="15" w:type="dxa"/>
            </w:tcMar>
            <w:vAlign w:val="bottom"/>
            <w:hideMark/>
          </w:tcPr>
          <w:p w14:paraId="5D0CD93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500</w:t>
            </w:r>
          </w:p>
        </w:tc>
        <w:tc>
          <w:tcPr>
            <w:tcW w:w="192" w:type="dxa"/>
            <w:shd w:val="clear" w:color="auto" w:fill="FFFFFF"/>
            <w:noWrap/>
            <w:tcMar>
              <w:top w:w="15" w:type="dxa"/>
              <w:left w:w="0" w:type="dxa"/>
              <w:bottom w:w="0" w:type="dxa"/>
              <w:right w:w="15" w:type="dxa"/>
            </w:tcMar>
            <w:vAlign w:val="bottom"/>
            <w:hideMark/>
          </w:tcPr>
          <w:p w14:paraId="50F585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BD25AD9" w14:textId="77777777" w:rsidTr="00AC4931">
        <w:tc>
          <w:tcPr>
            <w:tcW w:w="8522" w:type="dxa"/>
            <w:shd w:val="clear" w:color="auto" w:fill="CFF0FC"/>
            <w:tcMar>
              <w:top w:w="15" w:type="dxa"/>
              <w:left w:w="0" w:type="dxa"/>
              <w:bottom w:w="0" w:type="dxa"/>
              <w:right w:w="15" w:type="dxa"/>
            </w:tcMar>
            <w:hideMark/>
          </w:tcPr>
          <w:p w14:paraId="3C2420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Capital employed</w:t>
            </w:r>
          </w:p>
        </w:tc>
        <w:tc>
          <w:tcPr>
            <w:tcW w:w="319" w:type="dxa"/>
            <w:shd w:val="clear" w:color="auto" w:fill="CFF0FC"/>
            <w:tcMar>
              <w:top w:w="15" w:type="dxa"/>
              <w:left w:w="0" w:type="dxa"/>
              <w:bottom w:w="0" w:type="dxa"/>
              <w:right w:w="15" w:type="dxa"/>
            </w:tcMar>
            <w:vAlign w:val="bottom"/>
            <w:hideMark/>
          </w:tcPr>
          <w:p w14:paraId="5100E4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A40C2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shd w:val="clear" w:color="auto" w:fill="CFF0FC"/>
            <w:noWrap/>
            <w:tcMar>
              <w:top w:w="15" w:type="dxa"/>
              <w:left w:w="0" w:type="dxa"/>
              <w:bottom w:w="0" w:type="dxa"/>
              <w:right w:w="15" w:type="dxa"/>
            </w:tcMar>
            <w:vAlign w:val="bottom"/>
            <w:hideMark/>
          </w:tcPr>
          <w:p w14:paraId="1160D73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3,637</w:t>
            </w:r>
          </w:p>
        </w:tc>
        <w:tc>
          <w:tcPr>
            <w:tcW w:w="191" w:type="dxa"/>
            <w:shd w:val="clear" w:color="auto" w:fill="CFF0FC"/>
            <w:noWrap/>
            <w:tcMar>
              <w:top w:w="15" w:type="dxa"/>
              <w:left w:w="0" w:type="dxa"/>
              <w:bottom w:w="0" w:type="dxa"/>
              <w:right w:w="15" w:type="dxa"/>
            </w:tcMar>
            <w:vAlign w:val="bottom"/>
            <w:hideMark/>
          </w:tcPr>
          <w:p w14:paraId="4B2D54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25029A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FEA8F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CFF0FC"/>
            <w:noWrap/>
            <w:tcMar>
              <w:top w:w="15" w:type="dxa"/>
              <w:left w:w="0" w:type="dxa"/>
              <w:bottom w:w="0" w:type="dxa"/>
              <w:right w:w="15" w:type="dxa"/>
            </w:tcMar>
            <w:vAlign w:val="bottom"/>
            <w:hideMark/>
          </w:tcPr>
          <w:p w14:paraId="1480B3F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88</w:t>
            </w:r>
          </w:p>
        </w:tc>
        <w:tc>
          <w:tcPr>
            <w:tcW w:w="191" w:type="dxa"/>
            <w:shd w:val="clear" w:color="auto" w:fill="CFF0FC"/>
            <w:noWrap/>
            <w:tcMar>
              <w:top w:w="15" w:type="dxa"/>
              <w:left w:w="0" w:type="dxa"/>
              <w:bottom w:w="0" w:type="dxa"/>
              <w:right w:w="15" w:type="dxa"/>
            </w:tcMar>
            <w:vAlign w:val="bottom"/>
            <w:hideMark/>
          </w:tcPr>
          <w:p w14:paraId="2883A9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5E0766A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CFA0D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111" w:type="dxa"/>
            <w:shd w:val="clear" w:color="auto" w:fill="CFF0FC"/>
            <w:noWrap/>
            <w:tcMar>
              <w:top w:w="15" w:type="dxa"/>
              <w:left w:w="0" w:type="dxa"/>
              <w:bottom w:w="0" w:type="dxa"/>
              <w:right w:w="15" w:type="dxa"/>
            </w:tcMar>
            <w:vAlign w:val="bottom"/>
            <w:hideMark/>
          </w:tcPr>
          <w:p w14:paraId="7FE00D9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3,725</w:t>
            </w:r>
          </w:p>
        </w:tc>
        <w:tc>
          <w:tcPr>
            <w:tcW w:w="191" w:type="dxa"/>
            <w:shd w:val="clear" w:color="auto" w:fill="CFF0FC"/>
            <w:noWrap/>
            <w:tcMar>
              <w:top w:w="15" w:type="dxa"/>
              <w:left w:w="0" w:type="dxa"/>
              <w:bottom w:w="0" w:type="dxa"/>
              <w:right w:w="15" w:type="dxa"/>
            </w:tcMar>
            <w:vAlign w:val="bottom"/>
            <w:hideMark/>
          </w:tcPr>
          <w:p w14:paraId="517735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655B87C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373D0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shd w:val="clear" w:color="auto" w:fill="CFF0FC"/>
            <w:noWrap/>
            <w:tcMar>
              <w:top w:w="15" w:type="dxa"/>
              <w:left w:w="0" w:type="dxa"/>
              <w:bottom w:w="0" w:type="dxa"/>
              <w:right w:w="15" w:type="dxa"/>
            </w:tcMar>
            <w:vAlign w:val="bottom"/>
            <w:hideMark/>
          </w:tcPr>
          <w:p w14:paraId="0D1B52B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3,772</w:t>
            </w:r>
          </w:p>
        </w:tc>
        <w:tc>
          <w:tcPr>
            <w:tcW w:w="191" w:type="dxa"/>
            <w:shd w:val="clear" w:color="auto" w:fill="CFF0FC"/>
            <w:noWrap/>
            <w:tcMar>
              <w:top w:w="15" w:type="dxa"/>
              <w:left w:w="0" w:type="dxa"/>
              <w:bottom w:w="0" w:type="dxa"/>
              <w:right w:w="15" w:type="dxa"/>
            </w:tcMar>
            <w:vAlign w:val="bottom"/>
            <w:hideMark/>
          </w:tcPr>
          <w:p w14:paraId="6C4082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01E5FF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F918B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CFF0FC"/>
            <w:noWrap/>
            <w:tcMar>
              <w:top w:w="15" w:type="dxa"/>
              <w:left w:w="0" w:type="dxa"/>
              <w:bottom w:w="0" w:type="dxa"/>
              <w:right w:w="15" w:type="dxa"/>
            </w:tcMar>
            <w:vAlign w:val="bottom"/>
            <w:hideMark/>
          </w:tcPr>
          <w:p w14:paraId="3DAFAE0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w:t>
            </w:r>
          </w:p>
        </w:tc>
        <w:tc>
          <w:tcPr>
            <w:tcW w:w="191" w:type="dxa"/>
            <w:shd w:val="clear" w:color="auto" w:fill="CFF0FC"/>
            <w:noWrap/>
            <w:tcMar>
              <w:top w:w="15" w:type="dxa"/>
              <w:left w:w="0" w:type="dxa"/>
              <w:bottom w:w="0" w:type="dxa"/>
              <w:right w:w="15" w:type="dxa"/>
            </w:tcMar>
            <w:vAlign w:val="bottom"/>
            <w:hideMark/>
          </w:tcPr>
          <w:p w14:paraId="17B4F0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137E3F0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D449A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CFF0FC"/>
            <w:noWrap/>
            <w:tcMar>
              <w:top w:w="15" w:type="dxa"/>
              <w:left w:w="0" w:type="dxa"/>
              <w:bottom w:w="0" w:type="dxa"/>
              <w:right w:w="15" w:type="dxa"/>
            </w:tcMar>
            <w:vAlign w:val="bottom"/>
            <w:hideMark/>
          </w:tcPr>
          <w:p w14:paraId="7BDB97B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3,810</w:t>
            </w:r>
          </w:p>
        </w:tc>
        <w:tc>
          <w:tcPr>
            <w:tcW w:w="192" w:type="dxa"/>
            <w:shd w:val="clear" w:color="auto" w:fill="CFF0FC"/>
            <w:noWrap/>
            <w:tcMar>
              <w:top w:w="15" w:type="dxa"/>
              <w:left w:w="0" w:type="dxa"/>
              <w:bottom w:w="0" w:type="dxa"/>
              <w:right w:w="15" w:type="dxa"/>
            </w:tcMar>
            <w:vAlign w:val="bottom"/>
            <w:hideMark/>
          </w:tcPr>
          <w:p w14:paraId="32596D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54BAA12" w14:textId="77777777" w:rsidTr="00AC4931">
        <w:tc>
          <w:tcPr>
            <w:tcW w:w="8522" w:type="dxa"/>
            <w:shd w:val="clear" w:color="auto" w:fill="FFFFFF"/>
            <w:tcMar>
              <w:top w:w="15" w:type="dxa"/>
              <w:left w:w="0" w:type="dxa"/>
              <w:bottom w:w="0" w:type="dxa"/>
              <w:right w:w="15" w:type="dxa"/>
            </w:tcMar>
            <w:hideMark/>
          </w:tcPr>
          <w:p w14:paraId="3FF403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Return on capital employed, %</w:t>
            </w:r>
            <w:r w:rsidRPr="00AC4931">
              <w:rPr>
                <w:rFonts w:ascii="Arial" w:eastAsia="宋体" w:hAnsi="Arial" w:cs="Arial"/>
                <w:color w:val="000000"/>
                <w:kern w:val="0"/>
                <w:sz w:val="18"/>
                <w:szCs w:val="18"/>
                <w:vertAlign w:val="superscript"/>
              </w:rPr>
              <w:t> 2)</w:t>
            </w:r>
          </w:p>
        </w:tc>
        <w:tc>
          <w:tcPr>
            <w:tcW w:w="319" w:type="dxa"/>
            <w:shd w:val="clear" w:color="auto" w:fill="FFFFFF"/>
            <w:tcMar>
              <w:top w:w="15" w:type="dxa"/>
              <w:left w:w="0" w:type="dxa"/>
              <w:bottom w:w="0" w:type="dxa"/>
              <w:right w:w="15" w:type="dxa"/>
            </w:tcMar>
            <w:vAlign w:val="bottom"/>
            <w:hideMark/>
          </w:tcPr>
          <w:p w14:paraId="0F281F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14FC1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63" w:type="dxa"/>
            <w:shd w:val="clear" w:color="auto" w:fill="FFFFFF"/>
            <w:noWrap/>
            <w:tcMar>
              <w:top w:w="15" w:type="dxa"/>
              <w:left w:w="0" w:type="dxa"/>
              <w:bottom w:w="0" w:type="dxa"/>
              <w:right w:w="15" w:type="dxa"/>
            </w:tcMar>
            <w:vAlign w:val="bottom"/>
            <w:hideMark/>
          </w:tcPr>
          <w:p w14:paraId="3BC73A4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10.4</w:t>
            </w:r>
          </w:p>
        </w:tc>
        <w:tc>
          <w:tcPr>
            <w:tcW w:w="191" w:type="dxa"/>
            <w:shd w:val="clear" w:color="auto" w:fill="FFFFFF"/>
            <w:noWrap/>
            <w:tcMar>
              <w:top w:w="15" w:type="dxa"/>
              <w:left w:w="0" w:type="dxa"/>
              <w:bottom w:w="0" w:type="dxa"/>
              <w:right w:w="15" w:type="dxa"/>
            </w:tcMar>
            <w:vAlign w:val="bottom"/>
            <w:hideMark/>
          </w:tcPr>
          <w:p w14:paraId="6512D9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1F2866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BE48D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23" w:type="dxa"/>
            <w:shd w:val="clear" w:color="auto" w:fill="FFFFFF"/>
            <w:noWrap/>
            <w:tcMar>
              <w:top w:w="15" w:type="dxa"/>
              <w:left w:w="0" w:type="dxa"/>
              <w:bottom w:w="0" w:type="dxa"/>
              <w:right w:w="15" w:type="dxa"/>
            </w:tcMar>
            <w:vAlign w:val="bottom"/>
            <w:hideMark/>
          </w:tcPr>
          <w:p w14:paraId="3A055C6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w:t>
            </w:r>
          </w:p>
        </w:tc>
        <w:tc>
          <w:tcPr>
            <w:tcW w:w="191" w:type="dxa"/>
            <w:shd w:val="clear" w:color="auto" w:fill="FFFFFF"/>
            <w:noWrap/>
            <w:tcMar>
              <w:top w:w="15" w:type="dxa"/>
              <w:left w:w="0" w:type="dxa"/>
              <w:bottom w:w="0" w:type="dxa"/>
              <w:right w:w="15" w:type="dxa"/>
            </w:tcMar>
            <w:vAlign w:val="bottom"/>
            <w:hideMark/>
          </w:tcPr>
          <w:p w14:paraId="7AB7E7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7C2FE6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4A9E1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11" w:type="dxa"/>
            <w:shd w:val="clear" w:color="auto" w:fill="FFFFFF"/>
            <w:noWrap/>
            <w:tcMar>
              <w:top w:w="15" w:type="dxa"/>
              <w:left w:w="0" w:type="dxa"/>
              <w:bottom w:w="0" w:type="dxa"/>
              <w:right w:w="15" w:type="dxa"/>
            </w:tcMar>
            <w:vAlign w:val="bottom"/>
            <w:hideMark/>
          </w:tcPr>
          <w:p w14:paraId="143591C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12.9</w:t>
            </w:r>
          </w:p>
        </w:tc>
        <w:tc>
          <w:tcPr>
            <w:tcW w:w="191" w:type="dxa"/>
            <w:shd w:val="clear" w:color="auto" w:fill="FFFFFF"/>
            <w:noWrap/>
            <w:tcMar>
              <w:top w:w="15" w:type="dxa"/>
              <w:left w:w="0" w:type="dxa"/>
              <w:bottom w:w="0" w:type="dxa"/>
              <w:right w:w="15" w:type="dxa"/>
            </w:tcMar>
            <w:vAlign w:val="bottom"/>
            <w:hideMark/>
          </w:tcPr>
          <w:p w14:paraId="66275A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0EBCA3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5D1D1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63" w:type="dxa"/>
            <w:shd w:val="clear" w:color="auto" w:fill="FFFFFF"/>
            <w:noWrap/>
            <w:tcMar>
              <w:top w:w="15" w:type="dxa"/>
              <w:left w:w="0" w:type="dxa"/>
              <w:bottom w:w="0" w:type="dxa"/>
              <w:right w:w="15" w:type="dxa"/>
            </w:tcMar>
            <w:vAlign w:val="bottom"/>
            <w:hideMark/>
          </w:tcPr>
          <w:p w14:paraId="0D5C70F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19.7</w:t>
            </w:r>
          </w:p>
        </w:tc>
        <w:tc>
          <w:tcPr>
            <w:tcW w:w="191" w:type="dxa"/>
            <w:shd w:val="clear" w:color="auto" w:fill="FFFFFF"/>
            <w:noWrap/>
            <w:tcMar>
              <w:top w:w="15" w:type="dxa"/>
              <w:left w:w="0" w:type="dxa"/>
              <w:bottom w:w="0" w:type="dxa"/>
              <w:right w:w="15" w:type="dxa"/>
            </w:tcMar>
            <w:vAlign w:val="bottom"/>
            <w:hideMark/>
          </w:tcPr>
          <w:p w14:paraId="2E6634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21FB05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60918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23" w:type="dxa"/>
            <w:shd w:val="clear" w:color="auto" w:fill="FFFFFF"/>
            <w:noWrap/>
            <w:tcMar>
              <w:top w:w="15" w:type="dxa"/>
              <w:left w:w="0" w:type="dxa"/>
              <w:bottom w:w="0" w:type="dxa"/>
              <w:right w:w="15" w:type="dxa"/>
            </w:tcMar>
            <w:vAlign w:val="bottom"/>
            <w:hideMark/>
          </w:tcPr>
          <w:p w14:paraId="15F9DE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w:t>
            </w:r>
          </w:p>
        </w:tc>
        <w:tc>
          <w:tcPr>
            <w:tcW w:w="191" w:type="dxa"/>
            <w:shd w:val="clear" w:color="auto" w:fill="FFFFFF"/>
            <w:noWrap/>
            <w:tcMar>
              <w:top w:w="15" w:type="dxa"/>
              <w:left w:w="0" w:type="dxa"/>
              <w:bottom w:w="0" w:type="dxa"/>
              <w:right w:w="15" w:type="dxa"/>
            </w:tcMar>
            <w:vAlign w:val="bottom"/>
            <w:hideMark/>
          </w:tcPr>
          <w:p w14:paraId="2DDC2E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72F1C0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F6BC4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23" w:type="dxa"/>
            <w:shd w:val="clear" w:color="auto" w:fill="FFFFFF"/>
            <w:noWrap/>
            <w:tcMar>
              <w:top w:w="15" w:type="dxa"/>
              <w:left w:w="0" w:type="dxa"/>
              <w:bottom w:w="0" w:type="dxa"/>
              <w:right w:w="15" w:type="dxa"/>
            </w:tcMar>
            <w:vAlign w:val="bottom"/>
            <w:hideMark/>
          </w:tcPr>
          <w:p w14:paraId="244B5FD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20.9</w:t>
            </w:r>
          </w:p>
        </w:tc>
        <w:tc>
          <w:tcPr>
            <w:tcW w:w="192" w:type="dxa"/>
            <w:shd w:val="clear" w:color="auto" w:fill="FFFFFF"/>
            <w:noWrap/>
            <w:tcMar>
              <w:top w:w="15" w:type="dxa"/>
              <w:left w:w="0" w:type="dxa"/>
              <w:bottom w:w="0" w:type="dxa"/>
              <w:right w:w="15" w:type="dxa"/>
            </w:tcMar>
            <w:vAlign w:val="bottom"/>
            <w:hideMark/>
          </w:tcPr>
          <w:p w14:paraId="7AA775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24D8D68" w14:textId="77777777" w:rsidTr="00AC4931">
        <w:tc>
          <w:tcPr>
            <w:tcW w:w="8522" w:type="dxa"/>
            <w:shd w:val="clear" w:color="auto" w:fill="CFF0FC"/>
            <w:tcMar>
              <w:top w:w="15" w:type="dxa"/>
              <w:left w:w="0" w:type="dxa"/>
              <w:bottom w:w="0" w:type="dxa"/>
              <w:right w:w="15" w:type="dxa"/>
            </w:tcMar>
            <w:hideMark/>
          </w:tcPr>
          <w:p w14:paraId="42C836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Return on total equity, %</w:t>
            </w:r>
            <w:r w:rsidRPr="00AC4931">
              <w:rPr>
                <w:rFonts w:ascii="Arial" w:eastAsia="宋体" w:hAnsi="Arial" w:cs="Arial"/>
                <w:color w:val="000000"/>
                <w:kern w:val="0"/>
                <w:sz w:val="18"/>
                <w:szCs w:val="18"/>
                <w:vertAlign w:val="superscript"/>
              </w:rPr>
              <w:t> 3)</w:t>
            </w:r>
          </w:p>
        </w:tc>
        <w:tc>
          <w:tcPr>
            <w:tcW w:w="319" w:type="dxa"/>
            <w:shd w:val="clear" w:color="auto" w:fill="CFF0FC"/>
            <w:tcMar>
              <w:top w:w="15" w:type="dxa"/>
              <w:left w:w="0" w:type="dxa"/>
              <w:bottom w:w="0" w:type="dxa"/>
              <w:right w:w="15" w:type="dxa"/>
            </w:tcMar>
            <w:vAlign w:val="bottom"/>
            <w:hideMark/>
          </w:tcPr>
          <w:p w14:paraId="15E759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76BFE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63" w:type="dxa"/>
            <w:shd w:val="clear" w:color="auto" w:fill="CFF0FC"/>
            <w:noWrap/>
            <w:tcMar>
              <w:top w:w="15" w:type="dxa"/>
              <w:left w:w="0" w:type="dxa"/>
              <w:bottom w:w="0" w:type="dxa"/>
              <w:right w:w="15" w:type="dxa"/>
            </w:tcMar>
            <w:vAlign w:val="bottom"/>
            <w:hideMark/>
          </w:tcPr>
          <w:p w14:paraId="35128B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8.8</w:t>
            </w:r>
          </w:p>
        </w:tc>
        <w:tc>
          <w:tcPr>
            <w:tcW w:w="191" w:type="dxa"/>
            <w:shd w:val="clear" w:color="auto" w:fill="CFF0FC"/>
            <w:noWrap/>
            <w:tcMar>
              <w:top w:w="15" w:type="dxa"/>
              <w:left w:w="0" w:type="dxa"/>
              <w:bottom w:w="0" w:type="dxa"/>
              <w:right w:w="15" w:type="dxa"/>
            </w:tcMar>
            <w:vAlign w:val="bottom"/>
            <w:hideMark/>
          </w:tcPr>
          <w:p w14:paraId="237B7A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530F2A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7D94E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23" w:type="dxa"/>
            <w:shd w:val="clear" w:color="auto" w:fill="CFF0FC"/>
            <w:noWrap/>
            <w:tcMar>
              <w:top w:w="15" w:type="dxa"/>
              <w:left w:w="0" w:type="dxa"/>
              <w:bottom w:w="0" w:type="dxa"/>
              <w:right w:w="15" w:type="dxa"/>
            </w:tcMar>
            <w:vAlign w:val="bottom"/>
            <w:hideMark/>
          </w:tcPr>
          <w:p w14:paraId="36B516A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w:t>
            </w:r>
          </w:p>
        </w:tc>
        <w:tc>
          <w:tcPr>
            <w:tcW w:w="191" w:type="dxa"/>
            <w:shd w:val="clear" w:color="auto" w:fill="CFF0FC"/>
            <w:noWrap/>
            <w:tcMar>
              <w:top w:w="15" w:type="dxa"/>
              <w:left w:w="0" w:type="dxa"/>
              <w:bottom w:w="0" w:type="dxa"/>
              <w:right w:w="15" w:type="dxa"/>
            </w:tcMar>
            <w:vAlign w:val="bottom"/>
            <w:hideMark/>
          </w:tcPr>
          <w:p w14:paraId="5C333F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3510CB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067A5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11" w:type="dxa"/>
            <w:shd w:val="clear" w:color="auto" w:fill="CFF0FC"/>
            <w:noWrap/>
            <w:tcMar>
              <w:top w:w="15" w:type="dxa"/>
              <w:left w:w="0" w:type="dxa"/>
              <w:bottom w:w="0" w:type="dxa"/>
              <w:right w:w="15" w:type="dxa"/>
            </w:tcMar>
            <w:vAlign w:val="bottom"/>
            <w:hideMark/>
          </w:tcPr>
          <w:p w14:paraId="034BEA1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12.7</w:t>
            </w:r>
          </w:p>
        </w:tc>
        <w:tc>
          <w:tcPr>
            <w:tcW w:w="191" w:type="dxa"/>
            <w:shd w:val="clear" w:color="auto" w:fill="CFF0FC"/>
            <w:noWrap/>
            <w:tcMar>
              <w:top w:w="15" w:type="dxa"/>
              <w:left w:w="0" w:type="dxa"/>
              <w:bottom w:w="0" w:type="dxa"/>
              <w:right w:w="15" w:type="dxa"/>
            </w:tcMar>
            <w:vAlign w:val="bottom"/>
            <w:hideMark/>
          </w:tcPr>
          <w:p w14:paraId="126135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365116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FD841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63" w:type="dxa"/>
            <w:shd w:val="clear" w:color="auto" w:fill="CFF0FC"/>
            <w:noWrap/>
            <w:tcMar>
              <w:top w:w="15" w:type="dxa"/>
              <w:left w:w="0" w:type="dxa"/>
              <w:bottom w:w="0" w:type="dxa"/>
              <w:right w:w="15" w:type="dxa"/>
            </w:tcMar>
            <w:vAlign w:val="bottom"/>
            <w:hideMark/>
          </w:tcPr>
          <w:p w14:paraId="0655BD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23.1</w:t>
            </w:r>
          </w:p>
        </w:tc>
        <w:tc>
          <w:tcPr>
            <w:tcW w:w="191" w:type="dxa"/>
            <w:shd w:val="clear" w:color="auto" w:fill="CFF0FC"/>
            <w:noWrap/>
            <w:tcMar>
              <w:top w:w="15" w:type="dxa"/>
              <w:left w:w="0" w:type="dxa"/>
              <w:bottom w:w="0" w:type="dxa"/>
              <w:right w:w="15" w:type="dxa"/>
            </w:tcMar>
            <w:vAlign w:val="bottom"/>
            <w:hideMark/>
          </w:tcPr>
          <w:p w14:paraId="224123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37F84E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BED6E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23" w:type="dxa"/>
            <w:shd w:val="clear" w:color="auto" w:fill="CFF0FC"/>
            <w:noWrap/>
            <w:tcMar>
              <w:top w:w="15" w:type="dxa"/>
              <w:left w:w="0" w:type="dxa"/>
              <w:bottom w:w="0" w:type="dxa"/>
              <w:right w:w="15" w:type="dxa"/>
            </w:tcMar>
            <w:vAlign w:val="bottom"/>
            <w:hideMark/>
          </w:tcPr>
          <w:p w14:paraId="6EB024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w:t>
            </w:r>
          </w:p>
        </w:tc>
        <w:tc>
          <w:tcPr>
            <w:tcW w:w="191" w:type="dxa"/>
            <w:shd w:val="clear" w:color="auto" w:fill="CFF0FC"/>
            <w:noWrap/>
            <w:tcMar>
              <w:top w:w="15" w:type="dxa"/>
              <w:left w:w="0" w:type="dxa"/>
              <w:bottom w:w="0" w:type="dxa"/>
              <w:right w:w="15" w:type="dxa"/>
            </w:tcMar>
            <w:vAlign w:val="bottom"/>
            <w:hideMark/>
          </w:tcPr>
          <w:p w14:paraId="766E80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08570E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EDBCA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23" w:type="dxa"/>
            <w:shd w:val="clear" w:color="auto" w:fill="CFF0FC"/>
            <w:noWrap/>
            <w:tcMar>
              <w:top w:w="15" w:type="dxa"/>
              <w:left w:w="0" w:type="dxa"/>
              <w:bottom w:w="0" w:type="dxa"/>
              <w:right w:w="15" w:type="dxa"/>
            </w:tcMar>
            <w:vAlign w:val="bottom"/>
            <w:hideMark/>
          </w:tcPr>
          <w:p w14:paraId="20E383E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24.8</w:t>
            </w:r>
          </w:p>
        </w:tc>
        <w:tc>
          <w:tcPr>
            <w:tcW w:w="192" w:type="dxa"/>
            <w:shd w:val="clear" w:color="auto" w:fill="CFF0FC"/>
            <w:noWrap/>
            <w:tcMar>
              <w:top w:w="15" w:type="dxa"/>
              <w:left w:w="0" w:type="dxa"/>
              <w:bottom w:w="0" w:type="dxa"/>
              <w:right w:w="15" w:type="dxa"/>
            </w:tcMar>
            <w:vAlign w:val="bottom"/>
            <w:hideMark/>
          </w:tcPr>
          <w:p w14:paraId="534828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942E322" w14:textId="77777777" w:rsidTr="00AC4931">
        <w:tc>
          <w:tcPr>
            <w:tcW w:w="8522" w:type="dxa"/>
            <w:shd w:val="clear" w:color="auto" w:fill="FFFFFF"/>
            <w:tcMar>
              <w:top w:w="15" w:type="dxa"/>
              <w:left w:w="0" w:type="dxa"/>
              <w:bottom w:w="0" w:type="dxa"/>
              <w:right w:w="15" w:type="dxa"/>
            </w:tcMar>
            <w:hideMark/>
          </w:tcPr>
          <w:p w14:paraId="44367B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Earnings per share, diluted</w:t>
            </w:r>
            <w:r w:rsidRPr="00AC4931">
              <w:rPr>
                <w:rFonts w:ascii="Arial" w:eastAsia="宋体" w:hAnsi="Arial" w:cs="Arial"/>
                <w:color w:val="000000"/>
                <w:kern w:val="0"/>
                <w:sz w:val="18"/>
                <w:szCs w:val="18"/>
                <w:vertAlign w:val="superscript"/>
              </w:rPr>
              <w:t> 4, 5)</w:t>
            </w:r>
          </w:p>
        </w:tc>
        <w:tc>
          <w:tcPr>
            <w:tcW w:w="319" w:type="dxa"/>
            <w:shd w:val="clear" w:color="auto" w:fill="FFFFFF"/>
            <w:tcMar>
              <w:top w:w="15" w:type="dxa"/>
              <w:left w:w="0" w:type="dxa"/>
              <w:bottom w:w="0" w:type="dxa"/>
              <w:right w:w="15" w:type="dxa"/>
            </w:tcMar>
            <w:vAlign w:val="bottom"/>
            <w:hideMark/>
          </w:tcPr>
          <w:p w14:paraId="79277B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ABB7E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shd w:val="clear" w:color="auto" w:fill="FFFFFF"/>
            <w:noWrap/>
            <w:tcMar>
              <w:top w:w="15" w:type="dxa"/>
              <w:left w:w="0" w:type="dxa"/>
              <w:bottom w:w="0" w:type="dxa"/>
              <w:right w:w="15" w:type="dxa"/>
            </w:tcMar>
            <w:vAlign w:val="bottom"/>
            <w:hideMark/>
          </w:tcPr>
          <w:p w14:paraId="05FA84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w:t>
            </w:r>
          </w:p>
        </w:tc>
        <w:tc>
          <w:tcPr>
            <w:tcW w:w="191" w:type="dxa"/>
            <w:shd w:val="clear" w:color="auto" w:fill="FFFFFF"/>
            <w:noWrap/>
            <w:tcMar>
              <w:top w:w="15" w:type="dxa"/>
              <w:left w:w="0" w:type="dxa"/>
              <w:bottom w:w="0" w:type="dxa"/>
              <w:right w:w="15" w:type="dxa"/>
            </w:tcMar>
            <w:vAlign w:val="bottom"/>
            <w:hideMark/>
          </w:tcPr>
          <w:p w14:paraId="76B2AE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3FE042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9630C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FFFFFF"/>
            <w:noWrap/>
            <w:tcMar>
              <w:top w:w="15" w:type="dxa"/>
              <w:left w:w="0" w:type="dxa"/>
              <w:bottom w:w="0" w:type="dxa"/>
              <w:right w:w="15" w:type="dxa"/>
            </w:tcMar>
            <w:vAlign w:val="bottom"/>
            <w:hideMark/>
          </w:tcPr>
          <w:p w14:paraId="07E63D7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1.01</w:t>
            </w:r>
          </w:p>
        </w:tc>
        <w:tc>
          <w:tcPr>
            <w:tcW w:w="191" w:type="dxa"/>
            <w:shd w:val="clear" w:color="auto" w:fill="FFFFFF"/>
            <w:noWrap/>
            <w:tcMar>
              <w:top w:w="15" w:type="dxa"/>
              <w:left w:w="0" w:type="dxa"/>
              <w:bottom w:w="0" w:type="dxa"/>
              <w:right w:w="15" w:type="dxa"/>
            </w:tcMar>
            <w:vAlign w:val="bottom"/>
            <w:hideMark/>
          </w:tcPr>
          <w:p w14:paraId="26D0E4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36E6A63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983CE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111" w:type="dxa"/>
            <w:shd w:val="clear" w:color="auto" w:fill="FFFFFF"/>
            <w:noWrap/>
            <w:tcMar>
              <w:top w:w="15" w:type="dxa"/>
              <w:left w:w="0" w:type="dxa"/>
              <w:bottom w:w="0" w:type="dxa"/>
              <w:right w:w="15" w:type="dxa"/>
            </w:tcMar>
            <w:vAlign w:val="bottom"/>
            <w:hideMark/>
          </w:tcPr>
          <w:p w14:paraId="6092C6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3.15</w:t>
            </w:r>
          </w:p>
        </w:tc>
        <w:tc>
          <w:tcPr>
            <w:tcW w:w="191" w:type="dxa"/>
            <w:shd w:val="clear" w:color="auto" w:fill="FFFFFF"/>
            <w:noWrap/>
            <w:tcMar>
              <w:top w:w="15" w:type="dxa"/>
              <w:left w:w="0" w:type="dxa"/>
              <w:bottom w:w="0" w:type="dxa"/>
              <w:right w:w="15" w:type="dxa"/>
            </w:tcMar>
            <w:vAlign w:val="bottom"/>
            <w:hideMark/>
          </w:tcPr>
          <w:p w14:paraId="79D2F8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2D85A3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AE85C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shd w:val="clear" w:color="auto" w:fill="FFFFFF"/>
            <w:noWrap/>
            <w:tcMar>
              <w:top w:w="15" w:type="dxa"/>
              <w:left w:w="0" w:type="dxa"/>
              <w:bottom w:w="0" w:type="dxa"/>
              <w:right w:w="15" w:type="dxa"/>
            </w:tcMar>
            <w:vAlign w:val="bottom"/>
            <w:hideMark/>
          </w:tcPr>
          <w:p w14:paraId="3F2849C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5.29</w:t>
            </w:r>
          </w:p>
        </w:tc>
        <w:tc>
          <w:tcPr>
            <w:tcW w:w="191" w:type="dxa"/>
            <w:shd w:val="clear" w:color="auto" w:fill="FFFFFF"/>
            <w:noWrap/>
            <w:tcMar>
              <w:top w:w="15" w:type="dxa"/>
              <w:left w:w="0" w:type="dxa"/>
              <w:bottom w:w="0" w:type="dxa"/>
              <w:right w:w="15" w:type="dxa"/>
            </w:tcMar>
            <w:vAlign w:val="bottom"/>
            <w:hideMark/>
          </w:tcPr>
          <w:p w14:paraId="07A471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4AA40E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2BAEF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FFFFFF"/>
            <w:noWrap/>
            <w:tcMar>
              <w:top w:w="15" w:type="dxa"/>
              <w:left w:w="0" w:type="dxa"/>
              <w:bottom w:w="0" w:type="dxa"/>
              <w:right w:w="15" w:type="dxa"/>
            </w:tcMar>
            <w:vAlign w:val="bottom"/>
            <w:hideMark/>
          </w:tcPr>
          <w:p w14:paraId="287164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0.43</w:t>
            </w:r>
          </w:p>
        </w:tc>
        <w:tc>
          <w:tcPr>
            <w:tcW w:w="191" w:type="dxa"/>
            <w:shd w:val="clear" w:color="auto" w:fill="FFFFFF"/>
            <w:noWrap/>
            <w:tcMar>
              <w:top w:w="15" w:type="dxa"/>
              <w:left w:w="0" w:type="dxa"/>
              <w:bottom w:w="0" w:type="dxa"/>
              <w:right w:w="15" w:type="dxa"/>
            </w:tcMar>
            <w:vAlign w:val="bottom"/>
            <w:hideMark/>
          </w:tcPr>
          <w:p w14:paraId="21216F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1AB6F56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7F209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FFFFFF"/>
            <w:noWrap/>
            <w:tcMar>
              <w:top w:w="15" w:type="dxa"/>
              <w:left w:w="0" w:type="dxa"/>
              <w:bottom w:w="0" w:type="dxa"/>
              <w:right w:w="15" w:type="dxa"/>
            </w:tcMar>
            <w:vAlign w:val="bottom"/>
            <w:hideMark/>
          </w:tcPr>
          <w:p w14:paraId="1B510E6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5.72</w:t>
            </w:r>
          </w:p>
        </w:tc>
        <w:tc>
          <w:tcPr>
            <w:tcW w:w="192" w:type="dxa"/>
            <w:shd w:val="clear" w:color="auto" w:fill="FFFFFF"/>
            <w:noWrap/>
            <w:tcMar>
              <w:top w:w="15" w:type="dxa"/>
              <w:left w:w="0" w:type="dxa"/>
              <w:bottom w:w="0" w:type="dxa"/>
              <w:right w:w="15" w:type="dxa"/>
            </w:tcMar>
            <w:vAlign w:val="bottom"/>
            <w:hideMark/>
          </w:tcPr>
          <w:p w14:paraId="0FA1B2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31B3E35" w14:textId="77777777" w:rsidTr="00AC4931">
        <w:tc>
          <w:tcPr>
            <w:tcW w:w="8522" w:type="dxa"/>
            <w:shd w:val="clear" w:color="auto" w:fill="CFF0FC"/>
            <w:tcMar>
              <w:top w:w="15" w:type="dxa"/>
              <w:left w:w="0" w:type="dxa"/>
              <w:bottom w:w="0" w:type="dxa"/>
              <w:right w:w="15" w:type="dxa"/>
            </w:tcMar>
            <w:hideMark/>
          </w:tcPr>
          <w:p w14:paraId="261066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Total parent shareholders' equity per share</w:t>
            </w:r>
          </w:p>
        </w:tc>
        <w:tc>
          <w:tcPr>
            <w:tcW w:w="319" w:type="dxa"/>
            <w:shd w:val="clear" w:color="auto" w:fill="CFF0FC"/>
            <w:tcMar>
              <w:top w:w="15" w:type="dxa"/>
              <w:left w:w="0" w:type="dxa"/>
              <w:bottom w:w="0" w:type="dxa"/>
              <w:right w:w="15" w:type="dxa"/>
            </w:tcMar>
            <w:vAlign w:val="bottom"/>
            <w:hideMark/>
          </w:tcPr>
          <w:p w14:paraId="5E2793E7"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F61F1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shd w:val="clear" w:color="auto" w:fill="CFF0FC"/>
            <w:noWrap/>
            <w:tcMar>
              <w:top w:w="15" w:type="dxa"/>
              <w:left w:w="0" w:type="dxa"/>
              <w:bottom w:w="0" w:type="dxa"/>
              <w:right w:w="15" w:type="dxa"/>
            </w:tcMar>
            <w:vAlign w:val="bottom"/>
            <w:hideMark/>
          </w:tcPr>
          <w:p w14:paraId="5B8B690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27.56</w:t>
            </w:r>
          </w:p>
        </w:tc>
        <w:tc>
          <w:tcPr>
            <w:tcW w:w="191" w:type="dxa"/>
            <w:shd w:val="clear" w:color="auto" w:fill="CFF0FC"/>
            <w:noWrap/>
            <w:tcMar>
              <w:top w:w="15" w:type="dxa"/>
              <w:left w:w="0" w:type="dxa"/>
              <w:bottom w:w="0" w:type="dxa"/>
              <w:right w:w="15" w:type="dxa"/>
            </w:tcMar>
            <w:vAlign w:val="bottom"/>
            <w:hideMark/>
          </w:tcPr>
          <w:p w14:paraId="0E4991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375459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9F297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CFF0FC"/>
            <w:noWrap/>
            <w:tcMar>
              <w:top w:w="15" w:type="dxa"/>
              <w:left w:w="0" w:type="dxa"/>
              <w:bottom w:w="0" w:type="dxa"/>
              <w:right w:w="15" w:type="dxa"/>
            </w:tcMar>
            <w:vAlign w:val="bottom"/>
            <w:hideMark/>
          </w:tcPr>
          <w:p w14:paraId="2AAC8EA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1.01</w:t>
            </w:r>
          </w:p>
        </w:tc>
        <w:tc>
          <w:tcPr>
            <w:tcW w:w="191" w:type="dxa"/>
            <w:shd w:val="clear" w:color="auto" w:fill="CFF0FC"/>
            <w:noWrap/>
            <w:tcMar>
              <w:top w:w="15" w:type="dxa"/>
              <w:left w:w="0" w:type="dxa"/>
              <w:bottom w:w="0" w:type="dxa"/>
              <w:right w:w="15" w:type="dxa"/>
            </w:tcMar>
            <w:vAlign w:val="bottom"/>
            <w:hideMark/>
          </w:tcPr>
          <w:p w14:paraId="38E990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73623DA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AE358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111" w:type="dxa"/>
            <w:shd w:val="clear" w:color="auto" w:fill="CFF0FC"/>
            <w:noWrap/>
            <w:tcMar>
              <w:top w:w="15" w:type="dxa"/>
              <w:left w:w="0" w:type="dxa"/>
              <w:bottom w:w="0" w:type="dxa"/>
              <w:right w:w="15" w:type="dxa"/>
            </w:tcMar>
            <w:vAlign w:val="bottom"/>
            <w:hideMark/>
          </w:tcPr>
          <w:p w14:paraId="1ECDC32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28.57</w:t>
            </w:r>
          </w:p>
        </w:tc>
        <w:tc>
          <w:tcPr>
            <w:tcW w:w="191" w:type="dxa"/>
            <w:shd w:val="clear" w:color="auto" w:fill="CFF0FC"/>
            <w:noWrap/>
            <w:tcMar>
              <w:top w:w="15" w:type="dxa"/>
              <w:left w:w="0" w:type="dxa"/>
              <w:bottom w:w="0" w:type="dxa"/>
              <w:right w:w="15" w:type="dxa"/>
            </w:tcMar>
            <w:vAlign w:val="bottom"/>
            <w:hideMark/>
          </w:tcPr>
          <w:p w14:paraId="56C5AF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78F8067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E1E41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63" w:type="dxa"/>
            <w:shd w:val="clear" w:color="auto" w:fill="CFF0FC"/>
            <w:noWrap/>
            <w:tcMar>
              <w:top w:w="15" w:type="dxa"/>
              <w:left w:w="0" w:type="dxa"/>
              <w:bottom w:w="0" w:type="dxa"/>
              <w:right w:w="15" w:type="dxa"/>
            </w:tcMar>
            <w:vAlign w:val="bottom"/>
            <w:hideMark/>
          </w:tcPr>
          <w:p w14:paraId="49B846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24.19</w:t>
            </w:r>
          </w:p>
        </w:tc>
        <w:tc>
          <w:tcPr>
            <w:tcW w:w="191" w:type="dxa"/>
            <w:shd w:val="clear" w:color="auto" w:fill="CFF0FC"/>
            <w:noWrap/>
            <w:tcMar>
              <w:top w:w="15" w:type="dxa"/>
              <w:left w:w="0" w:type="dxa"/>
              <w:bottom w:w="0" w:type="dxa"/>
              <w:right w:w="15" w:type="dxa"/>
            </w:tcMar>
            <w:vAlign w:val="bottom"/>
            <w:hideMark/>
          </w:tcPr>
          <w:p w14:paraId="3D766C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0326B0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E55A9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CFF0FC"/>
            <w:noWrap/>
            <w:tcMar>
              <w:top w:w="15" w:type="dxa"/>
              <w:left w:w="0" w:type="dxa"/>
              <w:bottom w:w="0" w:type="dxa"/>
              <w:right w:w="15" w:type="dxa"/>
            </w:tcMar>
            <w:vAlign w:val="bottom"/>
            <w:hideMark/>
          </w:tcPr>
          <w:p w14:paraId="374A0CF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0.43</w:t>
            </w:r>
          </w:p>
        </w:tc>
        <w:tc>
          <w:tcPr>
            <w:tcW w:w="191" w:type="dxa"/>
            <w:shd w:val="clear" w:color="auto" w:fill="CFF0FC"/>
            <w:noWrap/>
            <w:tcMar>
              <w:top w:w="15" w:type="dxa"/>
              <w:left w:w="0" w:type="dxa"/>
              <w:bottom w:w="0" w:type="dxa"/>
              <w:right w:w="15" w:type="dxa"/>
            </w:tcMar>
            <w:vAlign w:val="bottom"/>
            <w:hideMark/>
          </w:tcPr>
          <w:p w14:paraId="2EE0F4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0702E5B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5327E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23" w:type="dxa"/>
            <w:shd w:val="clear" w:color="auto" w:fill="CFF0FC"/>
            <w:noWrap/>
            <w:tcMar>
              <w:top w:w="15" w:type="dxa"/>
              <w:left w:w="0" w:type="dxa"/>
              <w:bottom w:w="0" w:type="dxa"/>
              <w:right w:w="15" w:type="dxa"/>
            </w:tcMar>
            <w:vAlign w:val="bottom"/>
            <w:hideMark/>
          </w:tcPr>
          <w:p w14:paraId="4D22845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24.62</w:t>
            </w:r>
          </w:p>
        </w:tc>
        <w:tc>
          <w:tcPr>
            <w:tcW w:w="192" w:type="dxa"/>
            <w:shd w:val="clear" w:color="auto" w:fill="CFF0FC"/>
            <w:noWrap/>
            <w:tcMar>
              <w:top w:w="15" w:type="dxa"/>
              <w:left w:w="0" w:type="dxa"/>
              <w:bottom w:w="0" w:type="dxa"/>
              <w:right w:w="15" w:type="dxa"/>
            </w:tcMar>
            <w:vAlign w:val="bottom"/>
            <w:hideMark/>
          </w:tcPr>
          <w:p w14:paraId="403BD9B1"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572E481A"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2471F8BD" w14:textId="77777777" w:rsidTr="00AC4931">
        <w:tc>
          <w:tcPr>
            <w:tcW w:w="919" w:type="dxa"/>
            <w:noWrap/>
            <w:hideMark/>
          </w:tcPr>
          <w:p w14:paraId="2590E6E9"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42F74DD7"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Including costs for capacity alignments, antitrust related matters and in 2019 separation of our business segments. See table below for a disaggregation of these costs.</w:t>
            </w:r>
          </w:p>
        </w:tc>
      </w:tr>
      <w:tr w:rsidR="00AC4931" w:rsidRPr="00AC4931" w14:paraId="60FA610E" w14:textId="77777777" w:rsidTr="00AC4931">
        <w:tc>
          <w:tcPr>
            <w:tcW w:w="919" w:type="dxa"/>
            <w:noWrap/>
            <w:hideMark/>
          </w:tcPr>
          <w:p w14:paraId="43603703"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w:t>
            </w:r>
          </w:p>
        </w:tc>
        <w:tc>
          <w:tcPr>
            <w:tcW w:w="0" w:type="auto"/>
            <w:hideMark/>
          </w:tcPr>
          <w:p w14:paraId="5D2B4B73"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Operating income and income from equity method investments, relative to average capital employed.</w:t>
            </w:r>
          </w:p>
        </w:tc>
      </w:tr>
    </w:tbl>
    <w:p w14:paraId="006A2D9B"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03CAA872" w14:textId="77777777" w:rsidTr="00AC4931">
        <w:tc>
          <w:tcPr>
            <w:tcW w:w="919" w:type="dxa"/>
            <w:noWrap/>
            <w:hideMark/>
          </w:tcPr>
          <w:p w14:paraId="04644CC8"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3)</w:t>
            </w:r>
          </w:p>
        </w:tc>
        <w:tc>
          <w:tcPr>
            <w:tcW w:w="0" w:type="auto"/>
            <w:hideMark/>
          </w:tcPr>
          <w:p w14:paraId="16E25459"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Net Income relative to average total equity.</w:t>
            </w:r>
          </w:p>
        </w:tc>
      </w:tr>
      <w:tr w:rsidR="00AC4931" w:rsidRPr="00AC4931" w14:paraId="30B1BA55" w14:textId="77777777" w:rsidTr="00AC4931">
        <w:tc>
          <w:tcPr>
            <w:tcW w:w="919" w:type="dxa"/>
            <w:noWrap/>
            <w:hideMark/>
          </w:tcPr>
          <w:p w14:paraId="10ACC3E9"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4)</w:t>
            </w:r>
          </w:p>
        </w:tc>
        <w:tc>
          <w:tcPr>
            <w:tcW w:w="0" w:type="auto"/>
            <w:hideMark/>
          </w:tcPr>
          <w:p w14:paraId="4EE48AE8"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Assuming dilution and net of treasury shares.</w:t>
            </w:r>
          </w:p>
        </w:tc>
      </w:tr>
    </w:tbl>
    <w:p w14:paraId="2D4628F2"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41E8B7CD" w14:textId="77777777" w:rsidTr="00AC4931">
        <w:tc>
          <w:tcPr>
            <w:tcW w:w="919" w:type="dxa"/>
            <w:noWrap/>
            <w:hideMark/>
          </w:tcPr>
          <w:p w14:paraId="779D8C20"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5)</w:t>
            </w:r>
          </w:p>
        </w:tc>
        <w:tc>
          <w:tcPr>
            <w:tcW w:w="0" w:type="auto"/>
            <w:hideMark/>
          </w:tcPr>
          <w:p w14:paraId="72159B03"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Participating share awards with right to receive dividend equivalents are (under the two-class method) excluded from the EPS calculation.</w:t>
            </w:r>
          </w:p>
        </w:tc>
      </w:tr>
    </w:tbl>
    <w:p w14:paraId="17E01B1A" w14:textId="77777777" w:rsidR="00AC4931" w:rsidRPr="00AC4931" w:rsidRDefault="00AC4931" w:rsidP="00AC4931">
      <w:pPr>
        <w:widowControl/>
        <w:ind w:left="919" w:hanging="546"/>
        <w:rPr>
          <w:rFonts w:ascii="微软雅黑" w:eastAsia="微软雅黑" w:hAnsi="微软雅黑" w:cs="宋体"/>
          <w:color w:val="000000"/>
          <w:kern w:val="0"/>
          <w:sz w:val="8"/>
          <w:szCs w:val="8"/>
        </w:rPr>
      </w:pPr>
      <w:r w:rsidRPr="00AC4931">
        <w:rPr>
          <w:rFonts w:ascii="微软雅黑" w:eastAsia="微软雅黑" w:hAnsi="微软雅黑" w:cs="宋体" w:hint="eastAsia"/>
          <w:color w:val="000000"/>
          <w:kern w:val="0"/>
          <w:sz w:val="8"/>
          <w:szCs w:val="8"/>
        </w:rPr>
        <w:t> </w:t>
      </w:r>
    </w:p>
    <w:p w14:paraId="0B7C6FF1" w14:textId="77777777" w:rsidR="00AC4931" w:rsidRPr="00AC4931" w:rsidRDefault="00AC4931" w:rsidP="00AC4931">
      <w:pPr>
        <w:widowControl/>
        <w:rPr>
          <w:rFonts w:ascii="微软雅黑" w:eastAsia="微软雅黑" w:hAnsi="微软雅黑" w:cs="宋体" w:hint="eastAsia"/>
          <w:b/>
          <w:bCs/>
          <w:color w:val="000000"/>
          <w:kern w:val="0"/>
          <w:sz w:val="10"/>
          <w:szCs w:val="10"/>
        </w:rPr>
      </w:pPr>
      <w:r w:rsidRPr="00AC4931">
        <w:rPr>
          <w:rFonts w:ascii="微软雅黑" w:eastAsia="微软雅黑" w:hAnsi="微软雅黑" w:cs="宋体" w:hint="eastAsia"/>
          <w:b/>
          <w:bCs/>
          <w:color w:val="000000"/>
          <w:kern w:val="0"/>
          <w:sz w:val="10"/>
          <w:szCs w:val="10"/>
        </w:rPr>
        <w:t> </w:t>
      </w:r>
    </w:p>
    <w:tbl>
      <w:tblPr>
        <w:tblW w:w="20614" w:type="dxa"/>
        <w:tblCellMar>
          <w:left w:w="0" w:type="dxa"/>
          <w:right w:w="0" w:type="dxa"/>
        </w:tblCellMar>
        <w:tblLook w:val="04A0" w:firstRow="1" w:lastRow="0" w:firstColumn="1" w:lastColumn="0" w:noHBand="0" w:noVBand="1"/>
      </w:tblPr>
      <w:tblGrid>
        <w:gridCol w:w="11207"/>
        <w:gridCol w:w="255"/>
        <w:gridCol w:w="199"/>
        <w:gridCol w:w="1854"/>
        <w:gridCol w:w="199"/>
        <w:gridCol w:w="254"/>
        <w:gridCol w:w="199"/>
        <w:gridCol w:w="1600"/>
        <w:gridCol w:w="199"/>
        <w:gridCol w:w="436"/>
        <w:gridCol w:w="199"/>
        <w:gridCol w:w="1580"/>
        <w:gridCol w:w="199"/>
        <w:gridCol w:w="254"/>
        <w:gridCol w:w="199"/>
        <w:gridCol w:w="1580"/>
        <w:gridCol w:w="201"/>
      </w:tblGrid>
      <w:tr w:rsidR="00AC4931" w:rsidRPr="00AC4931" w14:paraId="1E2DA6BD" w14:textId="77777777" w:rsidTr="00AC4931">
        <w:tc>
          <w:tcPr>
            <w:tcW w:w="11184" w:type="dxa"/>
            <w:shd w:val="clear" w:color="auto" w:fill="FFFFFF"/>
            <w:tcMar>
              <w:top w:w="15" w:type="dxa"/>
              <w:left w:w="0" w:type="dxa"/>
              <w:bottom w:w="0" w:type="dxa"/>
              <w:right w:w="15" w:type="dxa"/>
            </w:tcMar>
            <w:vAlign w:val="bottom"/>
            <w:hideMark/>
          </w:tcPr>
          <w:p w14:paraId="3FDF2C92" w14:textId="77777777" w:rsidR="00AC4931" w:rsidRPr="00AC4931" w:rsidRDefault="00AC4931" w:rsidP="00AC4931">
            <w:pPr>
              <w:widowControl/>
              <w:jc w:val="left"/>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Items included in Non-GAAP adjustments</w:t>
            </w:r>
          </w:p>
        </w:tc>
        <w:tc>
          <w:tcPr>
            <w:tcW w:w="253" w:type="dxa"/>
            <w:shd w:val="clear" w:color="auto" w:fill="FFFFFF"/>
            <w:tcMar>
              <w:top w:w="15" w:type="dxa"/>
              <w:left w:w="0" w:type="dxa"/>
              <w:bottom w:w="0" w:type="dxa"/>
              <w:right w:w="15" w:type="dxa"/>
            </w:tcMar>
            <w:vAlign w:val="bottom"/>
            <w:hideMark/>
          </w:tcPr>
          <w:p w14:paraId="6FBDA37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93528E8"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834" w:type="dxa"/>
            <w:shd w:val="clear" w:color="auto" w:fill="FFFFFF"/>
            <w:noWrap/>
            <w:tcMar>
              <w:top w:w="15" w:type="dxa"/>
              <w:left w:w="0" w:type="dxa"/>
              <w:bottom w:w="0" w:type="dxa"/>
              <w:right w:w="15" w:type="dxa"/>
            </w:tcMar>
            <w:vAlign w:val="bottom"/>
            <w:hideMark/>
          </w:tcPr>
          <w:p w14:paraId="676F1EED"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D02515A"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253" w:type="dxa"/>
            <w:shd w:val="clear" w:color="auto" w:fill="FFFFFF"/>
            <w:tcMar>
              <w:top w:w="15" w:type="dxa"/>
              <w:left w:w="0" w:type="dxa"/>
              <w:bottom w:w="0" w:type="dxa"/>
              <w:right w:w="15" w:type="dxa"/>
            </w:tcMar>
            <w:vAlign w:val="bottom"/>
            <w:hideMark/>
          </w:tcPr>
          <w:p w14:paraId="4CF7A8B6"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4101EBD"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537" w:type="dxa"/>
            <w:shd w:val="clear" w:color="auto" w:fill="FFFFFF"/>
            <w:noWrap/>
            <w:tcMar>
              <w:top w:w="15" w:type="dxa"/>
              <w:left w:w="0" w:type="dxa"/>
              <w:bottom w:w="0" w:type="dxa"/>
              <w:right w:w="15" w:type="dxa"/>
            </w:tcMar>
            <w:vAlign w:val="bottom"/>
            <w:hideMark/>
          </w:tcPr>
          <w:p w14:paraId="09782396"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0F9ECAF"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435" w:type="dxa"/>
            <w:shd w:val="clear" w:color="auto" w:fill="FFFFFF"/>
            <w:tcMar>
              <w:top w:w="15" w:type="dxa"/>
              <w:left w:w="0" w:type="dxa"/>
              <w:bottom w:w="0" w:type="dxa"/>
              <w:right w:w="15" w:type="dxa"/>
            </w:tcMar>
            <w:vAlign w:val="bottom"/>
            <w:hideMark/>
          </w:tcPr>
          <w:p w14:paraId="6EF9E271"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3710656"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562" w:type="dxa"/>
            <w:shd w:val="clear" w:color="auto" w:fill="FFFFFF"/>
            <w:noWrap/>
            <w:tcMar>
              <w:top w:w="15" w:type="dxa"/>
              <w:left w:w="0" w:type="dxa"/>
              <w:bottom w:w="0" w:type="dxa"/>
              <w:right w:w="15" w:type="dxa"/>
            </w:tcMar>
            <w:vAlign w:val="bottom"/>
            <w:hideMark/>
          </w:tcPr>
          <w:p w14:paraId="220CB955"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D2EAC2C"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253" w:type="dxa"/>
            <w:shd w:val="clear" w:color="auto" w:fill="FFFFFF"/>
            <w:tcMar>
              <w:top w:w="15" w:type="dxa"/>
              <w:left w:w="0" w:type="dxa"/>
              <w:bottom w:w="0" w:type="dxa"/>
              <w:right w:w="15" w:type="dxa"/>
            </w:tcMar>
            <w:vAlign w:val="bottom"/>
            <w:hideMark/>
          </w:tcPr>
          <w:p w14:paraId="628FF9F6"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8753460"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516" w:type="dxa"/>
            <w:shd w:val="clear" w:color="auto" w:fill="FFFFFF"/>
            <w:noWrap/>
            <w:tcMar>
              <w:top w:w="15" w:type="dxa"/>
              <w:left w:w="0" w:type="dxa"/>
              <w:bottom w:w="0" w:type="dxa"/>
              <w:right w:w="15" w:type="dxa"/>
            </w:tcMar>
            <w:vAlign w:val="bottom"/>
            <w:hideMark/>
          </w:tcPr>
          <w:p w14:paraId="536710D4"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193" w:type="dxa"/>
            <w:shd w:val="clear" w:color="auto" w:fill="FFFFFF"/>
            <w:noWrap/>
            <w:tcMar>
              <w:top w:w="15" w:type="dxa"/>
              <w:left w:w="0" w:type="dxa"/>
              <w:bottom w:w="0" w:type="dxa"/>
              <w:right w:w="15" w:type="dxa"/>
            </w:tcMar>
            <w:vAlign w:val="bottom"/>
            <w:hideMark/>
          </w:tcPr>
          <w:p w14:paraId="33FD7992"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r w:rsidR="00AC4931" w:rsidRPr="00AC4931" w14:paraId="3ED8C3C6" w14:textId="77777777" w:rsidTr="00AC4931">
        <w:tc>
          <w:tcPr>
            <w:tcW w:w="11184" w:type="dxa"/>
            <w:shd w:val="clear" w:color="auto" w:fill="FFFFFF"/>
            <w:tcMar>
              <w:top w:w="15" w:type="dxa"/>
              <w:left w:w="0" w:type="dxa"/>
              <w:bottom w:w="0" w:type="dxa"/>
              <w:right w:w="15" w:type="dxa"/>
            </w:tcMar>
            <w:vAlign w:val="bottom"/>
            <w:hideMark/>
          </w:tcPr>
          <w:p w14:paraId="58626C3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 </w:t>
            </w:r>
          </w:p>
        </w:tc>
        <w:tc>
          <w:tcPr>
            <w:tcW w:w="253" w:type="dxa"/>
            <w:shd w:val="clear" w:color="auto" w:fill="FFFFFF"/>
            <w:tcMar>
              <w:top w:w="15" w:type="dxa"/>
              <w:left w:w="0" w:type="dxa"/>
              <w:bottom w:w="0" w:type="dxa"/>
              <w:right w:w="15" w:type="dxa"/>
            </w:tcMar>
            <w:vAlign w:val="bottom"/>
            <w:hideMark/>
          </w:tcPr>
          <w:p w14:paraId="52DD4AD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4273" w:type="dxa"/>
            <w:gridSpan w:val="6"/>
            <w:tcBorders>
              <w:bottom w:val="single" w:sz="6" w:space="0" w:color="000000"/>
            </w:tcBorders>
            <w:shd w:val="clear" w:color="auto" w:fill="FFFFFF"/>
            <w:tcMar>
              <w:top w:w="15" w:type="dxa"/>
              <w:left w:w="0" w:type="dxa"/>
              <w:bottom w:w="0" w:type="dxa"/>
              <w:right w:w="15" w:type="dxa"/>
            </w:tcMar>
            <w:vAlign w:val="bottom"/>
            <w:hideMark/>
          </w:tcPr>
          <w:p w14:paraId="0E8E3A4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Full Year 2020</w:t>
            </w:r>
          </w:p>
        </w:tc>
        <w:tc>
          <w:tcPr>
            <w:tcW w:w="191" w:type="dxa"/>
            <w:shd w:val="clear" w:color="auto" w:fill="FFFFFF"/>
            <w:noWrap/>
            <w:tcMar>
              <w:top w:w="15" w:type="dxa"/>
              <w:left w:w="0" w:type="dxa"/>
              <w:bottom w:w="0" w:type="dxa"/>
              <w:right w:w="15" w:type="dxa"/>
            </w:tcMar>
            <w:vAlign w:val="bottom"/>
            <w:hideMark/>
          </w:tcPr>
          <w:p w14:paraId="015DC96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35" w:type="dxa"/>
            <w:shd w:val="clear" w:color="auto" w:fill="FFFFFF"/>
            <w:tcMar>
              <w:top w:w="15" w:type="dxa"/>
              <w:left w:w="0" w:type="dxa"/>
              <w:bottom w:w="0" w:type="dxa"/>
              <w:right w:w="15" w:type="dxa"/>
            </w:tcMar>
            <w:vAlign w:val="bottom"/>
            <w:hideMark/>
          </w:tcPr>
          <w:p w14:paraId="060321B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980" w:type="dxa"/>
            <w:gridSpan w:val="6"/>
            <w:tcBorders>
              <w:bottom w:val="single" w:sz="6" w:space="0" w:color="000000"/>
            </w:tcBorders>
            <w:shd w:val="clear" w:color="auto" w:fill="FFFFFF"/>
            <w:tcMar>
              <w:top w:w="15" w:type="dxa"/>
              <w:left w:w="0" w:type="dxa"/>
              <w:bottom w:w="0" w:type="dxa"/>
              <w:right w:w="15" w:type="dxa"/>
            </w:tcMar>
            <w:vAlign w:val="bottom"/>
            <w:hideMark/>
          </w:tcPr>
          <w:p w14:paraId="4131726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Full Year 2019</w:t>
            </w:r>
          </w:p>
        </w:tc>
        <w:tc>
          <w:tcPr>
            <w:tcW w:w="193" w:type="dxa"/>
            <w:shd w:val="clear" w:color="auto" w:fill="FFFFFF"/>
            <w:noWrap/>
            <w:tcMar>
              <w:top w:w="15" w:type="dxa"/>
              <w:left w:w="0" w:type="dxa"/>
              <w:bottom w:w="0" w:type="dxa"/>
              <w:right w:w="15" w:type="dxa"/>
            </w:tcMar>
            <w:vAlign w:val="bottom"/>
            <w:hideMark/>
          </w:tcPr>
          <w:p w14:paraId="20FDACB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3E8B48B" w14:textId="77777777" w:rsidTr="00AC4931">
        <w:tc>
          <w:tcPr>
            <w:tcW w:w="11184" w:type="dxa"/>
            <w:shd w:val="clear" w:color="auto" w:fill="FFFFFF"/>
            <w:tcMar>
              <w:top w:w="15" w:type="dxa"/>
              <w:left w:w="0" w:type="dxa"/>
              <w:bottom w:w="0" w:type="dxa"/>
              <w:right w:w="15" w:type="dxa"/>
            </w:tcMar>
            <w:vAlign w:val="bottom"/>
            <w:hideMark/>
          </w:tcPr>
          <w:p w14:paraId="1CDB59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25F5E9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4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60E8FE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Adjustment</w:t>
            </w:r>
          </w:p>
          <w:p w14:paraId="57B3998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Millions</w:t>
            </w:r>
          </w:p>
        </w:tc>
        <w:tc>
          <w:tcPr>
            <w:tcW w:w="191" w:type="dxa"/>
            <w:shd w:val="clear" w:color="auto" w:fill="FFFFFF"/>
            <w:noWrap/>
            <w:tcMar>
              <w:top w:w="15" w:type="dxa"/>
              <w:left w:w="0" w:type="dxa"/>
              <w:bottom w:w="0" w:type="dxa"/>
              <w:right w:w="15" w:type="dxa"/>
            </w:tcMar>
            <w:vAlign w:val="bottom"/>
            <w:hideMark/>
          </w:tcPr>
          <w:p w14:paraId="2015157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53" w:type="dxa"/>
            <w:tcBorders>
              <w:top w:val="single" w:sz="6" w:space="0" w:color="000000"/>
            </w:tcBorders>
            <w:shd w:val="clear" w:color="auto" w:fill="FFFFFF"/>
            <w:tcMar>
              <w:top w:w="15" w:type="dxa"/>
              <w:left w:w="0" w:type="dxa"/>
              <w:bottom w:w="0" w:type="dxa"/>
              <w:right w:w="15" w:type="dxa"/>
            </w:tcMar>
            <w:vAlign w:val="bottom"/>
            <w:hideMark/>
          </w:tcPr>
          <w:p w14:paraId="63E4B4F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4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FF5FE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Adjustment</w:t>
            </w:r>
          </w:p>
          <w:p w14:paraId="7B0F7B5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Per share</w:t>
            </w:r>
          </w:p>
        </w:tc>
        <w:tc>
          <w:tcPr>
            <w:tcW w:w="191" w:type="dxa"/>
            <w:shd w:val="clear" w:color="auto" w:fill="FFFFFF"/>
            <w:noWrap/>
            <w:tcMar>
              <w:top w:w="15" w:type="dxa"/>
              <w:left w:w="0" w:type="dxa"/>
              <w:bottom w:w="0" w:type="dxa"/>
              <w:right w:w="15" w:type="dxa"/>
            </w:tcMar>
            <w:vAlign w:val="bottom"/>
            <w:hideMark/>
          </w:tcPr>
          <w:p w14:paraId="1BFB583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35" w:type="dxa"/>
            <w:shd w:val="clear" w:color="auto" w:fill="FFFFFF"/>
            <w:tcMar>
              <w:top w:w="15" w:type="dxa"/>
              <w:left w:w="0" w:type="dxa"/>
              <w:bottom w:w="0" w:type="dxa"/>
              <w:right w:w="15" w:type="dxa"/>
            </w:tcMar>
            <w:vAlign w:val="bottom"/>
            <w:hideMark/>
          </w:tcPr>
          <w:p w14:paraId="147475BA"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6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D50D1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Adjustment</w:t>
            </w:r>
          </w:p>
          <w:p w14:paraId="52638E0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Millions</w:t>
            </w:r>
          </w:p>
        </w:tc>
        <w:tc>
          <w:tcPr>
            <w:tcW w:w="191" w:type="dxa"/>
            <w:shd w:val="clear" w:color="auto" w:fill="FFFFFF"/>
            <w:noWrap/>
            <w:tcMar>
              <w:top w:w="15" w:type="dxa"/>
              <w:left w:w="0" w:type="dxa"/>
              <w:bottom w:w="0" w:type="dxa"/>
              <w:right w:w="15" w:type="dxa"/>
            </w:tcMar>
            <w:vAlign w:val="bottom"/>
            <w:hideMark/>
          </w:tcPr>
          <w:p w14:paraId="504DAE7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53" w:type="dxa"/>
            <w:tcBorders>
              <w:top w:val="single" w:sz="6" w:space="0" w:color="000000"/>
            </w:tcBorders>
            <w:shd w:val="clear" w:color="auto" w:fill="FFFFFF"/>
            <w:tcMar>
              <w:top w:w="15" w:type="dxa"/>
              <w:left w:w="0" w:type="dxa"/>
              <w:bottom w:w="0" w:type="dxa"/>
              <w:right w:w="15" w:type="dxa"/>
            </w:tcMar>
            <w:vAlign w:val="bottom"/>
            <w:hideMark/>
          </w:tcPr>
          <w:p w14:paraId="4F2ADCF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2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6C432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Adjustment</w:t>
            </w:r>
          </w:p>
          <w:p w14:paraId="665A05D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Per share</w:t>
            </w:r>
          </w:p>
        </w:tc>
        <w:tc>
          <w:tcPr>
            <w:tcW w:w="193" w:type="dxa"/>
            <w:shd w:val="clear" w:color="auto" w:fill="FFFFFF"/>
            <w:noWrap/>
            <w:tcMar>
              <w:top w:w="15" w:type="dxa"/>
              <w:left w:w="0" w:type="dxa"/>
              <w:bottom w:w="0" w:type="dxa"/>
              <w:right w:w="15" w:type="dxa"/>
            </w:tcMar>
            <w:vAlign w:val="bottom"/>
            <w:hideMark/>
          </w:tcPr>
          <w:p w14:paraId="269DEF0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51779584" w14:textId="77777777" w:rsidTr="00AC4931">
        <w:tc>
          <w:tcPr>
            <w:tcW w:w="11184" w:type="dxa"/>
            <w:shd w:val="clear" w:color="auto" w:fill="CFF0FC"/>
            <w:tcMar>
              <w:top w:w="15" w:type="dxa"/>
              <w:left w:w="0" w:type="dxa"/>
              <w:bottom w:w="0" w:type="dxa"/>
              <w:right w:w="15" w:type="dxa"/>
            </w:tcMar>
            <w:vAlign w:val="center"/>
            <w:hideMark/>
          </w:tcPr>
          <w:p w14:paraId="616304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Capacity alignment</w:t>
            </w:r>
          </w:p>
        </w:tc>
        <w:tc>
          <w:tcPr>
            <w:tcW w:w="253" w:type="dxa"/>
            <w:shd w:val="clear" w:color="auto" w:fill="CFF0FC"/>
            <w:tcMar>
              <w:top w:w="15" w:type="dxa"/>
              <w:left w:w="0" w:type="dxa"/>
              <w:bottom w:w="0" w:type="dxa"/>
              <w:right w:w="15" w:type="dxa"/>
            </w:tcMar>
            <w:vAlign w:val="bottom"/>
            <w:hideMark/>
          </w:tcPr>
          <w:p w14:paraId="2EBAF6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58892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34" w:type="dxa"/>
            <w:tcBorders>
              <w:top w:val="single" w:sz="6" w:space="0" w:color="000000"/>
            </w:tcBorders>
            <w:shd w:val="clear" w:color="auto" w:fill="CFF0FC"/>
            <w:noWrap/>
            <w:tcMar>
              <w:top w:w="15" w:type="dxa"/>
              <w:left w:w="0" w:type="dxa"/>
              <w:bottom w:w="0" w:type="dxa"/>
              <w:right w:w="15" w:type="dxa"/>
            </w:tcMar>
            <w:vAlign w:val="bottom"/>
            <w:hideMark/>
          </w:tcPr>
          <w:p w14:paraId="735D129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98.8</w:t>
            </w:r>
          </w:p>
        </w:tc>
        <w:tc>
          <w:tcPr>
            <w:tcW w:w="191" w:type="dxa"/>
            <w:shd w:val="clear" w:color="auto" w:fill="CFF0FC"/>
            <w:noWrap/>
            <w:tcMar>
              <w:top w:w="15" w:type="dxa"/>
              <w:left w:w="0" w:type="dxa"/>
              <w:bottom w:w="0" w:type="dxa"/>
              <w:right w:w="15" w:type="dxa"/>
            </w:tcMar>
            <w:vAlign w:val="bottom"/>
            <w:hideMark/>
          </w:tcPr>
          <w:p w14:paraId="549E9B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63B1C8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66D96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37" w:type="dxa"/>
            <w:tcBorders>
              <w:top w:val="single" w:sz="6" w:space="0" w:color="000000"/>
            </w:tcBorders>
            <w:shd w:val="clear" w:color="auto" w:fill="CFF0FC"/>
            <w:noWrap/>
            <w:tcMar>
              <w:top w:w="15" w:type="dxa"/>
              <w:left w:w="0" w:type="dxa"/>
              <w:bottom w:w="0" w:type="dxa"/>
              <w:right w:w="15" w:type="dxa"/>
            </w:tcMar>
            <w:vAlign w:val="bottom"/>
            <w:hideMark/>
          </w:tcPr>
          <w:p w14:paraId="2530C9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1.13</w:t>
            </w:r>
          </w:p>
        </w:tc>
        <w:tc>
          <w:tcPr>
            <w:tcW w:w="191" w:type="dxa"/>
            <w:shd w:val="clear" w:color="auto" w:fill="CFF0FC"/>
            <w:noWrap/>
            <w:tcMar>
              <w:top w:w="15" w:type="dxa"/>
              <w:left w:w="0" w:type="dxa"/>
              <w:bottom w:w="0" w:type="dxa"/>
              <w:right w:w="15" w:type="dxa"/>
            </w:tcMar>
            <w:vAlign w:val="bottom"/>
            <w:hideMark/>
          </w:tcPr>
          <w:p w14:paraId="5BA203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35" w:type="dxa"/>
            <w:shd w:val="clear" w:color="auto" w:fill="CFF0FC"/>
            <w:tcMar>
              <w:top w:w="15" w:type="dxa"/>
              <w:left w:w="0" w:type="dxa"/>
              <w:bottom w:w="0" w:type="dxa"/>
              <w:right w:w="15" w:type="dxa"/>
            </w:tcMar>
            <w:vAlign w:val="bottom"/>
            <w:hideMark/>
          </w:tcPr>
          <w:p w14:paraId="716D75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F3C09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62" w:type="dxa"/>
            <w:tcBorders>
              <w:top w:val="single" w:sz="6" w:space="0" w:color="000000"/>
            </w:tcBorders>
            <w:shd w:val="clear" w:color="auto" w:fill="CFF0FC"/>
            <w:noWrap/>
            <w:tcMar>
              <w:top w:w="15" w:type="dxa"/>
              <w:left w:w="0" w:type="dxa"/>
              <w:bottom w:w="0" w:type="dxa"/>
              <w:right w:w="15" w:type="dxa"/>
            </w:tcMar>
            <w:vAlign w:val="bottom"/>
            <w:hideMark/>
          </w:tcPr>
          <w:p w14:paraId="0D513DD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53.6</w:t>
            </w:r>
          </w:p>
        </w:tc>
        <w:tc>
          <w:tcPr>
            <w:tcW w:w="191" w:type="dxa"/>
            <w:shd w:val="clear" w:color="auto" w:fill="CFF0FC"/>
            <w:noWrap/>
            <w:tcMar>
              <w:top w:w="15" w:type="dxa"/>
              <w:left w:w="0" w:type="dxa"/>
              <w:bottom w:w="0" w:type="dxa"/>
              <w:right w:w="15" w:type="dxa"/>
            </w:tcMar>
            <w:vAlign w:val="bottom"/>
            <w:hideMark/>
          </w:tcPr>
          <w:p w14:paraId="00BD38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763985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7B485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16" w:type="dxa"/>
            <w:tcBorders>
              <w:top w:val="single" w:sz="6" w:space="0" w:color="000000"/>
            </w:tcBorders>
            <w:shd w:val="clear" w:color="auto" w:fill="CFF0FC"/>
            <w:noWrap/>
            <w:tcMar>
              <w:top w:w="15" w:type="dxa"/>
              <w:left w:w="0" w:type="dxa"/>
              <w:bottom w:w="0" w:type="dxa"/>
              <w:right w:w="15" w:type="dxa"/>
            </w:tcMar>
            <w:vAlign w:val="bottom"/>
            <w:hideMark/>
          </w:tcPr>
          <w:p w14:paraId="0374335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0.61</w:t>
            </w:r>
          </w:p>
        </w:tc>
        <w:tc>
          <w:tcPr>
            <w:tcW w:w="193" w:type="dxa"/>
            <w:shd w:val="clear" w:color="auto" w:fill="CFF0FC"/>
            <w:noWrap/>
            <w:tcMar>
              <w:top w:w="15" w:type="dxa"/>
              <w:left w:w="0" w:type="dxa"/>
              <w:bottom w:w="0" w:type="dxa"/>
              <w:right w:w="15" w:type="dxa"/>
            </w:tcMar>
            <w:vAlign w:val="bottom"/>
            <w:hideMark/>
          </w:tcPr>
          <w:p w14:paraId="1BE23E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BEB6EA6" w14:textId="77777777" w:rsidTr="00AC4931">
        <w:tc>
          <w:tcPr>
            <w:tcW w:w="11184" w:type="dxa"/>
            <w:shd w:val="clear" w:color="auto" w:fill="FFFFFF"/>
            <w:tcMar>
              <w:top w:w="15" w:type="dxa"/>
              <w:left w:w="0" w:type="dxa"/>
              <w:bottom w:w="0" w:type="dxa"/>
              <w:right w:w="15" w:type="dxa"/>
            </w:tcMar>
            <w:vAlign w:val="center"/>
            <w:hideMark/>
          </w:tcPr>
          <w:p w14:paraId="73AFD4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Antitrust related matters</w:t>
            </w:r>
          </w:p>
        </w:tc>
        <w:tc>
          <w:tcPr>
            <w:tcW w:w="253" w:type="dxa"/>
            <w:shd w:val="clear" w:color="auto" w:fill="FFFFFF"/>
            <w:tcMar>
              <w:top w:w="15" w:type="dxa"/>
              <w:left w:w="0" w:type="dxa"/>
              <w:bottom w:w="0" w:type="dxa"/>
              <w:right w:w="15" w:type="dxa"/>
            </w:tcMar>
            <w:vAlign w:val="bottom"/>
            <w:hideMark/>
          </w:tcPr>
          <w:p w14:paraId="3B8B37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6EFE0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34" w:type="dxa"/>
            <w:shd w:val="clear" w:color="auto" w:fill="FFFFFF"/>
            <w:noWrap/>
            <w:tcMar>
              <w:top w:w="15" w:type="dxa"/>
              <w:left w:w="0" w:type="dxa"/>
              <w:bottom w:w="0" w:type="dxa"/>
              <w:right w:w="15" w:type="dxa"/>
            </w:tcMar>
            <w:vAlign w:val="bottom"/>
            <w:hideMark/>
          </w:tcPr>
          <w:p w14:paraId="1B8EA2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0.7</w:t>
            </w:r>
          </w:p>
        </w:tc>
        <w:tc>
          <w:tcPr>
            <w:tcW w:w="191" w:type="dxa"/>
            <w:shd w:val="clear" w:color="auto" w:fill="FFFFFF"/>
            <w:noWrap/>
            <w:tcMar>
              <w:top w:w="15" w:type="dxa"/>
              <w:left w:w="0" w:type="dxa"/>
              <w:bottom w:w="0" w:type="dxa"/>
              <w:right w:w="15" w:type="dxa"/>
            </w:tcMar>
            <w:vAlign w:val="bottom"/>
            <w:hideMark/>
          </w:tcPr>
          <w:p w14:paraId="4A04DB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377831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90C3A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37" w:type="dxa"/>
            <w:shd w:val="clear" w:color="auto" w:fill="FFFFFF"/>
            <w:noWrap/>
            <w:tcMar>
              <w:top w:w="15" w:type="dxa"/>
              <w:left w:w="0" w:type="dxa"/>
              <w:bottom w:w="0" w:type="dxa"/>
              <w:right w:w="15" w:type="dxa"/>
            </w:tcMar>
            <w:vAlign w:val="bottom"/>
            <w:hideMark/>
          </w:tcPr>
          <w:p w14:paraId="053F344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0.01</w:t>
            </w:r>
          </w:p>
        </w:tc>
        <w:tc>
          <w:tcPr>
            <w:tcW w:w="191" w:type="dxa"/>
            <w:shd w:val="clear" w:color="auto" w:fill="FFFFFF"/>
            <w:noWrap/>
            <w:tcMar>
              <w:top w:w="15" w:type="dxa"/>
              <w:left w:w="0" w:type="dxa"/>
              <w:bottom w:w="0" w:type="dxa"/>
              <w:right w:w="15" w:type="dxa"/>
            </w:tcMar>
            <w:vAlign w:val="bottom"/>
            <w:hideMark/>
          </w:tcPr>
          <w:p w14:paraId="64C56F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35" w:type="dxa"/>
            <w:shd w:val="clear" w:color="auto" w:fill="FFFFFF"/>
            <w:tcMar>
              <w:top w:w="15" w:type="dxa"/>
              <w:left w:w="0" w:type="dxa"/>
              <w:bottom w:w="0" w:type="dxa"/>
              <w:right w:w="15" w:type="dxa"/>
            </w:tcMar>
            <w:vAlign w:val="bottom"/>
            <w:hideMark/>
          </w:tcPr>
          <w:p w14:paraId="0544BE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94343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62" w:type="dxa"/>
            <w:shd w:val="clear" w:color="auto" w:fill="FFFFFF"/>
            <w:noWrap/>
            <w:tcMar>
              <w:top w:w="15" w:type="dxa"/>
              <w:left w:w="0" w:type="dxa"/>
              <w:bottom w:w="0" w:type="dxa"/>
              <w:right w:w="15" w:type="dxa"/>
            </w:tcMar>
            <w:vAlign w:val="bottom"/>
            <w:hideMark/>
          </w:tcPr>
          <w:p w14:paraId="647D184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(6.2</w:t>
            </w:r>
          </w:p>
        </w:tc>
        <w:tc>
          <w:tcPr>
            <w:tcW w:w="191" w:type="dxa"/>
            <w:shd w:val="clear" w:color="auto" w:fill="FFFFFF"/>
            <w:noWrap/>
            <w:tcMar>
              <w:top w:w="15" w:type="dxa"/>
              <w:left w:w="0" w:type="dxa"/>
              <w:bottom w:w="0" w:type="dxa"/>
              <w:right w:w="15" w:type="dxa"/>
            </w:tcMar>
            <w:vAlign w:val="bottom"/>
            <w:hideMark/>
          </w:tcPr>
          <w:p w14:paraId="2E18A0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53" w:type="dxa"/>
            <w:shd w:val="clear" w:color="auto" w:fill="FFFFFF"/>
            <w:tcMar>
              <w:top w:w="15" w:type="dxa"/>
              <w:left w:w="0" w:type="dxa"/>
              <w:bottom w:w="0" w:type="dxa"/>
              <w:right w:w="15" w:type="dxa"/>
            </w:tcMar>
            <w:vAlign w:val="bottom"/>
            <w:hideMark/>
          </w:tcPr>
          <w:p w14:paraId="01CD5B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E2E4C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6" w:type="dxa"/>
            <w:shd w:val="clear" w:color="auto" w:fill="FFFFFF"/>
            <w:noWrap/>
            <w:tcMar>
              <w:top w:w="15" w:type="dxa"/>
              <w:left w:w="0" w:type="dxa"/>
              <w:bottom w:w="0" w:type="dxa"/>
              <w:right w:w="15" w:type="dxa"/>
            </w:tcMar>
            <w:vAlign w:val="bottom"/>
            <w:hideMark/>
          </w:tcPr>
          <w:p w14:paraId="1147C3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(0.07</w:t>
            </w:r>
          </w:p>
        </w:tc>
        <w:tc>
          <w:tcPr>
            <w:tcW w:w="193" w:type="dxa"/>
            <w:shd w:val="clear" w:color="auto" w:fill="FFFFFF"/>
            <w:noWrap/>
            <w:tcMar>
              <w:top w:w="15" w:type="dxa"/>
              <w:left w:w="0" w:type="dxa"/>
              <w:bottom w:w="0" w:type="dxa"/>
              <w:right w:w="15" w:type="dxa"/>
            </w:tcMar>
            <w:vAlign w:val="bottom"/>
            <w:hideMark/>
          </w:tcPr>
          <w:p w14:paraId="093185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5A743F7" w14:textId="77777777" w:rsidTr="00AC4931">
        <w:tc>
          <w:tcPr>
            <w:tcW w:w="11184" w:type="dxa"/>
            <w:shd w:val="clear" w:color="auto" w:fill="CFF0FC"/>
            <w:tcMar>
              <w:top w:w="15" w:type="dxa"/>
              <w:left w:w="0" w:type="dxa"/>
              <w:bottom w:w="0" w:type="dxa"/>
              <w:right w:w="15" w:type="dxa"/>
            </w:tcMar>
            <w:vAlign w:val="center"/>
            <w:hideMark/>
          </w:tcPr>
          <w:p w14:paraId="2200AD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Separation costs</w:t>
            </w:r>
          </w:p>
        </w:tc>
        <w:tc>
          <w:tcPr>
            <w:tcW w:w="253" w:type="dxa"/>
            <w:shd w:val="clear" w:color="auto" w:fill="CFF0FC"/>
            <w:tcMar>
              <w:top w:w="15" w:type="dxa"/>
              <w:left w:w="0" w:type="dxa"/>
              <w:bottom w:w="0" w:type="dxa"/>
              <w:right w:w="15" w:type="dxa"/>
            </w:tcMar>
            <w:vAlign w:val="bottom"/>
            <w:hideMark/>
          </w:tcPr>
          <w:p w14:paraId="0F1931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47E58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34" w:type="dxa"/>
            <w:tcBorders>
              <w:bottom w:val="single" w:sz="6" w:space="0" w:color="000000"/>
            </w:tcBorders>
            <w:shd w:val="clear" w:color="auto" w:fill="CFF0FC"/>
            <w:noWrap/>
            <w:tcMar>
              <w:top w:w="15" w:type="dxa"/>
              <w:left w:w="0" w:type="dxa"/>
              <w:bottom w:w="0" w:type="dxa"/>
              <w:right w:w="15" w:type="dxa"/>
            </w:tcMar>
            <w:vAlign w:val="bottom"/>
            <w:hideMark/>
          </w:tcPr>
          <w:p w14:paraId="0E0EDE0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6B68EB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331E19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4B807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37" w:type="dxa"/>
            <w:tcBorders>
              <w:bottom w:val="single" w:sz="6" w:space="0" w:color="000000"/>
            </w:tcBorders>
            <w:shd w:val="clear" w:color="auto" w:fill="CFF0FC"/>
            <w:noWrap/>
            <w:tcMar>
              <w:top w:w="15" w:type="dxa"/>
              <w:left w:w="0" w:type="dxa"/>
              <w:bottom w:w="0" w:type="dxa"/>
              <w:right w:w="15" w:type="dxa"/>
            </w:tcMar>
            <w:vAlign w:val="bottom"/>
            <w:hideMark/>
          </w:tcPr>
          <w:p w14:paraId="42F6FAB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17FC59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35" w:type="dxa"/>
            <w:shd w:val="clear" w:color="auto" w:fill="CFF0FC"/>
            <w:tcMar>
              <w:top w:w="15" w:type="dxa"/>
              <w:left w:w="0" w:type="dxa"/>
              <w:bottom w:w="0" w:type="dxa"/>
              <w:right w:w="15" w:type="dxa"/>
            </w:tcMar>
            <w:vAlign w:val="bottom"/>
            <w:hideMark/>
          </w:tcPr>
          <w:p w14:paraId="470FDC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67FB9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62" w:type="dxa"/>
            <w:tcBorders>
              <w:bottom w:val="single" w:sz="6" w:space="0" w:color="000000"/>
            </w:tcBorders>
            <w:shd w:val="clear" w:color="auto" w:fill="CFF0FC"/>
            <w:noWrap/>
            <w:tcMar>
              <w:top w:w="15" w:type="dxa"/>
              <w:left w:w="0" w:type="dxa"/>
              <w:bottom w:w="0" w:type="dxa"/>
              <w:right w:w="15" w:type="dxa"/>
            </w:tcMar>
            <w:vAlign w:val="bottom"/>
            <w:hideMark/>
          </w:tcPr>
          <w:p w14:paraId="2CF061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w:t>
            </w:r>
          </w:p>
        </w:tc>
        <w:tc>
          <w:tcPr>
            <w:tcW w:w="191" w:type="dxa"/>
            <w:shd w:val="clear" w:color="auto" w:fill="CFF0FC"/>
            <w:noWrap/>
            <w:tcMar>
              <w:top w:w="15" w:type="dxa"/>
              <w:left w:w="0" w:type="dxa"/>
              <w:bottom w:w="0" w:type="dxa"/>
              <w:right w:w="15" w:type="dxa"/>
            </w:tcMar>
            <w:vAlign w:val="bottom"/>
            <w:hideMark/>
          </w:tcPr>
          <w:p w14:paraId="1CE39B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62D754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9DAFF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6" w:type="dxa"/>
            <w:tcBorders>
              <w:bottom w:val="single" w:sz="6" w:space="0" w:color="000000"/>
            </w:tcBorders>
            <w:shd w:val="clear" w:color="auto" w:fill="CFF0FC"/>
            <w:noWrap/>
            <w:tcMar>
              <w:top w:w="15" w:type="dxa"/>
              <w:left w:w="0" w:type="dxa"/>
              <w:bottom w:w="0" w:type="dxa"/>
              <w:right w:w="15" w:type="dxa"/>
            </w:tcMar>
            <w:vAlign w:val="bottom"/>
            <w:hideMark/>
          </w:tcPr>
          <w:p w14:paraId="618D679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0.01</w:t>
            </w:r>
          </w:p>
        </w:tc>
        <w:tc>
          <w:tcPr>
            <w:tcW w:w="193" w:type="dxa"/>
            <w:shd w:val="clear" w:color="auto" w:fill="CFF0FC"/>
            <w:noWrap/>
            <w:tcMar>
              <w:top w:w="15" w:type="dxa"/>
              <w:left w:w="0" w:type="dxa"/>
              <w:bottom w:w="0" w:type="dxa"/>
              <w:right w:w="15" w:type="dxa"/>
            </w:tcMar>
            <w:vAlign w:val="bottom"/>
            <w:hideMark/>
          </w:tcPr>
          <w:p w14:paraId="08CC6E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A5E7656" w14:textId="77777777" w:rsidTr="00AC4931">
        <w:tc>
          <w:tcPr>
            <w:tcW w:w="11184" w:type="dxa"/>
            <w:shd w:val="clear" w:color="auto" w:fill="FFFFFF"/>
            <w:tcMar>
              <w:top w:w="15" w:type="dxa"/>
              <w:left w:w="0" w:type="dxa"/>
              <w:bottom w:w="0" w:type="dxa"/>
              <w:right w:w="15" w:type="dxa"/>
            </w:tcMar>
            <w:vAlign w:val="center"/>
            <w:hideMark/>
          </w:tcPr>
          <w:p w14:paraId="1CE720A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adjustments to Operating income</w:t>
            </w:r>
          </w:p>
        </w:tc>
        <w:tc>
          <w:tcPr>
            <w:tcW w:w="253" w:type="dxa"/>
            <w:shd w:val="clear" w:color="auto" w:fill="FFFFFF"/>
            <w:tcMar>
              <w:top w:w="15" w:type="dxa"/>
              <w:left w:w="0" w:type="dxa"/>
              <w:bottom w:w="0" w:type="dxa"/>
              <w:right w:w="15" w:type="dxa"/>
            </w:tcMar>
            <w:vAlign w:val="bottom"/>
            <w:hideMark/>
          </w:tcPr>
          <w:p w14:paraId="69DBF91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6F0969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34" w:type="dxa"/>
            <w:tcBorders>
              <w:top w:val="single" w:sz="6" w:space="0" w:color="000000"/>
            </w:tcBorders>
            <w:shd w:val="clear" w:color="auto" w:fill="FFFFFF"/>
            <w:noWrap/>
            <w:tcMar>
              <w:top w:w="15" w:type="dxa"/>
              <w:left w:w="0" w:type="dxa"/>
              <w:bottom w:w="0" w:type="dxa"/>
              <w:right w:w="15" w:type="dxa"/>
            </w:tcMar>
            <w:vAlign w:val="bottom"/>
            <w:hideMark/>
          </w:tcPr>
          <w:p w14:paraId="46CDFC8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99.5</w:t>
            </w:r>
          </w:p>
        </w:tc>
        <w:tc>
          <w:tcPr>
            <w:tcW w:w="191" w:type="dxa"/>
            <w:shd w:val="clear" w:color="auto" w:fill="FFFFFF"/>
            <w:noWrap/>
            <w:tcMar>
              <w:top w:w="15" w:type="dxa"/>
              <w:left w:w="0" w:type="dxa"/>
              <w:bottom w:w="0" w:type="dxa"/>
              <w:right w:w="15" w:type="dxa"/>
            </w:tcMar>
            <w:vAlign w:val="bottom"/>
            <w:hideMark/>
          </w:tcPr>
          <w:p w14:paraId="675D2FB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7CFD530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1D68216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37" w:type="dxa"/>
            <w:tcBorders>
              <w:top w:val="single" w:sz="6" w:space="0" w:color="000000"/>
            </w:tcBorders>
            <w:shd w:val="clear" w:color="auto" w:fill="FFFFFF"/>
            <w:noWrap/>
            <w:tcMar>
              <w:top w:w="15" w:type="dxa"/>
              <w:left w:w="0" w:type="dxa"/>
              <w:bottom w:w="0" w:type="dxa"/>
              <w:right w:w="15" w:type="dxa"/>
            </w:tcMar>
            <w:vAlign w:val="bottom"/>
            <w:hideMark/>
          </w:tcPr>
          <w:p w14:paraId="3ED6DDE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1.14</w:t>
            </w:r>
          </w:p>
        </w:tc>
        <w:tc>
          <w:tcPr>
            <w:tcW w:w="191" w:type="dxa"/>
            <w:shd w:val="clear" w:color="auto" w:fill="FFFFFF"/>
            <w:noWrap/>
            <w:tcMar>
              <w:top w:w="15" w:type="dxa"/>
              <w:left w:w="0" w:type="dxa"/>
              <w:bottom w:w="0" w:type="dxa"/>
              <w:right w:w="15" w:type="dxa"/>
            </w:tcMar>
            <w:vAlign w:val="bottom"/>
            <w:hideMark/>
          </w:tcPr>
          <w:p w14:paraId="540C1DE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435" w:type="dxa"/>
            <w:shd w:val="clear" w:color="auto" w:fill="FFFFFF"/>
            <w:tcMar>
              <w:top w:w="15" w:type="dxa"/>
              <w:left w:w="0" w:type="dxa"/>
              <w:bottom w:w="0" w:type="dxa"/>
              <w:right w:w="15" w:type="dxa"/>
            </w:tcMar>
            <w:vAlign w:val="bottom"/>
            <w:hideMark/>
          </w:tcPr>
          <w:p w14:paraId="6FE3A36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0B00454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62" w:type="dxa"/>
            <w:tcBorders>
              <w:top w:val="single" w:sz="6" w:space="0" w:color="000000"/>
            </w:tcBorders>
            <w:shd w:val="clear" w:color="auto" w:fill="FFFFFF"/>
            <w:noWrap/>
            <w:tcMar>
              <w:top w:w="15" w:type="dxa"/>
              <w:left w:w="0" w:type="dxa"/>
              <w:bottom w:w="0" w:type="dxa"/>
              <w:right w:w="15" w:type="dxa"/>
            </w:tcMar>
            <w:vAlign w:val="bottom"/>
            <w:hideMark/>
          </w:tcPr>
          <w:p w14:paraId="246EFB6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48.6</w:t>
            </w:r>
          </w:p>
        </w:tc>
        <w:tc>
          <w:tcPr>
            <w:tcW w:w="191" w:type="dxa"/>
            <w:shd w:val="clear" w:color="auto" w:fill="FFFFFF"/>
            <w:noWrap/>
            <w:tcMar>
              <w:top w:w="15" w:type="dxa"/>
              <w:left w:w="0" w:type="dxa"/>
              <w:bottom w:w="0" w:type="dxa"/>
              <w:right w:w="15" w:type="dxa"/>
            </w:tcMar>
            <w:vAlign w:val="bottom"/>
            <w:hideMark/>
          </w:tcPr>
          <w:p w14:paraId="50B072B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1C2EBD5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48217B2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16" w:type="dxa"/>
            <w:tcBorders>
              <w:top w:val="single" w:sz="6" w:space="0" w:color="000000"/>
            </w:tcBorders>
            <w:shd w:val="clear" w:color="auto" w:fill="FFFFFF"/>
            <w:noWrap/>
            <w:tcMar>
              <w:top w:w="15" w:type="dxa"/>
              <w:left w:w="0" w:type="dxa"/>
              <w:bottom w:w="0" w:type="dxa"/>
              <w:right w:w="15" w:type="dxa"/>
            </w:tcMar>
            <w:vAlign w:val="bottom"/>
            <w:hideMark/>
          </w:tcPr>
          <w:p w14:paraId="477F7AB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0.55</w:t>
            </w:r>
          </w:p>
        </w:tc>
        <w:tc>
          <w:tcPr>
            <w:tcW w:w="193" w:type="dxa"/>
            <w:shd w:val="clear" w:color="auto" w:fill="FFFFFF"/>
            <w:noWrap/>
            <w:tcMar>
              <w:top w:w="15" w:type="dxa"/>
              <w:left w:w="0" w:type="dxa"/>
              <w:bottom w:w="0" w:type="dxa"/>
              <w:right w:w="15" w:type="dxa"/>
            </w:tcMar>
            <w:vAlign w:val="bottom"/>
            <w:hideMark/>
          </w:tcPr>
          <w:p w14:paraId="0094752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097527C" w14:textId="77777777" w:rsidTr="00AC4931">
        <w:tc>
          <w:tcPr>
            <w:tcW w:w="11184" w:type="dxa"/>
            <w:shd w:val="clear" w:color="auto" w:fill="CFF0FC"/>
            <w:tcMar>
              <w:top w:w="15" w:type="dxa"/>
              <w:left w:w="0" w:type="dxa"/>
              <w:bottom w:w="0" w:type="dxa"/>
              <w:right w:w="15" w:type="dxa"/>
            </w:tcMar>
            <w:vAlign w:val="center"/>
            <w:hideMark/>
          </w:tcPr>
          <w:p w14:paraId="74EEAB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Tax on Non-U.S. GAAP adjustments</w:t>
            </w:r>
            <w:r w:rsidRPr="00AC4931">
              <w:rPr>
                <w:rFonts w:ascii="Arial" w:eastAsia="宋体" w:hAnsi="Arial" w:cs="Arial"/>
                <w:color w:val="000000"/>
                <w:kern w:val="0"/>
                <w:sz w:val="18"/>
                <w:szCs w:val="18"/>
                <w:vertAlign w:val="superscript"/>
              </w:rPr>
              <w:t>1)</w:t>
            </w:r>
          </w:p>
        </w:tc>
        <w:tc>
          <w:tcPr>
            <w:tcW w:w="253" w:type="dxa"/>
            <w:shd w:val="clear" w:color="auto" w:fill="CFF0FC"/>
            <w:tcMar>
              <w:top w:w="15" w:type="dxa"/>
              <w:left w:w="0" w:type="dxa"/>
              <w:bottom w:w="0" w:type="dxa"/>
              <w:right w:w="15" w:type="dxa"/>
            </w:tcMar>
            <w:vAlign w:val="bottom"/>
            <w:hideMark/>
          </w:tcPr>
          <w:p w14:paraId="032496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DA3B8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34" w:type="dxa"/>
            <w:tcBorders>
              <w:bottom w:val="single" w:sz="6" w:space="0" w:color="000000"/>
            </w:tcBorders>
            <w:shd w:val="clear" w:color="auto" w:fill="CFF0FC"/>
            <w:noWrap/>
            <w:tcMar>
              <w:top w:w="15" w:type="dxa"/>
              <w:left w:w="0" w:type="dxa"/>
              <w:bottom w:w="0" w:type="dxa"/>
              <w:right w:w="15" w:type="dxa"/>
            </w:tcMar>
            <w:vAlign w:val="bottom"/>
            <w:hideMark/>
          </w:tcPr>
          <w:p w14:paraId="7CE1AF7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(11.1</w:t>
            </w:r>
          </w:p>
        </w:tc>
        <w:tc>
          <w:tcPr>
            <w:tcW w:w="191" w:type="dxa"/>
            <w:shd w:val="clear" w:color="auto" w:fill="CFF0FC"/>
            <w:noWrap/>
            <w:tcMar>
              <w:top w:w="15" w:type="dxa"/>
              <w:left w:w="0" w:type="dxa"/>
              <w:bottom w:w="0" w:type="dxa"/>
              <w:right w:w="15" w:type="dxa"/>
            </w:tcMar>
            <w:vAlign w:val="bottom"/>
            <w:hideMark/>
          </w:tcPr>
          <w:p w14:paraId="791595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53" w:type="dxa"/>
            <w:shd w:val="clear" w:color="auto" w:fill="CFF0FC"/>
            <w:tcMar>
              <w:top w:w="15" w:type="dxa"/>
              <w:left w:w="0" w:type="dxa"/>
              <w:bottom w:w="0" w:type="dxa"/>
              <w:right w:w="15" w:type="dxa"/>
            </w:tcMar>
            <w:vAlign w:val="bottom"/>
            <w:hideMark/>
          </w:tcPr>
          <w:p w14:paraId="4C13CE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EDD17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37" w:type="dxa"/>
            <w:tcBorders>
              <w:bottom w:val="single" w:sz="6" w:space="0" w:color="000000"/>
            </w:tcBorders>
            <w:shd w:val="clear" w:color="auto" w:fill="CFF0FC"/>
            <w:noWrap/>
            <w:tcMar>
              <w:top w:w="15" w:type="dxa"/>
              <w:left w:w="0" w:type="dxa"/>
              <w:bottom w:w="0" w:type="dxa"/>
              <w:right w:w="15" w:type="dxa"/>
            </w:tcMar>
            <w:vAlign w:val="bottom"/>
            <w:hideMark/>
          </w:tcPr>
          <w:p w14:paraId="72D7278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(0.13</w:t>
            </w:r>
          </w:p>
        </w:tc>
        <w:tc>
          <w:tcPr>
            <w:tcW w:w="191" w:type="dxa"/>
            <w:shd w:val="clear" w:color="auto" w:fill="CFF0FC"/>
            <w:noWrap/>
            <w:tcMar>
              <w:top w:w="15" w:type="dxa"/>
              <w:left w:w="0" w:type="dxa"/>
              <w:bottom w:w="0" w:type="dxa"/>
              <w:right w:w="15" w:type="dxa"/>
            </w:tcMar>
            <w:vAlign w:val="bottom"/>
            <w:hideMark/>
          </w:tcPr>
          <w:p w14:paraId="431340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35" w:type="dxa"/>
            <w:shd w:val="clear" w:color="auto" w:fill="CFF0FC"/>
            <w:tcMar>
              <w:top w:w="15" w:type="dxa"/>
              <w:left w:w="0" w:type="dxa"/>
              <w:bottom w:w="0" w:type="dxa"/>
              <w:right w:w="15" w:type="dxa"/>
            </w:tcMar>
            <w:vAlign w:val="bottom"/>
            <w:hideMark/>
          </w:tcPr>
          <w:p w14:paraId="54B08A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3CA3F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62" w:type="dxa"/>
            <w:tcBorders>
              <w:bottom w:val="single" w:sz="6" w:space="0" w:color="000000"/>
            </w:tcBorders>
            <w:shd w:val="clear" w:color="auto" w:fill="CFF0FC"/>
            <w:noWrap/>
            <w:tcMar>
              <w:top w:w="15" w:type="dxa"/>
              <w:left w:w="0" w:type="dxa"/>
              <w:bottom w:w="0" w:type="dxa"/>
              <w:right w:w="15" w:type="dxa"/>
            </w:tcMar>
            <w:vAlign w:val="bottom"/>
            <w:hideMark/>
          </w:tcPr>
          <w:p w14:paraId="50E5A31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(10.6</w:t>
            </w:r>
          </w:p>
        </w:tc>
        <w:tc>
          <w:tcPr>
            <w:tcW w:w="191" w:type="dxa"/>
            <w:shd w:val="clear" w:color="auto" w:fill="CFF0FC"/>
            <w:noWrap/>
            <w:tcMar>
              <w:top w:w="15" w:type="dxa"/>
              <w:left w:w="0" w:type="dxa"/>
              <w:bottom w:w="0" w:type="dxa"/>
              <w:right w:w="15" w:type="dxa"/>
            </w:tcMar>
            <w:vAlign w:val="bottom"/>
            <w:hideMark/>
          </w:tcPr>
          <w:p w14:paraId="14AEA7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53" w:type="dxa"/>
            <w:shd w:val="clear" w:color="auto" w:fill="CFF0FC"/>
            <w:tcMar>
              <w:top w:w="15" w:type="dxa"/>
              <w:left w:w="0" w:type="dxa"/>
              <w:bottom w:w="0" w:type="dxa"/>
              <w:right w:w="15" w:type="dxa"/>
            </w:tcMar>
            <w:vAlign w:val="bottom"/>
            <w:hideMark/>
          </w:tcPr>
          <w:p w14:paraId="0B4CC8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BC39A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6" w:type="dxa"/>
            <w:tcBorders>
              <w:bottom w:val="single" w:sz="6" w:space="0" w:color="000000"/>
            </w:tcBorders>
            <w:shd w:val="clear" w:color="auto" w:fill="CFF0FC"/>
            <w:noWrap/>
            <w:tcMar>
              <w:top w:w="15" w:type="dxa"/>
              <w:left w:w="0" w:type="dxa"/>
              <w:bottom w:w="0" w:type="dxa"/>
              <w:right w:w="15" w:type="dxa"/>
            </w:tcMar>
            <w:vAlign w:val="bottom"/>
            <w:hideMark/>
          </w:tcPr>
          <w:p w14:paraId="3A14ECB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(0.12</w:t>
            </w:r>
          </w:p>
        </w:tc>
        <w:tc>
          <w:tcPr>
            <w:tcW w:w="193" w:type="dxa"/>
            <w:shd w:val="clear" w:color="auto" w:fill="CFF0FC"/>
            <w:noWrap/>
            <w:tcMar>
              <w:top w:w="15" w:type="dxa"/>
              <w:left w:w="0" w:type="dxa"/>
              <w:bottom w:w="0" w:type="dxa"/>
              <w:right w:w="15" w:type="dxa"/>
            </w:tcMar>
            <w:vAlign w:val="bottom"/>
            <w:hideMark/>
          </w:tcPr>
          <w:p w14:paraId="4FC982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AD24CD6" w14:textId="77777777" w:rsidTr="00AC4931">
        <w:tc>
          <w:tcPr>
            <w:tcW w:w="11184" w:type="dxa"/>
            <w:shd w:val="clear" w:color="auto" w:fill="FFFFFF"/>
            <w:tcMar>
              <w:top w:w="15" w:type="dxa"/>
              <w:left w:w="0" w:type="dxa"/>
              <w:bottom w:w="0" w:type="dxa"/>
              <w:right w:w="15" w:type="dxa"/>
            </w:tcMar>
            <w:vAlign w:val="center"/>
            <w:hideMark/>
          </w:tcPr>
          <w:p w14:paraId="4844021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adjustments to Net Income</w:t>
            </w:r>
          </w:p>
        </w:tc>
        <w:tc>
          <w:tcPr>
            <w:tcW w:w="253" w:type="dxa"/>
            <w:shd w:val="clear" w:color="auto" w:fill="FFFFFF"/>
            <w:tcMar>
              <w:top w:w="15" w:type="dxa"/>
              <w:left w:w="0" w:type="dxa"/>
              <w:bottom w:w="0" w:type="dxa"/>
              <w:right w:w="15" w:type="dxa"/>
            </w:tcMar>
            <w:vAlign w:val="bottom"/>
            <w:hideMark/>
          </w:tcPr>
          <w:p w14:paraId="7411ECA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EB17B7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34" w:type="dxa"/>
            <w:tcBorders>
              <w:top w:val="single" w:sz="6" w:space="0" w:color="000000"/>
            </w:tcBorders>
            <w:shd w:val="clear" w:color="auto" w:fill="FFFFFF"/>
            <w:noWrap/>
            <w:tcMar>
              <w:top w:w="15" w:type="dxa"/>
              <w:left w:w="0" w:type="dxa"/>
              <w:bottom w:w="0" w:type="dxa"/>
              <w:right w:w="15" w:type="dxa"/>
            </w:tcMar>
            <w:vAlign w:val="bottom"/>
            <w:hideMark/>
          </w:tcPr>
          <w:p w14:paraId="29DB781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88.4</w:t>
            </w:r>
          </w:p>
        </w:tc>
        <w:tc>
          <w:tcPr>
            <w:tcW w:w="191" w:type="dxa"/>
            <w:shd w:val="clear" w:color="auto" w:fill="FFFFFF"/>
            <w:noWrap/>
            <w:tcMar>
              <w:top w:w="15" w:type="dxa"/>
              <w:left w:w="0" w:type="dxa"/>
              <w:bottom w:w="0" w:type="dxa"/>
              <w:right w:w="15" w:type="dxa"/>
            </w:tcMar>
            <w:vAlign w:val="bottom"/>
            <w:hideMark/>
          </w:tcPr>
          <w:p w14:paraId="639B438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56797F5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0E16C70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37" w:type="dxa"/>
            <w:tcBorders>
              <w:top w:val="single" w:sz="6" w:space="0" w:color="000000"/>
            </w:tcBorders>
            <w:shd w:val="clear" w:color="auto" w:fill="FFFFFF"/>
            <w:noWrap/>
            <w:tcMar>
              <w:top w:w="15" w:type="dxa"/>
              <w:left w:w="0" w:type="dxa"/>
              <w:bottom w:w="0" w:type="dxa"/>
              <w:right w:w="15" w:type="dxa"/>
            </w:tcMar>
            <w:vAlign w:val="bottom"/>
            <w:hideMark/>
          </w:tcPr>
          <w:p w14:paraId="1ADF428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1.01</w:t>
            </w:r>
          </w:p>
        </w:tc>
        <w:tc>
          <w:tcPr>
            <w:tcW w:w="191" w:type="dxa"/>
            <w:shd w:val="clear" w:color="auto" w:fill="FFFFFF"/>
            <w:noWrap/>
            <w:tcMar>
              <w:top w:w="15" w:type="dxa"/>
              <w:left w:w="0" w:type="dxa"/>
              <w:bottom w:w="0" w:type="dxa"/>
              <w:right w:w="15" w:type="dxa"/>
            </w:tcMar>
            <w:vAlign w:val="bottom"/>
            <w:hideMark/>
          </w:tcPr>
          <w:p w14:paraId="0206D6E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435" w:type="dxa"/>
            <w:shd w:val="clear" w:color="auto" w:fill="FFFFFF"/>
            <w:tcMar>
              <w:top w:w="15" w:type="dxa"/>
              <w:left w:w="0" w:type="dxa"/>
              <w:bottom w:w="0" w:type="dxa"/>
              <w:right w:w="15" w:type="dxa"/>
            </w:tcMar>
            <w:vAlign w:val="bottom"/>
            <w:hideMark/>
          </w:tcPr>
          <w:p w14:paraId="5B6E604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470B59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62" w:type="dxa"/>
            <w:tcBorders>
              <w:top w:val="single" w:sz="6" w:space="0" w:color="000000"/>
            </w:tcBorders>
            <w:shd w:val="clear" w:color="auto" w:fill="FFFFFF"/>
            <w:noWrap/>
            <w:tcMar>
              <w:top w:w="15" w:type="dxa"/>
              <w:left w:w="0" w:type="dxa"/>
              <w:bottom w:w="0" w:type="dxa"/>
              <w:right w:w="15" w:type="dxa"/>
            </w:tcMar>
            <w:vAlign w:val="bottom"/>
            <w:hideMark/>
          </w:tcPr>
          <w:p w14:paraId="62F3A0B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38.0</w:t>
            </w:r>
          </w:p>
        </w:tc>
        <w:tc>
          <w:tcPr>
            <w:tcW w:w="191" w:type="dxa"/>
            <w:shd w:val="clear" w:color="auto" w:fill="FFFFFF"/>
            <w:noWrap/>
            <w:tcMar>
              <w:top w:w="15" w:type="dxa"/>
              <w:left w:w="0" w:type="dxa"/>
              <w:bottom w:w="0" w:type="dxa"/>
              <w:right w:w="15" w:type="dxa"/>
            </w:tcMar>
            <w:vAlign w:val="bottom"/>
            <w:hideMark/>
          </w:tcPr>
          <w:p w14:paraId="3768BF0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48746A3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51CC76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16" w:type="dxa"/>
            <w:tcBorders>
              <w:top w:val="single" w:sz="6" w:space="0" w:color="000000"/>
            </w:tcBorders>
            <w:shd w:val="clear" w:color="auto" w:fill="FFFFFF"/>
            <w:noWrap/>
            <w:tcMar>
              <w:top w:w="15" w:type="dxa"/>
              <w:left w:w="0" w:type="dxa"/>
              <w:bottom w:w="0" w:type="dxa"/>
              <w:right w:w="15" w:type="dxa"/>
            </w:tcMar>
            <w:vAlign w:val="bottom"/>
            <w:hideMark/>
          </w:tcPr>
          <w:p w14:paraId="2C1AB66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0.43</w:t>
            </w:r>
          </w:p>
        </w:tc>
        <w:tc>
          <w:tcPr>
            <w:tcW w:w="193" w:type="dxa"/>
            <w:shd w:val="clear" w:color="auto" w:fill="FFFFFF"/>
            <w:noWrap/>
            <w:tcMar>
              <w:top w:w="15" w:type="dxa"/>
              <w:left w:w="0" w:type="dxa"/>
              <w:bottom w:w="0" w:type="dxa"/>
              <w:right w:w="15" w:type="dxa"/>
            </w:tcMar>
            <w:vAlign w:val="bottom"/>
            <w:hideMark/>
          </w:tcPr>
          <w:p w14:paraId="17D53EA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324D0DCA" w14:textId="77777777" w:rsidTr="00AC4931">
        <w:tc>
          <w:tcPr>
            <w:tcW w:w="11184" w:type="dxa"/>
            <w:shd w:val="clear" w:color="auto" w:fill="CFF0FC"/>
            <w:tcMar>
              <w:top w:w="15" w:type="dxa"/>
              <w:left w:w="0" w:type="dxa"/>
              <w:bottom w:w="0" w:type="dxa"/>
              <w:right w:w="15" w:type="dxa"/>
            </w:tcMar>
            <w:vAlign w:val="center"/>
            <w:hideMark/>
          </w:tcPr>
          <w:p w14:paraId="20DA8D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7B6D86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3DADB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34" w:type="dxa"/>
            <w:shd w:val="clear" w:color="auto" w:fill="CFF0FC"/>
            <w:noWrap/>
            <w:tcMar>
              <w:top w:w="15" w:type="dxa"/>
              <w:left w:w="0" w:type="dxa"/>
              <w:bottom w:w="0" w:type="dxa"/>
              <w:right w:w="15" w:type="dxa"/>
            </w:tcMar>
            <w:vAlign w:val="bottom"/>
            <w:hideMark/>
          </w:tcPr>
          <w:p w14:paraId="6E2169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2D079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62D1D9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79881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37" w:type="dxa"/>
            <w:shd w:val="clear" w:color="auto" w:fill="CFF0FC"/>
            <w:noWrap/>
            <w:tcMar>
              <w:top w:w="15" w:type="dxa"/>
              <w:left w:w="0" w:type="dxa"/>
              <w:bottom w:w="0" w:type="dxa"/>
              <w:right w:w="15" w:type="dxa"/>
            </w:tcMar>
            <w:vAlign w:val="bottom"/>
            <w:hideMark/>
          </w:tcPr>
          <w:p w14:paraId="20B9CD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30305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35" w:type="dxa"/>
            <w:shd w:val="clear" w:color="auto" w:fill="CFF0FC"/>
            <w:tcMar>
              <w:top w:w="15" w:type="dxa"/>
              <w:left w:w="0" w:type="dxa"/>
              <w:bottom w:w="0" w:type="dxa"/>
              <w:right w:w="15" w:type="dxa"/>
            </w:tcMar>
            <w:vAlign w:val="bottom"/>
            <w:hideMark/>
          </w:tcPr>
          <w:p w14:paraId="7601B0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9CCFB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62" w:type="dxa"/>
            <w:shd w:val="clear" w:color="auto" w:fill="CFF0FC"/>
            <w:noWrap/>
            <w:tcMar>
              <w:top w:w="15" w:type="dxa"/>
              <w:left w:w="0" w:type="dxa"/>
              <w:bottom w:w="0" w:type="dxa"/>
              <w:right w:w="15" w:type="dxa"/>
            </w:tcMar>
            <w:vAlign w:val="bottom"/>
            <w:hideMark/>
          </w:tcPr>
          <w:p w14:paraId="07C92C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BB806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6DED0C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9F81E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6" w:type="dxa"/>
            <w:shd w:val="clear" w:color="auto" w:fill="CFF0FC"/>
            <w:noWrap/>
            <w:tcMar>
              <w:top w:w="15" w:type="dxa"/>
              <w:left w:w="0" w:type="dxa"/>
              <w:bottom w:w="0" w:type="dxa"/>
              <w:right w:w="15" w:type="dxa"/>
            </w:tcMar>
            <w:vAlign w:val="bottom"/>
            <w:hideMark/>
          </w:tcPr>
          <w:p w14:paraId="7EADF8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3" w:type="dxa"/>
            <w:shd w:val="clear" w:color="auto" w:fill="CFF0FC"/>
            <w:noWrap/>
            <w:tcMar>
              <w:top w:w="15" w:type="dxa"/>
              <w:left w:w="0" w:type="dxa"/>
              <w:bottom w:w="0" w:type="dxa"/>
              <w:right w:w="15" w:type="dxa"/>
            </w:tcMar>
            <w:vAlign w:val="bottom"/>
            <w:hideMark/>
          </w:tcPr>
          <w:p w14:paraId="731CC8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9692CC2" w14:textId="77777777" w:rsidTr="00AC4931">
        <w:tc>
          <w:tcPr>
            <w:tcW w:w="11184" w:type="dxa"/>
            <w:shd w:val="clear" w:color="auto" w:fill="FFFFFF"/>
            <w:tcMar>
              <w:top w:w="15" w:type="dxa"/>
              <w:left w:w="0" w:type="dxa"/>
              <w:bottom w:w="0" w:type="dxa"/>
              <w:right w:w="15" w:type="dxa"/>
            </w:tcMar>
            <w:vAlign w:val="center"/>
            <w:hideMark/>
          </w:tcPr>
          <w:p w14:paraId="5116DB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Weighted average number of shares outstanding</w:t>
            </w:r>
          </w:p>
          <w:p w14:paraId="74E4CF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 diluted</w:t>
            </w:r>
            <w:r w:rsidRPr="00AC4931">
              <w:rPr>
                <w:rFonts w:ascii="Arial" w:eastAsia="宋体" w:hAnsi="Arial" w:cs="Arial"/>
                <w:color w:val="000000"/>
                <w:kern w:val="0"/>
                <w:sz w:val="18"/>
                <w:szCs w:val="18"/>
                <w:vertAlign w:val="superscript"/>
              </w:rPr>
              <w:t>2)</w:t>
            </w:r>
          </w:p>
        </w:tc>
        <w:tc>
          <w:tcPr>
            <w:tcW w:w="253" w:type="dxa"/>
            <w:shd w:val="clear" w:color="auto" w:fill="FFFFFF"/>
            <w:tcMar>
              <w:top w:w="15" w:type="dxa"/>
              <w:left w:w="0" w:type="dxa"/>
              <w:bottom w:w="0" w:type="dxa"/>
              <w:right w:w="15" w:type="dxa"/>
            </w:tcMar>
            <w:vAlign w:val="bottom"/>
            <w:hideMark/>
          </w:tcPr>
          <w:p w14:paraId="08EDF2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B7384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34" w:type="dxa"/>
            <w:shd w:val="clear" w:color="auto" w:fill="FFFFFF"/>
            <w:noWrap/>
            <w:tcMar>
              <w:top w:w="15" w:type="dxa"/>
              <w:left w:w="0" w:type="dxa"/>
              <w:bottom w:w="0" w:type="dxa"/>
              <w:right w:w="15" w:type="dxa"/>
            </w:tcMar>
            <w:vAlign w:val="bottom"/>
            <w:hideMark/>
          </w:tcPr>
          <w:p w14:paraId="09BE4A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44ADB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26E3CC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C1D5D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37" w:type="dxa"/>
            <w:shd w:val="clear" w:color="auto" w:fill="FFFFFF"/>
            <w:noWrap/>
            <w:tcMar>
              <w:top w:w="15" w:type="dxa"/>
              <w:left w:w="0" w:type="dxa"/>
              <w:bottom w:w="0" w:type="dxa"/>
              <w:right w:w="15" w:type="dxa"/>
            </w:tcMar>
            <w:vAlign w:val="bottom"/>
            <w:hideMark/>
          </w:tcPr>
          <w:p w14:paraId="5D94031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87.5</w:t>
            </w:r>
          </w:p>
        </w:tc>
        <w:tc>
          <w:tcPr>
            <w:tcW w:w="191" w:type="dxa"/>
            <w:shd w:val="clear" w:color="auto" w:fill="FFFFFF"/>
            <w:noWrap/>
            <w:tcMar>
              <w:top w:w="15" w:type="dxa"/>
              <w:left w:w="0" w:type="dxa"/>
              <w:bottom w:w="0" w:type="dxa"/>
              <w:right w:w="15" w:type="dxa"/>
            </w:tcMar>
            <w:vAlign w:val="bottom"/>
            <w:hideMark/>
          </w:tcPr>
          <w:p w14:paraId="124773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35" w:type="dxa"/>
            <w:shd w:val="clear" w:color="auto" w:fill="FFFFFF"/>
            <w:tcMar>
              <w:top w:w="15" w:type="dxa"/>
              <w:left w:w="0" w:type="dxa"/>
              <w:bottom w:w="0" w:type="dxa"/>
              <w:right w:w="15" w:type="dxa"/>
            </w:tcMar>
            <w:vAlign w:val="bottom"/>
            <w:hideMark/>
          </w:tcPr>
          <w:p w14:paraId="5A2DAA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4EE59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62" w:type="dxa"/>
            <w:shd w:val="clear" w:color="auto" w:fill="FFFFFF"/>
            <w:noWrap/>
            <w:tcMar>
              <w:top w:w="15" w:type="dxa"/>
              <w:left w:w="0" w:type="dxa"/>
              <w:bottom w:w="0" w:type="dxa"/>
              <w:right w:w="15" w:type="dxa"/>
            </w:tcMar>
            <w:vAlign w:val="bottom"/>
            <w:hideMark/>
          </w:tcPr>
          <w:p w14:paraId="66DC28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6FE7D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0C2901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C337A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6" w:type="dxa"/>
            <w:shd w:val="clear" w:color="auto" w:fill="FFFFFF"/>
            <w:noWrap/>
            <w:tcMar>
              <w:top w:w="15" w:type="dxa"/>
              <w:left w:w="0" w:type="dxa"/>
              <w:bottom w:w="0" w:type="dxa"/>
              <w:right w:w="15" w:type="dxa"/>
            </w:tcMar>
            <w:vAlign w:val="bottom"/>
            <w:hideMark/>
          </w:tcPr>
          <w:p w14:paraId="7DE0599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87.4</w:t>
            </w:r>
          </w:p>
        </w:tc>
        <w:tc>
          <w:tcPr>
            <w:tcW w:w="193" w:type="dxa"/>
            <w:shd w:val="clear" w:color="auto" w:fill="FFFFFF"/>
            <w:noWrap/>
            <w:tcMar>
              <w:top w:w="15" w:type="dxa"/>
              <w:left w:w="0" w:type="dxa"/>
              <w:bottom w:w="0" w:type="dxa"/>
              <w:right w:w="15" w:type="dxa"/>
            </w:tcMar>
            <w:vAlign w:val="bottom"/>
            <w:hideMark/>
          </w:tcPr>
          <w:p w14:paraId="22D9D2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C8FB7DB" w14:textId="77777777" w:rsidTr="00AC4931">
        <w:tc>
          <w:tcPr>
            <w:tcW w:w="11184" w:type="dxa"/>
            <w:shd w:val="clear" w:color="auto" w:fill="CFF0FC"/>
            <w:tcMar>
              <w:top w:w="15" w:type="dxa"/>
              <w:left w:w="0" w:type="dxa"/>
              <w:bottom w:w="0" w:type="dxa"/>
              <w:right w:w="15" w:type="dxa"/>
            </w:tcMar>
            <w:vAlign w:val="center"/>
            <w:hideMark/>
          </w:tcPr>
          <w:p w14:paraId="72E6CD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Adjustment Return on capital employed</w:t>
            </w:r>
          </w:p>
        </w:tc>
        <w:tc>
          <w:tcPr>
            <w:tcW w:w="253" w:type="dxa"/>
            <w:shd w:val="clear" w:color="auto" w:fill="CFF0FC"/>
            <w:tcMar>
              <w:top w:w="15" w:type="dxa"/>
              <w:left w:w="0" w:type="dxa"/>
              <w:bottom w:w="0" w:type="dxa"/>
              <w:right w:w="15" w:type="dxa"/>
            </w:tcMar>
            <w:vAlign w:val="bottom"/>
            <w:hideMark/>
          </w:tcPr>
          <w:p w14:paraId="1B690B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7E216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34" w:type="dxa"/>
            <w:shd w:val="clear" w:color="auto" w:fill="CFF0FC"/>
            <w:noWrap/>
            <w:tcMar>
              <w:top w:w="15" w:type="dxa"/>
              <w:left w:w="0" w:type="dxa"/>
              <w:bottom w:w="0" w:type="dxa"/>
              <w:right w:w="15" w:type="dxa"/>
            </w:tcMar>
            <w:vAlign w:val="bottom"/>
            <w:hideMark/>
          </w:tcPr>
          <w:p w14:paraId="278914A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99.5</w:t>
            </w:r>
          </w:p>
        </w:tc>
        <w:tc>
          <w:tcPr>
            <w:tcW w:w="191" w:type="dxa"/>
            <w:shd w:val="clear" w:color="auto" w:fill="CFF0FC"/>
            <w:noWrap/>
            <w:tcMar>
              <w:top w:w="15" w:type="dxa"/>
              <w:left w:w="0" w:type="dxa"/>
              <w:bottom w:w="0" w:type="dxa"/>
              <w:right w:w="15" w:type="dxa"/>
            </w:tcMar>
            <w:vAlign w:val="bottom"/>
            <w:hideMark/>
          </w:tcPr>
          <w:p w14:paraId="50EAA2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547B86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1E768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37" w:type="dxa"/>
            <w:shd w:val="clear" w:color="auto" w:fill="CFF0FC"/>
            <w:noWrap/>
            <w:tcMar>
              <w:top w:w="15" w:type="dxa"/>
              <w:left w:w="0" w:type="dxa"/>
              <w:bottom w:w="0" w:type="dxa"/>
              <w:right w:w="15" w:type="dxa"/>
            </w:tcMar>
            <w:vAlign w:val="bottom"/>
            <w:hideMark/>
          </w:tcPr>
          <w:p w14:paraId="459C58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9F881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35" w:type="dxa"/>
            <w:shd w:val="clear" w:color="auto" w:fill="CFF0FC"/>
            <w:tcMar>
              <w:top w:w="15" w:type="dxa"/>
              <w:left w:w="0" w:type="dxa"/>
              <w:bottom w:w="0" w:type="dxa"/>
              <w:right w:w="15" w:type="dxa"/>
            </w:tcMar>
            <w:vAlign w:val="bottom"/>
            <w:hideMark/>
          </w:tcPr>
          <w:p w14:paraId="6D9463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0B73D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62" w:type="dxa"/>
            <w:shd w:val="clear" w:color="auto" w:fill="CFF0FC"/>
            <w:noWrap/>
            <w:tcMar>
              <w:top w:w="15" w:type="dxa"/>
              <w:left w:w="0" w:type="dxa"/>
              <w:bottom w:w="0" w:type="dxa"/>
              <w:right w:w="15" w:type="dxa"/>
            </w:tcMar>
            <w:vAlign w:val="bottom"/>
            <w:hideMark/>
          </w:tcPr>
          <w:p w14:paraId="40C5805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48.6</w:t>
            </w:r>
          </w:p>
        </w:tc>
        <w:tc>
          <w:tcPr>
            <w:tcW w:w="191" w:type="dxa"/>
            <w:shd w:val="clear" w:color="auto" w:fill="CFF0FC"/>
            <w:noWrap/>
            <w:tcMar>
              <w:top w:w="15" w:type="dxa"/>
              <w:left w:w="0" w:type="dxa"/>
              <w:bottom w:w="0" w:type="dxa"/>
              <w:right w:w="15" w:type="dxa"/>
            </w:tcMar>
            <w:vAlign w:val="bottom"/>
            <w:hideMark/>
          </w:tcPr>
          <w:p w14:paraId="73D984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7ACAE4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4A946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6" w:type="dxa"/>
            <w:shd w:val="clear" w:color="auto" w:fill="CFF0FC"/>
            <w:noWrap/>
            <w:tcMar>
              <w:top w:w="15" w:type="dxa"/>
              <w:left w:w="0" w:type="dxa"/>
              <w:bottom w:w="0" w:type="dxa"/>
              <w:right w:w="15" w:type="dxa"/>
            </w:tcMar>
            <w:vAlign w:val="bottom"/>
            <w:hideMark/>
          </w:tcPr>
          <w:p w14:paraId="7D06F7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3" w:type="dxa"/>
            <w:shd w:val="clear" w:color="auto" w:fill="CFF0FC"/>
            <w:noWrap/>
            <w:tcMar>
              <w:top w:w="15" w:type="dxa"/>
              <w:left w:w="0" w:type="dxa"/>
              <w:bottom w:w="0" w:type="dxa"/>
              <w:right w:w="15" w:type="dxa"/>
            </w:tcMar>
            <w:vAlign w:val="bottom"/>
            <w:hideMark/>
          </w:tcPr>
          <w:p w14:paraId="0F4B73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7662C27" w14:textId="77777777" w:rsidTr="00AC4931">
        <w:tc>
          <w:tcPr>
            <w:tcW w:w="11184" w:type="dxa"/>
            <w:shd w:val="clear" w:color="auto" w:fill="FFFFFF"/>
            <w:tcMar>
              <w:top w:w="15" w:type="dxa"/>
              <w:left w:w="0" w:type="dxa"/>
              <w:bottom w:w="0" w:type="dxa"/>
              <w:right w:w="15" w:type="dxa"/>
            </w:tcMar>
            <w:vAlign w:val="center"/>
            <w:hideMark/>
          </w:tcPr>
          <w:p w14:paraId="108D33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Adjustment Return on capital employed, %</w:t>
            </w:r>
          </w:p>
        </w:tc>
        <w:tc>
          <w:tcPr>
            <w:tcW w:w="253" w:type="dxa"/>
            <w:shd w:val="clear" w:color="auto" w:fill="FFFFFF"/>
            <w:tcMar>
              <w:top w:w="15" w:type="dxa"/>
              <w:left w:w="0" w:type="dxa"/>
              <w:bottom w:w="0" w:type="dxa"/>
              <w:right w:w="15" w:type="dxa"/>
            </w:tcMar>
            <w:vAlign w:val="bottom"/>
            <w:hideMark/>
          </w:tcPr>
          <w:p w14:paraId="13F272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723BC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34" w:type="dxa"/>
            <w:shd w:val="clear" w:color="auto" w:fill="FFFFFF"/>
            <w:noWrap/>
            <w:tcMar>
              <w:top w:w="15" w:type="dxa"/>
              <w:left w:w="0" w:type="dxa"/>
              <w:bottom w:w="0" w:type="dxa"/>
              <w:right w:w="15" w:type="dxa"/>
            </w:tcMar>
            <w:vAlign w:val="bottom"/>
            <w:hideMark/>
          </w:tcPr>
          <w:p w14:paraId="10FA3E4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w:t>
            </w:r>
          </w:p>
        </w:tc>
        <w:tc>
          <w:tcPr>
            <w:tcW w:w="191" w:type="dxa"/>
            <w:shd w:val="clear" w:color="auto" w:fill="FFFFFF"/>
            <w:noWrap/>
            <w:tcMar>
              <w:top w:w="15" w:type="dxa"/>
              <w:left w:w="0" w:type="dxa"/>
              <w:bottom w:w="0" w:type="dxa"/>
              <w:right w:w="15" w:type="dxa"/>
            </w:tcMar>
            <w:vAlign w:val="bottom"/>
            <w:hideMark/>
          </w:tcPr>
          <w:p w14:paraId="6B338E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33DE1A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AA902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37" w:type="dxa"/>
            <w:shd w:val="clear" w:color="auto" w:fill="FFFFFF"/>
            <w:noWrap/>
            <w:tcMar>
              <w:top w:w="15" w:type="dxa"/>
              <w:left w:w="0" w:type="dxa"/>
              <w:bottom w:w="0" w:type="dxa"/>
              <w:right w:w="15" w:type="dxa"/>
            </w:tcMar>
            <w:vAlign w:val="bottom"/>
            <w:hideMark/>
          </w:tcPr>
          <w:p w14:paraId="70D92F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6FFE3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35" w:type="dxa"/>
            <w:shd w:val="clear" w:color="auto" w:fill="FFFFFF"/>
            <w:tcMar>
              <w:top w:w="15" w:type="dxa"/>
              <w:left w:w="0" w:type="dxa"/>
              <w:bottom w:w="0" w:type="dxa"/>
              <w:right w:w="15" w:type="dxa"/>
            </w:tcMar>
            <w:vAlign w:val="bottom"/>
            <w:hideMark/>
          </w:tcPr>
          <w:p w14:paraId="31D68A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E7B07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62" w:type="dxa"/>
            <w:shd w:val="clear" w:color="auto" w:fill="FFFFFF"/>
            <w:noWrap/>
            <w:tcMar>
              <w:top w:w="15" w:type="dxa"/>
              <w:left w:w="0" w:type="dxa"/>
              <w:bottom w:w="0" w:type="dxa"/>
              <w:right w:w="15" w:type="dxa"/>
            </w:tcMar>
            <w:vAlign w:val="bottom"/>
            <w:hideMark/>
          </w:tcPr>
          <w:p w14:paraId="20ED502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w:t>
            </w:r>
          </w:p>
        </w:tc>
        <w:tc>
          <w:tcPr>
            <w:tcW w:w="191" w:type="dxa"/>
            <w:shd w:val="clear" w:color="auto" w:fill="FFFFFF"/>
            <w:noWrap/>
            <w:tcMar>
              <w:top w:w="15" w:type="dxa"/>
              <w:left w:w="0" w:type="dxa"/>
              <w:bottom w:w="0" w:type="dxa"/>
              <w:right w:w="15" w:type="dxa"/>
            </w:tcMar>
            <w:vAlign w:val="bottom"/>
            <w:hideMark/>
          </w:tcPr>
          <w:p w14:paraId="4B2864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67B299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9AA34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6" w:type="dxa"/>
            <w:shd w:val="clear" w:color="auto" w:fill="FFFFFF"/>
            <w:noWrap/>
            <w:tcMar>
              <w:top w:w="15" w:type="dxa"/>
              <w:left w:w="0" w:type="dxa"/>
              <w:bottom w:w="0" w:type="dxa"/>
              <w:right w:w="15" w:type="dxa"/>
            </w:tcMar>
            <w:vAlign w:val="bottom"/>
            <w:hideMark/>
          </w:tcPr>
          <w:p w14:paraId="21A729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3" w:type="dxa"/>
            <w:shd w:val="clear" w:color="auto" w:fill="FFFFFF"/>
            <w:noWrap/>
            <w:tcMar>
              <w:top w:w="15" w:type="dxa"/>
              <w:left w:w="0" w:type="dxa"/>
              <w:bottom w:w="0" w:type="dxa"/>
              <w:right w:w="15" w:type="dxa"/>
            </w:tcMar>
            <w:vAlign w:val="bottom"/>
            <w:hideMark/>
          </w:tcPr>
          <w:p w14:paraId="24F3C8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5AAD646" w14:textId="77777777" w:rsidTr="00AC4931">
        <w:tc>
          <w:tcPr>
            <w:tcW w:w="11184" w:type="dxa"/>
            <w:shd w:val="clear" w:color="auto" w:fill="CFF0FC"/>
            <w:tcMar>
              <w:top w:w="15" w:type="dxa"/>
              <w:left w:w="0" w:type="dxa"/>
              <w:bottom w:w="0" w:type="dxa"/>
              <w:right w:w="15" w:type="dxa"/>
            </w:tcMar>
            <w:vAlign w:val="center"/>
            <w:hideMark/>
          </w:tcPr>
          <w:p w14:paraId="65B89A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760A16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C00B0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34" w:type="dxa"/>
            <w:shd w:val="clear" w:color="auto" w:fill="CFF0FC"/>
            <w:noWrap/>
            <w:tcMar>
              <w:top w:w="15" w:type="dxa"/>
              <w:left w:w="0" w:type="dxa"/>
              <w:bottom w:w="0" w:type="dxa"/>
              <w:right w:w="15" w:type="dxa"/>
            </w:tcMar>
            <w:vAlign w:val="bottom"/>
            <w:hideMark/>
          </w:tcPr>
          <w:p w14:paraId="41926C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96199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203B2E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96628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37" w:type="dxa"/>
            <w:shd w:val="clear" w:color="auto" w:fill="CFF0FC"/>
            <w:noWrap/>
            <w:tcMar>
              <w:top w:w="15" w:type="dxa"/>
              <w:left w:w="0" w:type="dxa"/>
              <w:bottom w:w="0" w:type="dxa"/>
              <w:right w:w="15" w:type="dxa"/>
            </w:tcMar>
            <w:vAlign w:val="bottom"/>
            <w:hideMark/>
          </w:tcPr>
          <w:p w14:paraId="7F1A14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69E71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35" w:type="dxa"/>
            <w:shd w:val="clear" w:color="auto" w:fill="CFF0FC"/>
            <w:tcMar>
              <w:top w:w="15" w:type="dxa"/>
              <w:left w:w="0" w:type="dxa"/>
              <w:bottom w:w="0" w:type="dxa"/>
              <w:right w:w="15" w:type="dxa"/>
            </w:tcMar>
            <w:vAlign w:val="bottom"/>
            <w:hideMark/>
          </w:tcPr>
          <w:p w14:paraId="278146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57C71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62" w:type="dxa"/>
            <w:shd w:val="clear" w:color="auto" w:fill="CFF0FC"/>
            <w:noWrap/>
            <w:tcMar>
              <w:top w:w="15" w:type="dxa"/>
              <w:left w:w="0" w:type="dxa"/>
              <w:bottom w:w="0" w:type="dxa"/>
              <w:right w:w="15" w:type="dxa"/>
            </w:tcMar>
            <w:vAlign w:val="bottom"/>
            <w:hideMark/>
          </w:tcPr>
          <w:p w14:paraId="320AEE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8721C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7CC54E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86589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6" w:type="dxa"/>
            <w:shd w:val="clear" w:color="auto" w:fill="CFF0FC"/>
            <w:noWrap/>
            <w:tcMar>
              <w:top w:w="15" w:type="dxa"/>
              <w:left w:w="0" w:type="dxa"/>
              <w:bottom w:w="0" w:type="dxa"/>
              <w:right w:w="15" w:type="dxa"/>
            </w:tcMar>
            <w:vAlign w:val="bottom"/>
            <w:hideMark/>
          </w:tcPr>
          <w:p w14:paraId="2A4EEF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3" w:type="dxa"/>
            <w:shd w:val="clear" w:color="auto" w:fill="CFF0FC"/>
            <w:noWrap/>
            <w:tcMar>
              <w:top w:w="15" w:type="dxa"/>
              <w:left w:w="0" w:type="dxa"/>
              <w:bottom w:w="0" w:type="dxa"/>
              <w:right w:w="15" w:type="dxa"/>
            </w:tcMar>
            <w:vAlign w:val="bottom"/>
            <w:hideMark/>
          </w:tcPr>
          <w:p w14:paraId="31585B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434E192" w14:textId="77777777" w:rsidTr="00AC4931">
        <w:tc>
          <w:tcPr>
            <w:tcW w:w="11184" w:type="dxa"/>
            <w:shd w:val="clear" w:color="auto" w:fill="FFFFFF"/>
            <w:tcMar>
              <w:top w:w="15" w:type="dxa"/>
              <w:left w:w="0" w:type="dxa"/>
              <w:bottom w:w="0" w:type="dxa"/>
              <w:right w:w="15" w:type="dxa"/>
            </w:tcMar>
            <w:vAlign w:val="center"/>
            <w:hideMark/>
          </w:tcPr>
          <w:p w14:paraId="25EB04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Adjustment Return on total equity</w:t>
            </w:r>
          </w:p>
        </w:tc>
        <w:tc>
          <w:tcPr>
            <w:tcW w:w="253" w:type="dxa"/>
            <w:shd w:val="clear" w:color="auto" w:fill="FFFFFF"/>
            <w:tcMar>
              <w:top w:w="15" w:type="dxa"/>
              <w:left w:w="0" w:type="dxa"/>
              <w:bottom w:w="0" w:type="dxa"/>
              <w:right w:w="15" w:type="dxa"/>
            </w:tcMar>
            <w:vAlign w:val="bottom"/>
            <w:hideMark/>
          </w:tcPr>
          <w:p w14:paraId="440F47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9274B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34" w:type="dxa"/>
            <w:shd w:val="clear" w:color="auto" w:fill="FFFFFF"/>
            <w:noWrap/>
            <w:tcMar>
              <w:top w:w="15" w:type="dxa"/>
              <w:left w:w="0" w:type="dxa"/>
              <w:bottom w:w="0" w:type="dxa"/>
              <w:right w:w="15" w:type="dxa"/>
            </w:tcMar>
            <w:vAlign w:val="bottom"/>
            <w:hideMark/>
          </w:tcPr>
          <w:p w14:paraId="13966FE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88.4</w:t>
            </w:r>
          </w:p>
        </w:tc>
        <w:tc>
          <w:tcPr>
            <w:tcW w:w="191" w:type="dxa"/>
            <w:shd w:val="clear" w:color="auto" w:fill="FFFFFF"/>
            <w:noWrap/>
            <w:tcMar>
              <w:top w:w="15" w:type="dxa"/>
              <w:left w:w="0" w:type="dxa"/>
              <w:bottom w:w="0" w:type="dxa"/>
              <w:right w:w="15" w:type="dxa"/>
            </w:tcMar>
            <w:vAlign w:val="bottom"/>
            <w:hideMark/>
          </w:tcPr>
          <w:p w14:paraId="0D5076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62D5FE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682C8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37" w:type="dxa"/>
            <w:shd w:val="clear" w:color="auto" w:fill="FFFFFF"/>
            <w:noWrap/>
            <w:tcMar>
              <w:top w:w="15" w:type="dxa"/>
              <w:left w:w="0" w:type="dxa"/>
              <w:bottom w:w="0" w:type="dxa"/>
              <w:right w:w="15" w:type="dxa"/>
            </w:tcMar>
            <w:vAlign w:val="bottom"/>
            <w:hideMark/>
          </w:tcPr>
          <w:p w14:paraId="2262E1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67298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35" w:type="dxa"/>
            <w:shd w:val="clear" w:color="auto" w:fill="FFFFFF"/>
            <w:tcMar>
              <w:top w:w="15" w:type="dxa"/>
              <w:left w:w="0" w:type="dxa"/>
              <w:bottom w:w="0" w:type="dxa"/>
              <w:right w:w="15" w:type="dxa"/>
            </w:tcMar>
            <w:vAlign w:val="bottom"/>
            <w:hideMark/>
          </w:tcPr>
          <w:p w14:paraId="35595F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0AF96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62" w:type="dxa"/>
            <w:shd w:val="clear" w:color="auto" w:fill="FFFFFF"/>
            <w:noWrap/>
            <w:tcMar>
              <w:top w:w="15" w:type="dxa"/>
              <w:left w:w="0" w:type="dxa"/>
              <w:bottom w:w="0" w:type="dxa"/>
              <w:right w:w="15" w:type="dxa"/>
            </w:tcMar>
            <w:vAlign w:val="bottom"/>
            <w:hideMark/>
          </w:tcPr>
          <w:p w14:paraId="2B36DA4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38.0</w:t>
            </w:r>
          </w:p>
        </w:tc>
        <w:tc>
          <w:tcPr>
            <w:tcW w:w="191" w:type="dxa"/>
            <w:shd w:val="clear" w:color="auto" w:fill="FFFFFF"/>
            <w:noWrap/>
            <w:tcMar>
              <w:top w:w="15" w:type="dxa"/>
              <w:left w:w="0" w:type="dxa"/>
              <w:bottom w:w="0" w:type="dxa"/>
              <w:right w:w="15" w:type="dxa"/>
            </w:tcMar>
            <w:vAlign w:val="bottom"/>
            <w:hideMark/>
          </w:tcPr>
          <w:p w14:paraId="7261AF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FFFFFF"/>
            <w:tcMar>
              <w:top w:w="15" w:type="dxa"/>
              <w:left w:w="0" w:type="dxa"/>
              <w:bottom w:w="0" w:type="dxa"/>
              <w:right w:w="15" w:type="dxa"/>
            </w:tcMar>
            <w:vAlign w:val="bottom"/>
            <w:hideMark/>
          </w:tcPr>
          <w:p w14:paraId="289CD1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32271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6" w:type="dxa"/>
            <w:shd w:val="clear" w:color="auto" w:fill="FFFFFF"/>
            <w:noWrap/>
            <w:tcMar>
              <w:top w:w="15" w:type="dxa"/>
              <w:left w:w="0" w:type="dxa"/>
              <w:bottom w:w="0" w:type="dxa"/>
              <w:right w:w="15" w:type="dxa"/>
            </w:tcMar>
            <w:vAlign w:val="bottom"/>
            <w:hideMark/>
          </w:tcPr>
          <w:p w14:paraId="7B6A9E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3" w:type="dxa"/>
            <w:shd w:val="clear" w:color="auto" w:fill="FFFFFF"/>
            <w:noWrap/>
            <w:tcMar>
              <w:top w:w="15" w:type="dxa"/>
              <w:left w:w="0" w:type="dxa"/>
              <w:bottom w:w="0" w:type="dxa"/>
              <w:right w:w="15" w:type="dxa"/>
            </w:tcMar>
            <w:vAlign w:val="bottom"/>
            <w:hideMark/>
          </w:tcPr>
          <w:p w14:paraId="444EF5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1972FEB" w14:textId="77777777" w:rsidTr="00AC4931">
        <w:tc>
          <w:tcPr>
            <w:tcW w:w="11184" w:type="dxa"/>
            <w:shd w:val="clear" w:color="auto" w:fill="CFF0FC"/>
            <w:tcMar>
              <w:top w:w="15" w:type="dxa"/>
              <w:left w:w="0" w:type="dxa"/>
              <w:bottom w:w="0" w:type="dxa"/>
              <w:right w:w="15" w:type="dxa"/>
            </w:tcMar>
            <w:vAlign w:val="center"/>
            <w:hideMark/>
          </w:tcPr>
          <w:p w14:paraId="1BBE56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Adjustment Return on total equity, %</w:t>
            </w:r>
          </w:p>
        </w:tc>
        <w:tc>
          <w:tcPr>
            <w:tcW w:w="253" w:type="dxa"/>
            <w:shd w:val="clear" w:color="auto" w:fill="CFF0FC"/>
            <w:tcMar>
              <w:top w:w="15" w:type="dxa"/>
              <w:left w:w="0" w:type="dxa"/>
              <w:bottom w:w="0" w:type="dxa"/>
              <w:right w:w="15" w:type="dxa"/>
            </w:tcMar>
            <w:vAlign w:val="bottom"/>
            <w:hideMark/>
          </w:tcPr>
          <w:p w14:paraId="6FF95E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CB43C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34" w:type="dxa"/>
            <w:shd w:val="clear" w:color="auto" w:fill="CFF0FC"/>
            <w:noWrap/>
            <w:tcMar>
              <w:top w:w="15" w:type="dxa"/>
              <w:left w:w="0" w:type="dxa"/>
              <w:bottom w:w="0" w:type="dxa"/>
              <w:right w:w="15" w:type="dxa"/>
            </w:tcMar>
            <w:vAlign w:val="bottom"/>
            <w:hideMark/>
          </w:tcPr>
          <w:p w14:paraId="398F0FB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w:t>
            </w:r>
          </w:p>
        </w:tc>
        <w:tc>
          <w:tcPr>
            <w:tcW w:w="191" w:type="dxa"/>
            <w:shd w:val="clear" w:color="auto" w:fill="CFF0FC"/>
            <w:noWrap/>
            <w:tcMar>
              <w:top w:w="15" w:type="dxa"/>
              <w:left w:w="0" w:type="dxa"/>
              <w:bottom w:w="0" w:type="dxa"/>
              <w:right w:w="15" w:type="dxa"/>
            </w:tcMar>
            <w:vAlign w:val="bottom"/>
            <w:hideMark/>
          </w:tcPr>
          <w:p w14:paraId="405A08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590D21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7C2A7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37" w:type="dxa"/>
            <w:shd w:val="clear" w:color="auto" w:fill="CFF0FC"/>
            <w:noWrap/>
            <w:tcMar>
              <w:top w:w="15" w:type="dxa"/>
              <w:left w:w="0" w:type="dxa"/>
              <w:bottom w:w="0" w:type="dxa"/>
              <w:right w:w="15" w:type="dxa"/>
            </w:tcMar>
            <w:vAlign w:val="bottom"/>
            <w:hideMark/>
          </w:tcPr>
          <w:p w14:paraId="31B27C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756AF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35" w:type="dxa"/>
            <w:shd w:val="clear" w:color="auto" w:fill="CFF0FC"/>
            <w:tcMar>
              <w:top w:w="15" w:type="dxa"/>
              <w:left w:w="0" w:type="dxa"/>
              <w:bottom w:w="0" w:type="dxa"/>
              <w:right w:w="15" w:type="dxa"/>
            </w:tcMar>
            <w:vAlign w:val="bottom"/>
            <w:hideMark/>
          </w:tcPr>
          <w:p w14:paraId="43A7BB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4CE95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62" w:type="dxa"/>
            <w:shd w:val="clear" w:color="auto" w:fill="CFF0FC"/>
            <w:noWrap/>
            <w:tcMar>
              <w:top w:w="15" w:type="dxa"/>
              <w:left w:w="0" w:type="dxa"/>
              <w:bottom w:w="0" w:type="dxa"/>
              <w:right w:w="15" w:type="dxa"/>
            </w:tcMar>
            <w:vAlign w:val="bottom"/>
            <w:hideMark/>
          </w:tcPr>
          <w:p w14:paraId="543E93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w:t>
            </w:r>
          </w:p>
        </w:tc>
        <w:tc>
          <w:tcPr>
            <w:tcW w:w="191" w:type="dxa"/>
            <w:shd w:val="clear" w:color="auto" w:fill="CFF0FC"/>
            <w:noWrap/>
            <w:tcMar>
              <w:top w:w="15" w:type="dxa"/>
              <w:left w:w="0" w:type="dxa"/>
              <w:bottom w:w="0" w:type="dxa"/>
              <w:right w:w="15" w:type="dxa"/>
            </w:tcMar>
            <w:vAlign w:val="bottom"/>
            <w:hideMark/>
          </w:tcPr>
          <w:p w14:paraId="7FA8BF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3" w:type="dxa"/>
            <w:shd w:val="clear" w:color="auto" w:fill="CFF0FC"/>
            <w:tcMar>
              <w:top w:w="15" w:type="dxa"/>
              <w:left w:w="0" w:type="dxa"/>
              <w:bottom w:w="0" w:type="dxa"/>
              <w:right w:w="15" w:type="dxa"/>
            </w:tcMar>
            <w:vAlign w:val="bottom"/>
            <w:hideMark/>
          </w:tcPr>
          <w:p w14:paraId="07C7E5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AAFA8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6" w:type="dxa"/>
            <w:shd w:val="clear" w:color="auto" w:fill="CFF0FC"/>
            <w:noWrap/>
            <w:tcMar>
              <w:top w:w="15" w:type="dxa"/>
              <w:left w:w="0" w:type="dxa"/>
              <w:bottom w:w="0" w:type="dxa"/>
              <w:right w:w="15" w:type="dxa"/>
            </w:tcMar>
            <w:vAlign w:val="bottom"/>
            <w:hideMark/>
          </w:tcPr>
          <w:p w14:paraId="5FCF81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3" w:type="dxa"/>
            <w:shd w:val="clear" w:color="auto" w:fill="CFF0FC"/>
            <w:noWrap/>
            <w:tcMar>
              <w:top w:w="15" w:type="dxa"/>
              <w:left w:w="0" w:type="dxa"/>
              <w:bottom w:w="0" w:type="dxa"/>
              <w:right w:w="15" w:type="dxa"/>
            </w:tcMar>
            <w:vAlign w:val="bottom"/>
            <w:hideMark/>
          </w:tcPr>
          <w:p w14:paraId="369F1FE4"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701605C9" w14:textId="77777777" w:rsidR="00AC4931" w:rsidRPr="00AC4931" w:rsidRDefault="00AC4931" w:rsidP="00AC4931">
      <w:pPr>
        <w:widowControl/>
        <w:rPr>
          <w:rFonts w:ascii="微软雅黑" w:eastAsia="微软雅黑" w:hAnsi="微软雅黑" w:cs="宋体"/>
          <w:b/>
          <w:bCs/>
          <w:color w:val="000000"/>
          <w:kern w:val="0"/>
          <w:sz w:val="24"/>
          <w:szCs w:val="24"/>
        </w:rPr>
      </w:pPr>
      <w:r w:rsidRPr="00AC4931">
        <w:rPr>
          <w:rFonts w:ascii="微软雅黑" w:eastAsia="微软雅黑" w:hAnsi="微软雅黑" w:cs="宋体" w:hint="eastAsia"/>
          <w:b/>
          <w:bCs/>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7860EE54" w14:textId="77777777" w:rsidTr="00AC4931">
        <w:tc>
          <w:tcPr>
            <w:tcW w:w="919" w:type="dxa"/>
            <w:noWrap/>
            <w:hideMark/>
          </w:tcPr>
          <w:p w14:paraId="17E8F1CC"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5E90E9A9"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The tax is calculated based on the tax laws in the respective jurisdiction(s) of the adjustment(s).</w:t>
            </w:r>
          </w:p>
        </w:tc>
      </w:tr>
      <w:tr w:rsidR="00AC4931" w:rsidRPr="00AC4931" w14:paraId="409092AE" w14:textId="77777777" w:rsidTr="00AC4931">
        <w:tc>
          <w:tcPr>
            <w:tcW w:w="919" w:type="dxa"/>
            <w:noWrap/>
            <w:hideMark/>
          </w:tcPr>
          <w:p w14:paraId="39A408F9"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w:t>
            </w:r>
          </w:p>
        </w:tc>
        <w:tc>
          <w:tcPr>
            <w:tcW w:w="0" w:type="auto"/>
            <w:hideMark/>
          </w:tcPr>
          <w:p w14:paraId="64F9070E"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Annualized average number of outstanding shares.</w:t>
            </w:r>
          </w:p>
        </w:tc>
      </w:tr>
    </w:tbl>
    <w:p w14:paraId="0557FAF3" w14:textId="77777777" w:rsidR="00AC4931" w:rsidRPr="00AC4931" w:rsidRDefault="00AC4931" w:rsidP="00AC4931">
      <w:pPr>
        <w:widowControl/>
        <w:rPr>
          <w:rFonts w:ascii="微软雅黑" w:eastAsia="微软雅黑" w:hAnsi="微软雅黑" w:cs="宋体"/>
          <w:color w:val="000000"/>
          <w:kern w:val="0"/>
          <w:sz w:val="16"/>
          <w:szCs w:val="16"/>
        </w:rPr>
      </w:pPr>
      <w:r w:rsidRPr="00AC4931">
        <w:rPr>
          <w:rFonts w:ascii="微软雅黑" w:eastAsia="微软雅黑" w:hAnsi="微软雅黑" w:cs="宋体" w:hint="eastAsia"/>
          <w:color w:val="000000"/>
          <w:kern w:val="0"/>
          <w:sz w:val="16"/>
          <w:szCs w:val="16"/>
        </w:rPr>
        <w:t> </w:t>
      </w:r>
    </w:p>
    <w:p w14:paraId="1B42F8AC" w14:textId="77777777" w:rsidR="00AC4931" w:rsidRPr="00AC4931" w:rsidRDefault="00AC4931" w:rsidP="00AC4931">
      <w:pPr>
        <w:widowControl/>
        <w:rPr>
          <w:rFonts w:ascii="微软雅黑" w:eastAsia="微软雅黑" w:hAnsi="微软雅黑" w:cs="宋体" w:hint="eastAsia"/>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734AA164" w14:textId="77777777" w:rsidR="00AC4931" w:rsidRPr="00AC4931" w:rsidRDefault="00AC4931" w:rsidP="00AC4931">
      <w:pPr>
        <w:widowControl/>
        <w:rPr>
          <w:rFonts w:ascii="微软雅黑" w:eastAsia="微软雅黑" w:hAnsi="微软雅黑" w:cs="宋体" w:hint="eastAsia"/>
          <w:color w:val="000000"/>
          <w:kern w:val="0"/>
          <w:sz w:val="18"/>
          <w:szCs w:val="18"/>
        </w:rPr>
      </w:pPr>
      <w:r w:rsidRPr="00AC4931">
        <w:rPr>
          <w:rFonts w:ascii="微软雅黑" w:eastAsia="微软雅黑" w:hAnsi="微软雅黑" w:cs="宋体" w:hint="eastAsia"/>
          <w:color w:val="000000"/>
          <w:kern w:val="0"/>
          <w:sz w:val="18"/>
          <w:szCs w:val="18"/>
        </w:rPr>
        <w:t> </w:t>
      </w:r>
    </w:p>
    <w:p w14:paraId="111E8167" w14:textId="77777777" w:rsidR="00AC4931" w:rsidRPr="00AC4931" w:rsidRDefault="00AC4931" w:rsidP="00AC4931">
      <w:pPr>
        <w:widowControl/>
        <w:ind w:left="919" w:hanging="546"/>
        <w:rPr>
          <w:rFonts w:ascii="微软雅黑" w:eastAsia="微软雅黑" w:hAnsi="微软雅黑" w:cs="宋体" w:hint="eastAsia"/>
          <w:color w:val="000000"/>
          <w:kern w:val="0"/>
          <w:sz w:val="16"/>
          <w:szCs w:val="16"/>
        </w:rPr>
      </w:pPr>
      <w:r w:rsidRPr="00AC4931">
        <w:rPr>
          <w:rFonts w:ascii="微软雅黑" w:eastAsia="微软雅黑" w:hAnsi="微软雅黑" w:cs="宋体" w:hint="eastAsia"/>
          <w:color w:val="000000"/>
          <w:kern w:val="0"/>
          <w:sz w:val="16"/>
          <w:szCs w:val="16"/>
        </w:rPr>
        <w:t> </w:t>
      </w:r>
    </w:p>
    <w:p w14:paraId="5A56FA7F"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37</w:t>
      </w:r>
    </w:p>
    <w:p w14:paraId="55D4CF2C"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01CC08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A13947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C33C916"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74737A5">
          <v:rect id="_x0000_i1064" style="width:0;height:1.5pt" o:hralign="center" o:hrstd="t" o:hrnoshade="t" o:hr="t" fillcolor="black" stroked="f"/>
        </w:pict>
      </w:r>
    </w:p>
    <w:p w14:paraId="19B636B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E5F0AA2"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F27F37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AB41DEE"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4AED1D69" w14:textId="77777777" w:rsidR="00AC4931" w:rsidRPr="00AC4931" w:rsidRDefault="00AC4931" w:rsidP="00AC4931">
      <w:pPr>
        <w:widowControl/>
        <w:rPr>
          <w:rFonts w:ascii="Arial" w:eastAsia="宋体" w:hAnsi="Arial" w:cs="Arial"/>
          <w:b/>
          <w:bCs/>
          <w:color w:val="000000"/>
          <w:kern w:val="0"/>
          <w:sz w:val="22"/>
        </w:rPr>
      </w:pPr>
      <w:r w:rsidRPr="00AC4931">
        <w:rPr>
          <w:rFonts w:ascii="Arial" w:eastAsia="宋体" w:hAnsi="Arial" w:cs="Arial"/>
          <w:b/>
          <w:bCs/>
          <w:color w:val="000000"/>
          <w:kern w:val="0"/>
          <w:sz w:val="22"/>
        </w:rPr>
        <w:t>Liquidity, Capital Resources and Financial Position</w:t>
      </w:r>
    </w:p>
    <w:p w14:paraId="058E18D8"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3815"/>
        <w:gridCol w:w="319"/>
        <w:gridCol w:w="199"/>
        <w:gridCol w:w="2660"/>
        <w:gridCol w:w="199"/>
        <w:gridCol w:w="319"/>
        <w:gridCol w:w="199"/>
        <w:gridCol w:w="2704"/>
        <w:gridCol w:w="200"/>
      </w:tblGrid>
      <w:tr w:rsidR="00AC4931" w:rsidRPr="00AC4931" w14:paraId="3B3645F9" w14:textId="77777777" w:rsidTr="00AC4931">
        <w:tc>
          <w:tcPr>
            <w:tcW w:w="13795" w:type="dxa"/>
            <w:shd w:val="clear" w:color="auto" w:fill="FFFFFF"/>
            <w:tcMar>
              <w:top w:w="15" w:type="dxa"/>
              <w:left w:w="0" w:type="dxa"/>
              <w:bottom w:w="0" w:type="dxa"/>
              <w:right w:w="15" w:type="dxa"/>
            </w:tcMar>
            <w:vAlign w:val="bottom"/>
            <w:hideMark/>
          </w:tcPr>
          <w:p w14:paraId="375BC5D3" w14:textId="77777777" w:rsidR="00AC4931" w:rsidRPr="00AC4931" w:rsidRDefault="00AC4931" w:rsidP="00AC4931">
            <w:pPr>
              <w:widowControl/>
              <w:jc w:val="center"/>
              <w:rPr>
                <w:rFonts w:ascii="Arial" w:eastAsia="宋体" w:hAnsi="Arial" w:cs="Arial" w:hint="eastAsia"/>
                <w:kern w:val="0"/>
                <w:sz w:val="20"/>
                <w:szCs w:val="20"/>
              </w:rPr>
            </w:pPr>
            <w:r w:rsidRPr="00AC4931">
              <w:rPr>
                <w:rFonts w:ascii="Arial" w:eastAsia="宋体" w:hAnsi="Arial" w:cs="Arial"/>
                <w:kern w:val="0"/>
                <w:sz w:val="20"/>
                <w:szCs w:val="20"/>
              </w:rPr>
              <w:t> </w:t>
            </w:r>
          </w:p>
        </w:tc>
        <w:tc>
          <w:tcPr>
            <w:tcW w:w="319" w:type="dxa"/>
            <w:shd w:val="clear" w:color="auto" w:fill="FFFFFF"/>
            <w:tcMar>
              <w:top w:w="15" w:type="dxa"/>
              <w:left w:w="0" w:type="dxa"/>
              <w:bottom w:w="0" w:type="dxa"/>
              <w:right w:w="15" w:type="dxa"/>
            </w:tcMar>
            <w:vAlign w:val="bottom"/>
            <w:hideMark/>
          </w:tcPr>
          <w:p w14:paraId="56C101B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6248" w:type="dxa"/>
            <w:gridSpan w:val="6"/>
            <w:tcBorders>
              <w:bottom w:val="single" w:sz="6" w:space="0" w:color="000000"/>
            </w:tcBorders>
            <w:shd w:val="clear" w:color="auto" w:fill="FFFFFF"/>
            <w:tcMar>
              <w:top w:w="15" w:type="dxa"/>
              <w:left w:w="0" w:type="dxa"/>
              <w:bottom w:w="0" w:type="dxa"/>
              <w:right w:w="15" w:type="dxa"/>
            </w:tcMar>
            <w:vAlign w:val="bottom"/>
            <w:hideMark/>
          </w:tcPr>
          <w:p w14:paraId="456B05E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Years ended December 31</w:t>
            </w:r>
          </w:p>
        </w:tc>
        <w:tc>
          <w:tcPr>
            <w:tcW w:w="192" w:type="dxa"/>
            <w:shd w:val="clear" w:color="auto" w:fill="FFFFFF"/>
            <w:noWrap/>
            <w:tcMar>
              <w:top w:w="15" w:type="dxa"/>
              <w:left w:w="0" w:type="dxa"/>
              <w:bottom w:w="0" w:type="dxa"/>
              <w:right w:w="15" w:type="dxa"/>
            </w:tcMar>
            <w:vAlign w:val="bottom"/>
            <w:hideMark/>
          </w:tcPr>
          <w:p w14:paraId="35CE022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6B77AEF" w14:textId="77777777" w:rsidTr="00AC4931">
        <w:tc>
          <w:tcPr>
            <w:tcW w:w="13795" w:type="dxa"/>
            <w:shd w:val="clear" w:color="auto" w:fill="FFFFFF"/>
            <w:tcMar>
              <w:top w:w="15" w:type="dxa"/>
              <w:left w:w="0" w:type="dxa"/>
              <w:bottom w:w="0" w:type="dxa"/>
              <w:right w:w="15" w:type="dxa"/>
            </w:tcMar>
            <w:vAlign w:val="bottom"/>
            <w:hideMark/>
          </w:tcPr>
          <w:p w14:paraId="2C27423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(DOLLARS IN MILLIONS)</w:t>
            </w:r>
          </w:p>
        </w:tc>
        <w:tc>
          <w:tcPr>
            <w:tcW w:w="319" w:type="dxa"/>
            <w:shd w:val="clear" w:color="auto" w:fill="FFFFFF"/>
            <w:tcMar>
              <w:top w:w="15" w:type="dxa"/>
              <w:left w:w="0" w:type="dxa"/>
              <w:bottom w:w="0" w:type="dxa"/>
              <w:right w:w="15" w:type="dxa"/>
            </w:tcMar>
            <w:vAlign w:val="bottom"/>
            <w:hideMark/>
          </w:tcPr>
          <w:p w14:paraId="7923186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847"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6B457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785596D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9" w:type="dxa"/>
            <w:tcBorders>
              <w:top w:val="single" w:sz="6" w:space="0" w:color="000000"/>
            </w:tcBorders>
            <w:shd w:val="clear" w:color="auto" w:fill="FFFFFF"/>
            <w:tcMar>
              <w:top w:w="15" w:type="dxa"/>
              <w:left w:w="0" w:type="dxa"/>
              <w:bottom w:w="0" w:type="dxa"/>
              <w:right w:w="15" w:type="dxa"/>
            </w:tcMar>
            <w:vAlign w:val="bottom"/>
            <w:hideMark/>
          </w:tcPr>
          <w:p w14:paraId="0687919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847"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E81FA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2" w:type="dxa"/>
            <w:shd w:val="clear" w:color="auto" w:fill="FFFFFF"/>
            <w:noWrap/>
            <w:tcMar>
              <w:top w:w="15" w:type="dxa"/>
              <w:left w:w="0" w:type="dxa"/>
              <w:bottom w:w="0" w:type="dxa"/>
              <w:right w:w="15" w:type="dxa"/>
            </w:tcMar>
            <w:vAlign w:val="bottom"/>
            <w:hideMark/>
          </w:tcPr>
          <w:p w14:paraId="7912F11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366E4118" w14:textId="77777777" w:rsidTr="00AC4931">
        <w:tc>
          <w:tcPr>
            <w:tcW w:w="13795" w:type="dxa"/>
            <w:shd w:val="clear" w:color="auto" w:fill="CFF0FC"/>
            <w:tcMar>
              <w:top w:w="15" w:type="dxa"/>
              <w:left w:w="0" w:type="dxa"/>
              <w:bottom w:w="0" w:type="dxa"/>
              <w:right w:w="15" w:type="dxa"/>
            </w:tcMar>
            <w:hideMark/>
          </w:tcPr>
          <w:p w14:paraId="27F407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cash provided by operating activities</w:t>
            </w:r>
          </w:p>
        </w:tc>
        <w:tc>
          <w:tcPr>
            <w:tcW w:w="319" w:type="dxa"/>
            <w:shd w:val="clear" w:color="auto" w:fill="CFF0FC"/>
            <w:tcMar>
              <w:top w:w="15" w:type="dxa"/>
              <w:left w:w="0" w:type="dxa"/>
              <w:bottom w:w="0" w:type="dxa"/>
              <w:right w:w="15" w:type="dxa"/>
            </w:tcMar>
            <w:vAlign w:val="bottom"/>
            <w:hideMark/>
          </w:tcPr>
          <w:p w14:paraId="57D484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EEDD4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54F9B8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849</w:t>
            </w:r>
          </w:p>
        </w:tc>
        <w:tc>
          <w:tcPr>
            <w:tcW w:w="191" w:type="dxa"/>
            <w:shd w:val="clear" w:color="auto" w:fill="CFF0FC"/>
            <w:noWrap/>
            <w:tcMar>
              <w:top w:w="15" w:type="dxa"/>
              <w:left w:w="0" w:type="dxa"/>
              <w:bottom w:w="0" w:type="dxa"/>
              <w:right w:w="15" w:type="dxa"/>
            </w:tcMar>
            <w:vAlign w:val="bottom"/>
            <w:hideMark/>
          </w:tcPr>
          <w:p w14:paraId="0B28CF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37A7DE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E186B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49DCFC2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641</w:t>
            </w:r>
          </w:p>
        </w:tc>
        <w:tc>
          <w:tcPr>
            <w:tcW w:w="192" w:type="dxa"/>
            <w:shd w:val="clear" w:color="auto" w:fill="CFF0FC"/>
            <w:noWrap/>
            <w:tcMar>
              <w:top w:w="15" w:type="dxa"/>
              <w:left w:w="0" w:type="dxa"/>
              <w:bottom w:w="0" w:type="dxa"/>
              <w:right w:w="15" w:type="dxa"/>
            </w:tcMar>
            <w:vAlign w:val="bottom"/>
            <w:hideMark/>
          </w:tcPr>
          <w:p w14:paraId="3DC129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1169469" w14:textId="77777777" w:rsidTr="00AC4931">
        <w:tc>
          <w:tcPr>
            <w:tcW w:w="13795" w:type="dxa"/>
            <w:shd w:val="clear" w:color="auto" w:fill="FFFFFF"/>
            <w:tcMar>
              <w:top w:w="15" w:type="dxa"/>
              <w:left w:w="0" w:type="dxa"/>
              <w:bottom w:w="0" w:type="dxa"/>
              <w:right w:w="15" w:type="dxa"/>
            </w:tcMar>
            <w:hideMark/>
          </w:tcPr>
          <w:p w14:paraId="3EC40D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cash used in investing activities</w:t>
            </w:r>
          </w:p>
        </w:tc>
        <w:tc>
          <w:tcPr>
            <w:tcW w:w="319" w:type="dxa"/>
            <w:shd w:val="clear" w:color="auto" w:fill="FFFFFF"/>
            <w:tcMar>
              <w:top w:w="15" w:type="dxa"/>
              <w:left w:w="0" w:type="dxa"/>
              <w:bottom w:w="0" w:type="dxa"/>
              <w:right w:w="15" w:type="dxa"/>
            </w:tcMar>
            <w:vAlign w:val="bottom"/>
            <w:hideMark/>
          </w:tcPr>
          <w:p w14:paraId="024536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43EC2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41" w:type="dxa"/>
            <w:shd w:val="clear" w:color="auto" w:fill="FFFFFF"/>
            <w:noWrap/>
            <w:tcMar>
              <w:top w:w="15" w:type="dxa"/>
              <w:left w:w="0" w:type="dxa"/>
              <w:bottom w:w="0" w:type="dxa"/>
              <w:right w:w="15" w:type="dxa"/>
            </w:tcMar>
            <w:vAlign w:val="bottom"/>
            <w:hideMark/>
          </w:tcPr>
          <w:p w14:paraId="66AD7BB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(340</w:t>
            </w:r>
          </w:p>
        </w:tc>
        <w:tc>
          <w:tcPr>
            <w:tcW w:w="191" w:type="dxa"/>
            <w:shd w:val="clear" w:color="auto" w:fill="FFFFFF"/>
            <w:noWrap/>
            <w:tcMar>
              <w:top w:w="15" w:type="dxa"/>
              <w:left w:w="0" w:type="dxa"/>
              <w:bottom w:w="0" w:type="dxa"/>
              <w:right w:w="15" w:type="dxa"/>
            </w:tcMar>
            <w:vAlign w:val="bottom"/>
            <w:hideMark/>
          </w:tcPr>
          <w:p w14:paraId="287014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9" w:type="dxa"/>
            <w:shd w:val="clear" w:color="auto" w:fill="FFFFFF"/>
            <w:tcMar>
              <w:top w:w="15" w:type="dxa"/>
              <w:left w:w="0" w:type="dxa"/>
              <w:bottom w:w="0" w:type="dxa"/>
              <w:right w:w="15" w:type="dxa"/>
            </w:tcMar>
            <w:vAlign w:val="bottom"/>
            <w:hideMark/>
          </w:tcPr>
          <w:p w14:paraId="6EC087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B13B5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41" w:type="dxa"/>
            <w:shd w:val="clear" w:color="auto" w:fill="FFFFFF"/>
            <w:noWrap/>
            <w:tcMar>
              <w:top w:w="15" w:type="dxa"/>
              <w:left w:w="0" w:type="dxa"/>
              <w:bottom w:w="0" w:type="dxa"/>
              <w:right w:w="15" w:type="dxa"/>
            </w:tcMar>
            <w:vAlign w:val="bottom"/>
            <w:hideMark/>
          </w:tcPr>
          <w:p w14:paraId="6E1FD98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(476</w:t>
            </w:r>
          </w:p>
        </w:tc>
        <w:tc>
          <w:tcPr>
            <w:tcW w:w="192" w:type="dxa"/>
            <w:shd w:val="clear" w:color="auto" w:fill="FFFFFF"/>
            <w:noWrap/>
            <w:tcMar>
              <w:top w:w="15" w:type="dxa"/>
              <w:left w:w="0" w:type="dxa"/>
              <w:bottom w:w="0" w:type="dxa"/>
              <w:right w:w="15" w:type="dxa"/>
            </w:tcMar>
            <w:vAlign w:val="bottom"/>
            <w:hideMark/>
          </w:tcPr>
          <w:p w14:paraId="56E959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416481D" w14:textId="77777777" w:rsidTr="00AC4931">
        <w:tc>
          <w:tcPr>
            <w:tcW w:w="13795" w:type="dxa"/>
            <w:shd w:val="clear" w:color="auto" w:fill="CFF0FC"/>
            <w:tcMar>
              <w:top w:w="15" w:type="dxa"/>
              <w:left w:w="0" w:type="dxa"/>
              <w:bottom w:w="0" w:type="dxa"/>
              <w:right w:w="15" w:type="dxa"/>
            </w:tcMar>
            <w:hideMark/>
          </w:tcPr>
          <w:p w14:paraId="6A4866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cash provided by (used in) financing activities</w:t>
            </w:r>
          </w:p>
        </w:tc>
        <w:tc>
          <w:tcPr>
            <w:tcW w:w="319" w:type="dxa"/>
            <w:shd w:val="clear" w:color="auto" w:fill="CFF0FC"/>
            <w:tcMar>
              <w:top w:w="15" w:type="dxa"/>
              <w:left w:w="0" w:type="dxa"/>
              <w:bottom w:w="0" w:type="dxa"/>
              <w:right w:w="15" w:type="dxa"/>
            </w:tcMar>
            <w:vAlign w:val="bottom"/>
            <w:hideMark/>
          </w:tcPr>
          <w:p w14:paraId="7690F4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20553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41" w:type="dxa"/>
            <w:shd w:val="clear" w:color="auto" w:fill="CFF0FC"/>
            <w:noWrap/>
            <w:tcMar>
              <w:top w:w="15" w:type="dxa"/>
              <w:left w:w="0" w:type="dxa"/>
              <w:bottom w:w="0" w:type="dxa"/>
              <w:right w:w="15" w:type="dxa"/>
            </w:tcMar>
            <w:vAlign w:val="bottom"/>
            <w:hideMark/>
          </w:tcPr>
          <w:p w14:paraId="11602F6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160</w:t>
            </w:r>
          </w:p>
        </w:tc>
        <w:tc>
          <w:tcPr>
            <w:tcW w:w="191" w:type="dxa"/>
            <w:shd w:val="clear" w:color="auto" w:fill="CFF0FC"/>
            <w:noWrap/>
            <w:tcMar>
              <w:top w:w="15" w:type="dxa"/>
              <w:left w:w="0" w:type="dxa"/>
              <w:bottom w:w="0" w:type="dxa"/>
              <w:right w:w="15" w:type="dxa"/>
            </w:tcMar>
            <w:vAlign w:val="bottom"/>
            <w:hideMark/>
          </w:tcPr>
          <w:p w14:paraId="3206A8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4469F8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075EB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41" w:type="dxa"/>
            <w:shd w:val="clear" w:color="auto" w:fill="CFF0FC"/>
            <w:noWrap/>
            <w:tcMar>
              <w:top w:w="15" w:type="dxa"/>
              <w:left w:w="0" w:type="dxa"/>
              <w:bottom w:w="0" w:type="dxa"/>
              <w:right w:w="15" w:type="dxa"/>
            </w:tcMar>
            <w:vAlign w:val="bottom"/>
            <w:hideMark/>
          </w:tcPr>
          <w:p w14:paraId="36DE21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(338</w:t>
            </w:r>
          </w:p>
        </w:tc>
        <w:tc>
          <w:tcPr>
            <w:tcW w:w="192" w:type="dxa"/>
            <w:shd w:val="clear" w:color="auto" w:fill="CFF0FC"/>
            <w:noWrap/>
            <w:tcMar>
              <w:top w:w="15" w:type="dxa"/>
              <w:left w:w="0" w:type="dxa"/>
              <w:bottom w:w="0" w:type="dxa"/>
              <w:right w:w="15" w:type="dxa"/>
            </w:tcMar>
            <w:vAlign w:val="bottom"/>
            <w:hideMark/>
          </w:tcPr>
          <w:p w14:paraId="02ADE4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47268D2" w14:textId="77777777" w:rsidTr="00AC4931">
        <w:tc>
          <w:tcPr>
            <w:tcW w:w="13795" w:type="dxa"/>
            <w:shd w:val="clear" w:color="auto" w:fill="FFFFFF"/>
            <w:tcMar>
              <w:top w:w="15" w:type="dxa"/>
              <w:left w:w="0" w:type="dxa"/>
              <w:bottom w:w="0" w:type="dxa"/>
              <w:right w:w="15" w:type="dxa"/>
            </w:tcMar>
            <w:hideMark/>
          </w:tcPr>
          <w:p w14:paraId="45D977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Effect of exchange rate changes on cash and cash equivalents</w:t>
            </w:r>
          </w:p>
        </w:tc>
        <w:tc>
          <w:tcPr>
            <w:tcW w:w="319" w:type="dxa"/>
            <w:shd w:val="clear" w:color="auto" w:fill="FFFFFF"/>
            <w:tcMar>
              <w:top w:w="15" w:type="dxa"/>
              <w:left w:w="0" w:type="dxa"/>
              <w:bottom w:w="0" w:type="dxa"/>
              <w:right w:w="15" w:type="dxa"/>
            </w:tcMar>
            <w:vAlign w:val="bottom"/>
            <w:hideMark/>
          </w:tcPr>
          <w:p w14:paraId="42BFAB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E2D1A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41" w:type="dxa"/>
            <w:tcBorders>
              <w:bottom w:val="single" w:sz="6" w:space="0" w:color="000000"/>
            </w:tcBorders>
            <w:shd w:val="clear" w:color="auto" w:fill="FFFFFF"/>
            <w:noWrap/>
            <w:tcMar>
              <w:top w:w="15" w:type="dxa"/>
              <w:left w:w="0" w:type="dxa"/>
              <w:bottom w:w="0" w:type="dxa"/>
              <w:right w:w="15" w:type="dxa"/>
            </w:tcMar>
            <w:vAlign w:val="bottom"/>
            <w:hideMark/>
          </w:tcPr>
          <w:p w14:paraId="335C99F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w:t>
            </w:r>
          </w:p>
        </w:tc>
        <w:tc>
          <w:tcPr>
            <w:tcW w:w="191" w:type="dxa"/>
            <w:shd w:val="clear" w:color="auto" w:fill="FFFFFF"/>
            <w:noWrap/>
            <w:tcMar>
              <w:top w:w="15" w:type="dxa"/>
              <w:left w:w="0" w:type="dxa"/>
              <w:bottom w:w="0" w:type="dxa"/>
              <w:right w:w="15" w:type="dxa"/>
            </w:tcMar>
            <w:vAlign w:val="bottom"/>
            <w:hideMark/>
          </w:tcPr>
          <w:p w14:paraId="028BCA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47E005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83213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41" w:type="dxa"/>
            <w:tcBorders>
              <w:bottom w:val="single" w:sz="6" w:space="0" w:color="000000"/>
            </w:tcBorders>
            <w:shd w:val="clear" w:color="auto" w:fill="FFFFFF"/>
            <w:noWrap/>
            <w:tcMar>
              <w:top w:w="15" w:type="dxa"/>
              <w:left w:w="0" w:type="dxa"/>
              <w:bottom w:w="0" w:type="dxa"/>
              <w:right w:w="15" w:type="dxa"/>
            </w:tcMar>
            <w:vAlign w:val="bottom"/>
            <w:hideMark/>
          </w:tcPr>
          <w:p w14:paraId="341DCD1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w:t>
            </w:r>
          </w:p>
        </w:tc>
        <w:tc>
          <w:tcPr>
            <w:tcW w:w="192" w:type="dxa"/>
            <w:shd w:val="clear" w:color="auto" w:fill="FFFFFF"/>
            <w:noWrap/>
            <w:tcMar>
              <w:top w:w="15" w:type="dxa"/>
              <w:left w:w="0" w:type="dxa"/>
              <w:bottom w:w="0" w:type="dxa"/>
              <w:right w:w="15" w:type="dxa"/>
            </w:tcMar>
            <w:vAlign w:val="bottom"/>
            <w:hideMark/>
          </w:tcPr>
          <w:p w14:paraId="76520A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932289D" w14:textId="77777777" w:rsidTr="00AC4931">
        <w:tc>
          <w:tcPr>
            <w:tcW w:w="13795" w:type="dxa"/>
            <w:shd w:val="clear" w:color="auto" w:fill="CFF0FC"/>
            <w:tcMar>
              <w:top w:w="15" w:type="dxa"/>
              <w:left w:w="0" w:type="dxa"/>
              <w:bottom w:w="0" w:type="dxa"/>
              <w:right w:w="15" w:type="dxa"/>
            </w:tcMar>
            <w:hideMark/>
          </w:tcPr>
          <w:p w14:paraId="742C25D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Increase (decrease) in cash and cash equivalents</w:t>
            </w:r>
          </w:p>
        </w:tc>
        <w:tc>
          <w:tcPr>
            <w:tcW w:w="319" w:type="dxa"/>
            <w:shd w:val="clear" w:color="auto" w:fill="CFF0FC"/>
            <w:tcMar>
              <w:top w:w="15" w:type="dxa"/>
              <w:left w:w="0" w:type="dxa"/>
              <w:bottom w:w="0" w:type="dxa"/>
              <w:right w:w="15" w:type="dxa"/>
            </w:tcMar>
            <w:vAlign w:val="bottom"/>
            <w:hideMark/>
          </w:tcPr>
          <w:p w14:paraId="5CB3A17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246F4E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272D259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733</w:t>
            </w:r>
          </w:p>
        </w:tc>
        <w:tc>
          <w:tcPr>
            <w:tcW w:w="191" w:type="dxa"/>
            <w:shd w:val="clear" w:color="auto" w:fill="CFF0FC"/>
            <w:noWrap/>
            <w:tcMar>
              <w:top w:w="15" w:type="dxa"/>
              <w:left w:w="0" w:type="dxa"/>
              <w:bottom w:w="0" w:type="dxa"/>
              <w:right w:w="15" w:type="dxa"/>
            </w:tcMar>
            <w:vAlign w:val="bottom"/>
            <w:hideMark/>
          </w:tcPr>
          <w:p w14:paraId="0A08FC2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15BD871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2F5001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2C11075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(171</w:t>
            </w:r>
          </w:p>
        </w:tc>
        <w:tc>
          <w:tcPr>
            <w:tcW w:w="192" w:type="dxa"/>
            <w:shd w:val="clear" w:color="auto" w:fill="CFF0FC"/>
            <w:noWrap/>
            <w:tcMar>
              <w:top w:w="15" w:type="dxa"/>
              <w:left w:w="0" w:type="dxa"/>
              <w:bottom w:w="0" w:type="dxa"/>
              <w:right w:w="15" w:type="dxa"/>
            </w:tcMar>
            <w:vAlign w:val="bottom"/>
            <w:hideMark/>
          </w:tcPr>
          <w:p w14:paraId="245342B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2F0AC4C3" w14:textId="77777777" w:rsidTr="00AC4931">
        <w:tc>
          <w:tcPr>
            <w:tcW w:w="13795" w:type="dxa"/>
            <w:shd w:val="clear" w:color="auto" w:fill="FFFFFF"/>
            <w:tcMar>
              <w:top w:w="15" w:type="dxa"/>
              <w:left w:w="0" w:type="dxa"/>
              <w:bottom w:w="0" w:type="dxa"/>
              <w:right w:w="15" w:type="dxa"/>
            </w:tcMar>
            <w:hideMark/>
          </w:tcPr>
          <w:p w14:paraId="044CDE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Cash and cash equivalents at beginning of year</w:t>
            </w:r>
          </w:p>
        </w:tc>
        <w:tc>
          <w:tcPr>
            <w:tcW w:w="319" w:type="dxa"/>
            <w:shd w:val="clear" w:color="auto" w:fill="FFFFFF"/>
            <w:tcMar>
              <w:top w:w="15" w:type="dxa"/>
              <w:left w:w="0" w:type="dxa"/>
              <w:bottom w:w="0" w:type="dxa"/>
              <w:right w:w="15" w:type="dxa"/>
            </w:tcMar>
            <w:vAlign w:val="bottom"/>
            <w:hideMark/>
          </w:tcPr>
          <w:p w14:paraId="13F67D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23608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41" w:type="dxa"/>
            <w:tcBorders>
              <w:bottom w:val="single" w:sz="6" w:space="0" w:color="000000"/>
            </w:tcBorders>
            <w:shd w:val="clear" w:color="auto" w:fill="FFFFFF"/>
            <w:noWrap/>
            <w:tcMar>
              <w:top w:w="15" w:type="dxa"/>
              <w:left w:w="0" w:type="dxa"/>
              <w:bottom w:w="0" w:type="dxa"/>
              <w:right w:w="15" w:type="dxa"/>
            </w:tcMar>
            <w:vAlign w:val="bottom"/>
            <w:hideMark/>
          </w:tcPr>
          <w:p w14:paraId="1DE84B2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445</w:t>
            </w:r>
          </w:p>
        </w:tc>
        <w:tc>
          <w:tcPr>
            <w:tcW w:w="191" w:type="dxa"/>
            <w:shd w:val="clear" w:color="auto" w:fill="FFFFFF"/>
            <w:noWrap/>
            <w:tcMar>
              <w:top w:w="15" w:type="dxa"/>
              <w:left w:w="0" w:type="dxa"/>
              <w:bottom w:w="0" w:type="dxa"/>
              <w:right w:w="15" w:type="dxa"/>
            </w:tcMar>
            <w:vAlign w:val="bottom"/>
            <w:hideMark/>
          </w:tcPr>
          <w:p w14:paraId="739917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9" w:type="dxa"/>
            <w:shd w:val="clear" w:color="auto" w:fill="FFFFFF"/>
            <w:tcMar>
              <w:top w:w="15" w:type="dxa"/>
              <w:left w:w="0" w:type="dxa"/>
              <w:bottom w:w="0" w:type="dxa"/>
              <w:right w:w="15" w:type="dxa"/>
            </w:tcMar>
            <w:vAlign w:val="bottom"/>
            <w:hideMark/>
          </w:tcPr>
          <w:p w14:paraId="5320AF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7F604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41" w:type="dxa"/>
            <w:tcBorders>
              <w:bottom w:val="single" w:sz="6" w:space="0" w:color="000000"/>
            </w:tcBorders>
            <w:shd w:val="clear" w:color="auto" w:fill="FFFFFF"/>
            <w:noWrap/>
            <w:tcMar>
              <w:top w:w="15" w:type="dxa"/>
              <w:left w:w="0" w:type="dxa"/>
              <w:bottom w:w="0" w:type="dxa"/>
              <w:right w:w="15" w:type="dxa"/>
            </w:tcMar>
            <w:vAlign w:val="bottom"/>
            <w:hideMark/>
          </w:tcPr>
          <w:p w14:paraId="2408DCD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616</w:t>
            </w:r>
          </w:p>
        </w:tc>
        <w:tc>
          <w:tcPr>
            <w:tcW w:w="192" w:type="dxa"/>
            <w:shd w:val="clear" w:color="auto" w:fill="FFFFFF"/>
            <w:noWrap/>
            <w:tcMar>
              <w:top w:w="15" w:type="dxa"/>
              <w:left w:w="0" w:type="dxa"/>
              <w:bottom w:w="0" w:type="dxa"/>
              <w:right w:w="15" w:type="dxa"/>
            </w:tcMar>
            <w:vAlign w:val="bottom"/>
            <w:hideMark/>
          </w:tcPr>
          <w:p w14:paraId="030D44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E1C2CA5" w14:textId="77777777" w:rsidTr="00AC4931">
        <w:tc>
          <w:tcPr>
            <w:tcW w:w="13795" w:type="dxa"/>
            <w:shd w:val="clear" w:color="auto" w:fill="CFF0FC"/>
            <w:tcMar>
              <w:top w:w="15" w:type="dxa"/>
              <w:left w:w="0" w:type="dxa"/>
              <w:bottom w:w="0" w:type="dxa"/>
              <w:right w:w="15" w:type="dxa"/>
            </w:tcMar>
            <w:hideMark/>
          </w:tcPr>
          <w:p w14:paraId="4B2B3EE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Cash and cash equivalents at end of year</w:t>
            </w:r>
          </w:p>
        </w:tc>
        <w:tc>
          <w:tcPr>
            <w:tcW w:w="319" w:type="dxa"/>
            <w:shd w:val="clear" w:color="auto" w:fill="CFF0FC"/>
            <w:tcMar>
              <w:top w:w="15" w:type="dxa"/>
              <w:left w:w="0" w:type="dxa"/>
              <w:bottom w:w="0" w:type="dxa"/>
              <w:right w:w="15" w:type="dxa"/>
            </w:tcMar>
            <w:vAlign w:val="bottom"/>
            <w:hideMark/>
          </w:tcPr>
          <w:p w14:paraId="551877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6A6F52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6E17F45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1,178</w:t>
            </w:r>
          </w:p>
        </w:tc>
        <w:tc>
          <w:tcPr>
            <w:tcW w:w="191" w:type="dxa"/>
            <w:shd w:val="clear" w:color="auto" w:fill="CFF0FC"/>
            <w:noWrap/>
            <w:tcMar>
              <w:top w:w="15" w:type="dxa"/>
              <w:left w:w="0" w:type="dxa"/>
              <w:bottom w:w="0" w:type="dxa"/>
              <w:right w:w="15" w:type="dxa"/>
            </w:tcMar>
            <w:vAlign w:val="bottom"/>
            <w:hideMark/>
          </w:tcPr>
          <w:p w14:paraId="2805B4A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9" w:type="dxa"/>
            <w:shd w:val="clear" w:color="auto" w:fill="CFF0FC"/>
            <w:tcMar>
              <w:top w:w="15" w:type="dxa"/>
              <w:left w:w="0" w:type="dxa"/>
              <w:bottom w:w="0" w:type="dxa"/>
              <w:right w:w="15" w:type="dxa"/>
            </w:tcMar>
            <w:vAlign w:val="bottom"/>
            <w:hideMark/>
          </w:tcPr>
          <w:p w14:paraId="7DEF44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F1A3B3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0C5DAF0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445</w:t>
            </w:r>
          </w:p>
        </w:tc>
        <w:tc>
          <w:tcPr>
            <w:tcW w:w="192" w:type="dxa"/>
            <w:shd w:val="clear" w:color="auto" w:fill="CFF0FC"/>
            <w:noWrap/>
            <w:tcMar>
              <w:top w:w="15" w:type="dxa"/>
              <w:left w:w="0" w:type="dxa"/>
              <w:bottom w:w="0" w:type="dxa"/>
              <w:right w:w="15" w:type="dxa"/>
            </w:tcMar>
            <w:vAlign w:val="bottom"/>
            <w:hideMark/>
          </w:tcPr>
          <w:p w14:paraId="01106C6C"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49E9A5BC" w14:textId="77777777" w:rsidR="00AC4931" w:rsidRPr="00AC4931" w:rsidRDefault="00AC4931" w:rsidP="00AC4931">
      <w:pPr>
        <w:widowControl/>
        <w:spacing w:before="100"/>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238802FA" w14:textId="77777777" w:rsidR="00AC4931" w:rsidRPr="00AC4931" w:rsidRDefault="00AC4931" w:rsidP="00AC4931">
      <w:pPr>
        <w:widowControl/>
        <w:spacing w:before="10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NET CASH PROVIDED BY OPERATING ACTIVITIES</w:t>
      </w:r>
    </w:p>
    <w:p w14:paraId="33E6F6F4"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Cash flow from operations, together with available financial resources and credit facilities, are expected to be sufficient to fund the Company’s anticipated working capital requirements, capital expenditures and future dividend payments.</w:t>
      </w:r>
    </w:p>
    <w:p w14:paraId="3E9CC914"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Cash provided by operating activities was $849 million in 2020 compared to $641 million in 2019. The net increase compared to previous year was primarily due to the effects of COVID-19 resulting in increases to Accounts Payable and Accrued Expenses offset by the year over year increase in Receivables and other assets.</w:t>
      </w:r>
    </w:p>
    <w:p w14:paraId="1FDAE75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While management of cash and debt is important to the overall business, it is not part of the operational management’s day-to-day responsibilities. We therefore focus on operationally derived working capital (see section Non-U.S. GAAP Performance Measures) and have set a policy that the operating working capital should not exceed 10% of the last 12-month net sales.</w:t>
      </w:r>
    </w:p>
    <w:p w14:paraId="2BE9139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At December 31, 2020, operating working capital (see section Non-U.S. GAAP Performance Measures) amounted to $223 million corresponding to 3.0% of net sales compared to $565 million and 6.6%, respectively, at December 31, 2019.</w:t>
      </w:r>
    </w:p>
    <w:p w14:paraId="27A0BFA0"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Days receivables outstanding (see Glossary and Definitions for definition) were 86</w:t>
      </w:r>
      <w:r w:rsidRPr="00AC4931">
        <w:rPr>
          <w:rFonts w:ascii="Arial" w:eastAsia="宋体" w:hAnsi="Arial" w:cs="Arial"/>
          <w:color w:val="FF0000"/>
          <w:kern w:val="0"/>
          <w:sz w:val="18"/>
          <w:szCs w:val="18"/>
        </w:rPr>
        <w:t> </w:t>
      </w:r>
      <w:r w:rsidRPr="00AC4931">
        <w:rPr>
          <w:rFonts w:ascii="Arial" w:eastAsia="宋体" w:hAnsi="Arial" w:cs="Arial"/>
          <w:color w:val="000000"/>
          <w:kern w:val="0"/>
          <w:sz w:val="18"/>
          <w:szCs w:val="18"/>
        </w:rPr>
        <w:t>at December 31, 2020, compared to 70 in 2019. Factoring agreements did not have any material effect on days receivables outstanding for 2020 or 2019.</w:t>
      </w:r>
    </w:p>
    <w:p w14:paraId="5CE4331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Days inventory outstanding (see Glossary and Definitions for definition) were 42</w:t>
      </w:r>
      <w:r w:rsidRPr="00AC4931">
        <w:rPr>
          <w:rFonts w:ascii="Arial" w:eastAsia="宋体" w:hAnsi="Arial" w:cs="Arial"/>
          <w:color w:val="FF0000"/>
          <w:kern w:val="0"/>
          <w:sz w:val="18"/>
          <w:szCs w:val="18"/>
        </w:rPr>
        <w:t> </w:t>
      </w:r>
      <w:r w:rsidRPr="00AC4931">
        <w:rPr>
          <w:rFonts w:ascii="Arial" w:eastAsia="宋体" w:hAnsi="Arial" w:cs="Arial"/>
          <w:color w:val="000000"/>
          <w:kern w:val="0"/>
          <w:sz w:val="18"/>
          <w:szCs w:val="18"/>
        </w:rPr>
        <w:t>at December 31, 2020, compared to 35 in 2019.</w:t>
      </w:r>
    </w:p>
    <w:p w14:paraId="3987FA21"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CASH USED IN INVESTING ACTIVITIES</w:t>
      </w:r>
    </w:p>
    <w:p w14:paraId="30938D7F"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 2020 and 2019 cash used in investing activities amounted to $340</w:t>
      </w:r>
      <w:r w:rsidRPr="00AC4931">
        <w:rPr>
          <w:rFonts w:ascii="Arial" w:eastAsia="宋体" w:hAnsi="Arial" w:cs="Arial"/>
          <w:color w:val="FF0000"/>
          <w:kern w:val="0"/>
          <w:sz w:val="18"/>
          <w:szCs w:val="18"/>
        </w:rPr>
        <w:t> </w:t>
      </w:r>
      <w:r w:rsidRPr="00AC4931">
        <w:rPr>
          <w:rFonts w:ascii="Arial" w:eastAsia="宋体" w:hAnsi="Arial" w:cs="Arial"/>
          <w:color w:val="000000"/>
          <w:kern w:val="0"/>
          <w:sz w:val="18"/>
          <w:szCs w:val="18"/>
        </w:rPr>
        <w:t>million and $476 million, respectively. Our investing activities primarily consists of investments in property, plant and equipment, net of cash.</w:t>
      </w:r>
    </w:p>
    <w:p w14:paraId="27A7FBE2"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CAPITAL EXPENDITURES</w:t>
      </w:r>
    </w:p>
    <w:p w14:paraId="7276D02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Cash generated by operating activities continued to sufficiently cover capital expenditures for property, plant and equipment.</w:t>
      </w:r>
    </w:p>
    <w:p w14:paraId="531CA48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Capital expenditures, net was $340 million in 2020 and $476 million in 2019. The reduction of close to 30% was a result of suspended or delayed investments. In relation to net sales, capital expenditures, net was 4.6% in 2020 and 5.6% in 2019.</w:t>
      </w:r>
    </w:p>
    <w:p w14:paraId="0CE10E7D"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Depreciation and amortization totaled $371 million in 2020 compared to $351 million in 2019.</w:t>
      </w:r>
    </w:p>
    <w:p w14:paraId="30F5886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During the years 2020 and 2019, a majority of our investments were for production capacity to support new product launches and automation projects for improved efficiency. Major investments were mainly made in Europe, North America, China and Japan.</w:t>
      </w:r>
    </w:p>
    <w:p w14:paraId="567EE40F" w14:textId="77777777" w:rsidR="00AC4931" w:rsidRPr="00AC4931" w:rsidRDefault="00AC4931" w:rsidP="00AC4931">
      <w:pPr>
        <w:widowControl/>
        <w:spacing w:before="16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In 2020, investments in Europe were mainly related to new product launches and capacity increases. In North America, the investments were mainly related to capacity expansions, as well as a new technical center. In China, investments were made to support revenue growth and to expand capacity and capabilities of textile production. In addition, we made large investments in Asia to increase manufacturing capacity to support new product launches, as well as a new facility in India to increase capacity to support demand.</w:t>
      </w:r>
    </w:p>
    <w:p w14:paraId="5CFFEAF7" w14:textId="77777777" w:rsidR="00AC4931" w:rsidRPr="00AC4931" w:rsidRDefault="00AC4931" w:rsidP="00AC4931">
      <w:pPr>
        <w:widowControl/>
        <w:spacing w:before="36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CASH PROVIDED BY (USED IN) FINANCING ACTIVITIES</w:t>
      </w:r>
    </w:p>
    <w:p w14:paraId="60E5E590"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Cash provided by (used in) financing activities amounted to $160 million and $(338) million for the years 2020 and 2019, respectively. In 2020 and 2019, the net issuance of debt amounted to $215 million and $(121) million, respectively.</w:t>
      </w:r>
    </w:p>
    <w:p w14:paraId="6EA4AB5D"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 2020, the Company paid dividends of $54 million in the first quarter and then suspended the dividends due to the COVID-19 pandemic for the remaining quarters. In 2019, the Company paid dividends of $217 million and made a $203 million payment relating to the EC antitrust investigation.</w:t>
      </w:r>
    </w:p>
    <w:p w14:paraId="3E4EF7C3" w14:textId="77777777" w:rsidR="00AC4931" w:rsidRPr="00AC4931" w:rsidRDefault="00AC4931" w:rsidP="00AC4931">
      <w:pPr>
        <w:widowControl/>
        <w:spacing w:before="120"/>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t> </w:t>
      </w:r>
    </w:p>
    <w:p w14:paraId="7683B9BF" w14:textId="77777777" w:rsidR="00AC4931" w:rsidRPr="00AC4931" w:rsidRDefault="00AC4931" w:rsidP="00AC4931">
      <w:pPr>
        <w:widowControl/>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p w14:paraId="3679C049" w14:textId="77777777" w:rsidR="00AC4931" w:rsidRPr="00AC4931" w:rsidRDefault="00AC4931" w:rsidP="00AC4931">
      <w:pPr>
        <w:widowControl/>
        <w:spacing w:before="1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INCOME TAXES</w:t>
      </w:r>
    </w:p>
    <w:p w14:paraId="77D2799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has reserves for taxes that may become payable in future periods as a result of tax audits. At any given time, the Company is undergoing tax audits covering multiple years in several tax jurisdictions. Ultimate outcomes are uncertain but could, in future periods,</w:t>
      </w:r>
    </w:p>
    <w:p w14:paraId="608EDA10"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38</w:t>
      </w:r>
    </w:p>
    <w:p w14:paraId="635073B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07561B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232A8E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C87B189"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22E9FA3">
          <v:rect id="_x0000_i1065" style="width:0;height:1.5pt" o:hralign="center" o:hrstd="t" o:hrnoshade="t" o:hr="t" fillcolor="black" stroked="f"/>
        </w:pict>
      </w:r>
    </w:p>
    <w:p w14:paraId="7CB2D75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3FD2210"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110B5D3"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91C3CCB" w14:textId="77777777" w:rsidR="00AC4931" w:rsidRPr="00AC4931" w:rsidRDefault="00AC4931" w:rsidP="00AC4931">
      <w:pPr>
        <w:widowControl/>
        <w:spacing w:before="12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have a significant impact on the Company’s cash flows. See discussions of income taxes under Significant Accounting Policies in this section, Note 2 and Note 6 to the Consolidated Financial Statements included herein.</w:t>
      </w:r>
    </w:p>
    <w:p w14:paraId="1B54E2C2"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228BE9FF"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PENSION ARRANGEMENTS</w:t>
      </w:r>
    </w:p>
    <w:p w14:paraId="6C9C93FB"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has defined benefit pension plans covering nearly half of the U.S. employees. In a prior year, the Company froze participation in the U.S. plans to exclude employees hired after December 31, 2003. Many of the Company’s non-U.S. employees are also covered by pension arrangements.</w:t>
      </w:r>
    </w:p>
    <w:p w14:paraId="4DE5F4C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At December 31, 2020, the Company’s pension liability (i.e. the actual funded status) for its U.S. and non-U.S. plans was $248 million compared to $240 million one year earlier. The plans had a net unamortized actuarial loss of $107 million recorded in Accumulated Other Comprehensive (Loss) Income in the </w:t>
      </w:r>
      <w:r w:rsidRPr="00AC4931">
        <w:rPr>
          <w:rFonts w:ascii="Arial" w:eastAsia="宋体" w:hAnsi="Arial" w:cs="Arial"/>
          <w:color w:val="000000"/>
          <w:kern w:val="0"/>
          <w:sz w:val="18"/>
          <w:szCs w:val="18"/>
        </w:rPr>
        <w:lastRenderedPageBreak/>
        <w:t>Consolidated Statement of Equity at December 31, 2020, compared to $115 million at December 31, 2019. The decrease in the actuarial loss was mainly due to a decrease in the discount rate for the U.S. plans. The amortization of this loss is expected to be $4 million in 2021.</w:t>
      </w:r>
    </w:p>
    <w:p w14:paraId="09ED369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liability increase in 2020 of $8 million was mainly due to the decrease in discount rates, partly offset by plan settlement in US.</w:t>
      </w:r>
      <w:r w:rsidRPr="00AC4931">
        <w:rPr>
          <w:rFonts w:ascii="Calibri" w:eastAsia="宋体" w:hAnsi="Calibri" w:cs="Calibri"/>
          <w:color w:val="000000"/>
          <w:kern w:val="0"/>
          <w:sz w:val="20"/>
          <w:szCs w:val="20"/>
        </w:rPr>
        <w:t> </w:t>
      </w:r>
      <w:r w:rsidRPr="00AC4931">
        <w:rPr>
          <w:rFonts w:ascii="Arial" w:eastAsia="宋体" w:hAnsi="Arial" w:cs="Arial"/>
          <w:color w:val="000000"/>
          <w:kern w:val="0"/>
          <w:sz w:val="18"/>
          <w:szCs w:val="18"/>
        </w:rPr>
        <w:t>The liability increase in 2019 of $42 million was mainly due to the decrease in discount rates.</w:t>
      </w:r>
    </w:p>
    <w:p w14:paraId="6C54EC3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Pension expense associated with the defined benefit plans was $33 million in 2020 and $27 million in 2019, and is expected to be $20 million in 2021. The $6 million increase in 2020 pension expense was mainly due to plan settlement in US. The increase in pension expense in 2019 of $7 million was mainly due to a prior year decrease in discount rates.</w:t>
      </w:r>
    </w:p>
    <w:p w14:paraId="10F6E941"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contributed $26 million to its defined benefit plans in 2020 and $17 million in 2019. The Company expects to contribute $21 million to these plans in 2021 and is currently projecting a yearly funding at approximately the same level in the subsequent years.</w:t>
      </w:r>
    </w:p>
    <w:p w14:paraId="6B5F0C0C"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For further information about retirement plans see Note 19 to the Consolidated Financial Statements included herein.</w:t>
      </w:r>
    </w:p>
    <w:p w14:paraId="385E135C"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SHAREHOLDER RETURNS</w:t>
      </w:r>
    </w:p>
    <w:p w14:paraId="0C197296"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Total cash dividends paid were $54 million in 2020 and $217 million in 2019. The Company cancelled its dividends from the second quarter 2020 due to the COVID-19 pandemic. The Board of Directors has declared no dividend for both the first and second quarter of 2021.</w:t>
      </w:r>
    </w:p>
    <w:p w14:paraId="474DA6E1"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EQUITY</w:t>
      </w:r>
    </w:p>
    <w:p w14:paraId="0907DD0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During 2020, total equity increased by $301 million to $2,423 million. This was mainly due to $188 million in net income and $97 million from positive foreign exchange effects.</w:t>
      </w:r>
    </w:p>
    <w:p w14:paraId="0DB746D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During 2019, total equity increased by $226 million to $2,122 million. This was mainly due to a net income of $463 million, partly offset by $217 million for dividends to shareholders.</w:t>
      </w:r>
    </w:p>
    <w:p w14:paraId="4B254BCB"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0D99298" w14:textId="77777777" w:rsidR="00AC4931" w:rsidRPr="00AC4931" w:rsidRDefault="00AC4931" w:rsidP="00AC4931">
      <w:pPr>
        <w:widowControl/>
        <w:shd w:val="clear" w:color="auto" w:fill="FFFFFF"/>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IMPACT OF INFLATION AND RAW MATERIAL PRICES</w:t>
      </w:r>
    </w:p>
    <w:p w14:paraId="65D9C7FA"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Inflation has generally not had a significant impact on the Company’s financial position or results of operations. In many growth markets, inflation is relatively high, especially labor inflation. We have managed to offset this negative effect mainly by labor productivity improvements. We are continuously looking at efficiency improvements, however no assurance can be given that this will continue to be possible going forward.</w:t>
      </w:r>
    </w:p>
    <w:p w14:paraId="6ED9BE46"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The Company has experienced tailwind from raw material prices in 2020. COVID-19 caused raw material market prices to decrease in first half of 2020, followed by a surge in prices in the second half of 2020. This surge was connected to the ramp-up in the automotive industry during the second half of 2020. Due to the nature of Autoliv’s raw material contracts with certain suppliers, this results in a time lag for raw </w:t>
      </w:r>
      <w:r w:rsidRPr="00AC4931">
        <w:rPr>
          <w:rFonts w:ascii="Arial" w:eastAsia="宋体" w:hAnsi="Arial" w:cs="Arial"/>
          <w:color w:val="000000"/>
          <w:kern w:val="0"/>
          <w:sz w:val="18"/>
          <w:szCs w:val="18"/>
        </w:rPr>
        <w:lastRenderedPageBreak/>
        <w:t>material price impacts for certain raw materials. Therefore, Autoliv has not yet experienced the full impact of the raw material price increases that began in the second half of 2020.</w:t>
      </w:r>
    </w:p>
    <w:p w14:paraId="32657852"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PERSONNEL</w:t>
      </w:r>
    </w:p>
    <w:p w14:paraId="79C5A30C"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Total headcount (permanent employees and temporary personnel) has risen by 4.6% from the beginning of 2019 to 68,200 at the end of 2020. This reflects the strong order intake we have recognized in past years, which drive the need for additional manufacturing.</w:t>
      </w:r>
    </w:p>
    <w:p w14:paraId="2E0D0B9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During 2020, headcount increased by 3,000 people, compared to the 1,500 decrease during 2019. During 2020, indirect headcount decreased by 800 people or 4.5%, mostly related to the structural efficiency programs.  </w:t>
      </w:r>
    </w:p>
    <w:p w14:paraId="45820F4C"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At the end of 2020, 82% of total headcount was in Best Cost Country compared to 81% at the end of 2019. Furthermore, 74% of total headcount at December 31, 2020 was direct workers in manufacturing compared to 71% at the end of 2019, while 11% of total headcount at December 31, 2020 were temporary employees, compared to 10% at the end of 2019.</w:t>
      </w:r>
    </w:p>
    <w:p w14:paraId="2991AAFB"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39</w:t>
      </w:r>
    </w:p>
    <w:p w14:paraId="545926E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B35CC2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9E5A70B"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A4637B9"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1AF233B">
          <v:rect id="_x0000_i1066" style="width:0;height:1.5pt" o:hralign="center" o:hrstd="t" o:hrnoshade="t" o:hr="t" fillcolor="black" stroked="f"/>
        </w:pict>
      </w:r>
    </w:p>
    <w:p w14:paraId="52D48F2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F855217"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8AB24A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8AA14E0" w14:textId="77777777" w:rsidR="00AC4931" w:rsidRPr="00AC4931" w:rsidRDefault="00AC4931" w:rsidP="00AC4931">
      <w:pPr>
        <w:widowControl/>
        <w:spacing w:before="24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Compensation to directors and executive officers is reported, as is customary for U.S. public companies, in Autoliv’s proxy statement, which will be available to shareholders in March 2021.</w:t>
      </w:r>
    </w:p>
    <w:p w14:paraId="0FEFB91C" w14:textId="77777777" w:rsidR="00AC4931" w:rsidRPr="00AC4931" w:rsidRDefault="00AC4931" w:rsidP="00AC4931">
      <w:pPr>
        <w:widowControl/>
        <w:spacing w:before="340"/>
        <w:rPr>
          <w:rFonts w:ascii="Arial" w:eastAsia="宋体" w:hAnsi="Arial" w:cs="Arial"/>
          <w:b/>
          <w:bCs/>
          <w:color w:val="000000"/>
          <w:kern w:val="0"/>
          <w:sz w:val="22"/>
        </w:rPr>
      </w:pPr>
      <w:r w:rsidRPr="00AC4931">
        <w:rPr>
          <w:rFonts w:ascii="Arial" w:eastAsia="宋体" w:hAnsi="Arial" w:cs="Arial"/>
          <w:b/>
          <w:bCs/>
          <w:color w:val="000000"/>
          <w:kern w:val="0"/>
          <w:sz w:val="22"/>
        </w:rPr>
        <w:t>Treasury Activities</w:t>
      </w:r>
    </w:p>
    <w:p w14:paraId="7A9D1194" w14:textId="77777777" w:rsidR="00AC4931" w:rsidRPr="00AC4931" w:rsidRDefault="00AC4931" w:rsidP="00AC4931">
      <w:pPr>
        <w:widowControl/>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p w14:paraId="76B8539F" w14:textId="77777777" w:rsidR="00AC4931" w:rsidRPr="00AC4931" w:rsidRDefault="00AC4931" w:rsidP="00AC4931">
      <w:pPr>
        <w:widowControl/>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CREDIT ARRANGEMENTS</w:t>
      </w:r>
    </w:p>
    <w:p w14:paraId="186CFA84" w14:textId="77777777" w:rsidR="00AC4931" w:rsidRPr="00AC4931" w:rsidRDefault="00AC4931" w:rsidP="00AC4931">
      <w:pPr>
        <w:widowControl/>
        <w:spacing w:before="240" w:after="200"/>
        <w:rPr>
          <w:rFonts w:ascii="Arial" w:eastAsia="宋体" w:hAnsi="Arial" w:cs="Arial"/>
          <w:color w:val="000000"/>
          <w:kern w:val="0"/>
          <w:sz w:val="18"/>
          <w:szCs w:val="18"/>
        </w:rPr>
      </w:pPr>
      <w:r w:rsidRPr="00AC4931">
        <w:rPr>
          <w:rFonts w:ascii="Arial" w:eastAsia="宋体" w:hAnsi="Arial" w:cs="Arial"/>
          <w:color w:val="000000"/>
          <w:kern w:val="0"/>
          <w:sz w:val="18"/>
          <w:szCs w:val="18"/>
        </w:rPr>
        <w:t>In December 2020, the Company repaid the €100 million of 18-month floating rate notes under its EMTN program. It was originally issued in June 2019 and carried a coupon of 3M Euribor +0.50%.                                 </w:t>
      </w:r>
    </w:p>
    <w:p w14:paraId="27D36841" w14:textId="77777777" w:rsidR="00AC4931" w:rsidRPr="00AC4931" w:rsidRDefault="00AC4931" w:rsidP="00AC4931">
      <w:pPr>
        <w:widowControl/>
        <w:spacing w:before="240" w:after="200"/>
        <w:rPr>
          <w:rFonts w:ascii="Arial" w:eastAsia="宋体" w:hAnsi="Arial" w:cs="Arial"/>
          <w:color w:val="000000"/>
          <w:kern w:val="0"/>
          <w:sz w:val="18"/>
          <w:szCs w:val="18"/>
        </w:rPr>
      </w:pPr>
      <w:r w:rsidRPr="00AC4931">
        <w:rPr>
          <w:rFonts w:ascii="Arial" w:eastAsia="宋体" w:hAnsi="Arial" w:cs="Arial"/>
          <w:color w:val="000000"/>
          <w:kern w:val="0"/>
          <w:sz w:val="18"/>
          <w:szCs w:val="18"/>
        </w:rPr>
        <w:t>In June 2020, the Company repaid its 3-year loan from Swedish Export Credit Corporation of SEK 1,200 million in advance which carried a floating interest rate of 3M STIBOR +0.54%. At the same time, the Company utilized its new SEK 6,000 million facility with Swedish Export Credit Corporation which was signed in May 2020. The SEK 6,000 million facility was utilized in two different loans. One SEK 3,000 million loan maturing in 2022 carrying a floating interest rate of 3M STIBOR +1,35% and one SEK 3,000 million loan maturing in 2025 carrying a floating interest rate of 3M STIBOR +1,85%.    </w:t>
      </w:r>
    </w:p>
    <w:p w14:paraId="74535855" w14:textId="77777777" w:rsidR="00AC4931" w:rsidRPr="00AC4931" w:rsidRDefault="00AC4931" w:rsidP="00AC4931">
      <w:pPr>
        <w:widowControl/>
        <w:spacing w:before="240" w:after="20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In June 2018, the Company priced and issued 5-year notes for a total of €500 million in the Eurobond market. The notes carry a coupon of 0.75%.</w:t>
      </w:r>
    </w:p>
    <w:p w14:paraId="3C70A319" w14:textId="77777777" w:rsidR="00AC4931" w:rsidRPr="00AC4931" w:rsidRDefault="00AC4931" w:rsidP="00AC4931">
      <w:pPr>
        <w:widowControl/>
        <w:spacing w:before="240" w:after="200"/>
        <w:rPr>
          <w:rFonts w:ascii="Arial" w:eastAsia="宋体" w:hAnsi="Arial" w:cs="Arial"/>
          <w:color w:val="000000"/>
          <w:kern w:val="0"/>
          <w:sz w:val="18"/>
          <w:szCs w:val="18"/>
        </w:rPr>
      </w:pPr>
      <w:r w:rsidRPr="00AC4931">
        <w:rPr>
          <w:rFonts w:ascii="Arial" w:eastAsia="宋体" w:hAnsi="Arial" w:cs="Arial"/>
          <w:color w:val="000000"/>
          <w:kern w:val="0"/>
          <w:sz w:val="18"/>
          <w:szCs w:val="18"/>
        </w:rPr>
        <w:t>In July 2016, the Company refinanced its existing revolving credit facility (RCF) of $1,100 million. The facility, syndicated among 14 banks, originally maturing in July 2021 with two extension options, each for an additional year. The extension options have been used by the Company and the maturity date for the facility has been extended to July 2023. The Company pays a commitment fee on the undrawn amount of 0.1%, representing 35% of the applicable margin, which is 0.375% (given the Company’s rating of “BBB” from S&amp;P Global Ratings at May 28, 2020).</w:t>
      </w:r>
      <w:r w:rsidRPr="00AC4931">
        <w:rPr>
          <w:rFonts w:ascii="Arial" w:eastAsia="宋体" w:hAnsi="Arial" w:cs="Arial"/>
          <w:color w:val="FF0000"/>
          <w:kern w:val="0"/>
          <w:sz w:val="18"/>
          <w:szCs w:val="18"/>
        </w:rPr>
        <w:t> </w:t>
      </w:r>
      <w:r w:rsidRPr="00AC4931">
        <w:rPr>
          <w:rFonts w:ascii="Arial" w:eastAsia="宋体" w:hAnsi="Arial" w:cs="Arial"/>
          <w:color w:val="000000"/>
          <w:kern w:val="0"/>
          <w:sz w:val="18"/>
          <w:szCs w:val="18"/>
        </w:rPr>
        <w:t>Borrowings under the facility are unsecured and bear interest based on the relevant LIBOR or IBOR rate.</w:t>
      </w:r>
    </w:p>
    <w:p w14:paraId="482DD76A" w14:textId="77777777" w:rsidR="00AC4931" w:rsidRPr="00AC4931" w:rsidRDefault="00AC4931" w:rsidP="00AC4931">
      <w:pPr>
        <w:widowControl/>
        <w:spacing w:before="240" w:after="200"/>
        <w:rPr>
          <w:rFonts w:ascii="Arial" w:eastAsia="宋体" w:hAnsi="Arial" w:cs="Arial"/>
          <w:color w:val="000000"/>
          <w:kern w:val="0"/>
          <w:sz w:val="18"/>
          <w:szCs w:val="18"/>
        </w:rPr>
      </w:pPr>
      <w:r w:rsidRPr="00AC4931">
        <w:rPr>
          <w:rFonts w:ascii="Arial" w:eastAsia="宋体" w:hAnsi="Arial" w:cs="Arial"/>
          <w:color w:val="000000"/>
          <w:kern w:val="0"/>
          <w:sz w:val="18"/>
          <w:szCs w:val="18"/>
        </w:rPr>
        <w:t>At December 31, 2020, the Company’s unutilized long-term credit facilities were $1,100 million, represented by the RCF. This facility is not subject to any financial covenants nor is any other substantial financing of Autoliv. The Company had a net debt position (see section Non-U.S. GAAP Performance Measures) at December 31, 2020 and 2019 of $1,214 million and $1,650 million, respectively.</w:t>
      </w:r>
    </w:p>
    <w:p w14:paraId="21ADD57A" w14:textId="77777777" w:rsidR="00AC4931" w:rsidRPr="00AC4931" w:rsidRDefault="00AC4931" w:rsidP="00AC4931">
      <w:pPr>
        <w:widowControl/>
        <w:spacing w:before="240" w:after="200"/>
        <w:rPr>
          <w:rFonts w:ascii="Arial" w:eastAsia="宋体" w:hAnsi="Arial" w:cs="Arial"/>
          <w:color w:val="000000"/>
          <w:kern w:val="0"/>
          <w:sz w:val="18"/>
          <w:szCs w:val="18"/>
        </w:rPr>
      </w:pPr>
      <w:r w:rsidRPr="00AC4931">
        <w:rPr>
          <w:rFonts w:ascii="Arial" w:eastAsia="宋体" w:hAnsi="Arial" w:cs="Arial"/>
          <w:color w:val="000000"/>
          <w:kern w:val="0"/>
          <w:sz w:val="18"/>
          <w:szCs w:val="18"/>
        </w:rPr>
        <w:t>In 2014, the Company issued and sold long-term debt securities in a U.S. Private Placement pursuant to a Note Purchase and Guaranty Agreement dated April 23, 2014, by and among Autoliv ASP Inc., the Company and the purchasers listed therein. As of December 31, 2020, $1,042 million remains outstanding from the 2014 issuance. See Note 12 to the Consolidated Financial Statements included herein for additional information.</w:t>
      </w:r>
    </w:p>
    <w:p w14:paraId="24E3663D" w14:textId="77777777" w:rsidR="00AC4931" w:rsidRPr="00AC4931" w:rsidRDefault="00AC4931" w:rsidP="00AC4931">
      <w:pPr>
        <w:widowControl/>
        <w:spacing w:before="240" w:after="200"/>
        <w:rPr>
          <w:rFonts w:ascii="Arial" w:eastAsia="宋体" w:hAnsi="Arial" w:cs="Arial"/>
          <w:color w:val="000000"/>
          <w:kern w:val="0"/>
          <w:sz w:val="18"/>
          <w:szCs w:val="18"/>
        </w:rPr>
      </w:pPr>
      <w:r w:rsidRPr="00AC4931">
        <w:rPr>
          <w:rFonts w:ascii="Arial" w:eastAsia="宋体" w:hAnsi="Arial" w:cs="Arial"/>
          <w:color w:val="000000"/>
          <w:kern w:val="0"/>
          <w:sz w:val="18"/>
          <w:szCs w:val="18"/>
        </w:rPr>
        <w:t>During 2020 and 2019, the Company sold receivables and discounted notes related to selected customers. These factoring arrangements increase cash while reducing accounts receivable and customer risks. At December 31, 2020, the Company had received $161 million for sold receivables without recourse and discounted notes with a discount cost of $3 million during the year, compared to $163 million at December 31, 2019 with a discount cost of $3 million recorded in Other non-operating items, net.</w:t>
      </w:r>
    </w:p>
    <w:p w14:paraId="42D5FF7C" w14:textId="77777777" w:rsidR="00AC4931" w:rsidRPr="00AC4931" w:rsidRDefault="00AC4931" w:rsidP="00AC4931">
      <w:pPr>
        <w:widowControl/>
        <w:spacing w:before="240" w:after="200"/>
        <w:rPr>
          <w:rFonts w:ascii="Arial" w:eastAsia="宋体" w:hAnsi="Arial" w:cs="Arial"/>
          <w:color w:val="000000"/>
          <w:kern w:val="0"/>
          <w:sz w:val="18"/>
          <w:szCs w:val="18"/>
        </w:rPr>
      </w:pPr>
      <w:r w:rsidRPr="00AC4931">
        <w:rPr>
          <w:rFonts w:ascii="Arial" w:eastAsia="宋体" w:hAnsi="Arial" w:cs="Arial"/>
          <w:color w:val="000000"/>
          <w:kern w:val="0"/>
          <w:sz w:val="18"/>
          <w:szCs w:val="18"/>
        </w:rPr>
        <w:t>In May 2020,</w:t>
      </w:r>
      <w:r w:rsidRPr="00AC4931">
        <w:rPr>
          <w:rFonts w:ascii="Arial" w:eastAsia="宋体" w:hAnsi="Arial" w:cs="Arial"/>
          <w:color w:val="FF0000"/>
          <w:kern w:val="0"/>
          <w:sz w:val="18"/>
          <w:szCs w:val="18"/>
        </w:rPr>
        <w:t> </w:t>
      </w:r>
      <w:r w:rsidRPr="00AC4931">
        <w:rPr>
          <w:rFonts w:ascii="Arial" w:eastAsia="宋体" w:hAnsi="Arial" w:cs="Arial"/>
          <w:color w:val="000000"/>
          <w:kern w:val="0"/>
          <w:sz w:val="18"/>
          <w:szCs w:val="18"/>
        </w:rPr>
        <w:t>Autoliv’s long-term credit rating was downgraded from BBB+ to BBB by S&amp;P Global Ratings with stable outlook on the rating. The company aims to maintain a strong investment grade credit rating.</w:t>
      </w:r>
    </w:p>
    <w:p w14:paraId="26B72345"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NUMBER OF SHARES</w:t>
      </w:r>
    </w:p>
    <w:p w14:paraId="5AD0E52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At December 31, 2020, 87.4 million shares were outstanding (net of 15.4 million treasury shares), a 0.2% increase from 87.2 million one year earlier.</w:t>
      </w:r>
    </w:p>
    <w:p w14:paraId="1AF325BE"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number of shares outstanding is expected to increase by 0.5 million when all Restricted Stock Units (RSU) and Performance Shares (PSs) vest and if all stock options (SOs) to key employees are exercised, see Note 17 to the Consolidated Financial Statements included herein.</w:t>
      </w:r>
    </w:p>
    <w:p w14:paraId="7CFB9C12"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total, Autoliv has repurchased 44.5 million shares under its stock repurchase program between May 2000 and December 2020 for cash of $2,498 million, including commissions. The average cost per share for all repurchased shares to date is $56.13. Purchases can be made from time to time as market and business conditions warrant in open market, negotiated or block transactions. There is no expiration date for the repurchase program in order to provide management flexibility in the Company’s share repurchases. No stock repurchases were made in 2020.</w:t>
      </w:r>
    </w:p>
    <w:p w14:paraId="5B9F6BA1" w14:textId="77777777" w:rsidR="00AC4931" w:rsidRPr="00AC4931" w:rsidRDefault="00AC4931" w:rsidP="00AC4931">
      <w:pPr>
        <w:widowControl/>
        <w:spacing w:before="340"/>
        <w:rPr>
          <w:rFonts w:ascii="Arial" w:eastAsia="宋体" w:hAnsi="Arial" w:cs="Arial"/>
          <w:b/>
          <w:bCs/>
          <w:color w:val="000000"/>
          <w:kern w:val="0"/>
          <w:sz w:val="22"/>
        </w:rPr>
      </w:pPr>
      <w:r w:rsidRPr="00AC4931">
        <w:rPr>
          <w:rFonts w:ascii="Arial" w:eastAsia="宋体" w:hAnsi="Arial" w:cs="Arial"/>
          <w:b/>
          <w:bCs/>
          <w:color w:val="000000"/>
          <w:kern w:val="0"/>
          <w:sz w:val="22"/>
        </w:rPr>
        <w:lastRenderedPageBreak/>
        <w:t>Contractual Obligations and Commitments</w:t>
      </w:r>
    </w:p>
    <w:p w14:paraId="0DF0DA88"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960"/>
        <w:gridCol w:w="223"/>
        <w:gridCol w:w="199"/>
        <w:gridCol w:w="1224"/>
        <w:gridCol w:w="199"/>
        <w:gridCol w:w="224"/>
        <w:gridCol w:w="218"/>
        <w:gridCol w:w="1665"/>
        <w:gridCol w:w="199"/>
        <w:gridCol w:w="224"/>
        <w:gridCol w:w="199"/>
        <w:gridCol w:w="1302"/>
        <w:gridCol w:w="199"/>
        <w:gridCol w:w="224"/>
        <w:gridCol w:w="199"/>
        <w:gridCol w:w="1323"/>
        <w:gridCol w:w="199"/>
        <w:gridCol w:w="224"/>
        <w:gridCol w:w="222"/>
        <w:gridCol w:w="1988"/>
        <w:gridCol w:w="200"/>
      </w:tblGrid>
      <w:tr w:rsidR="00AC4931" w:rsidRPr="00AC4931" w14:paraId="24B1702A" w14:textId="77777777" w:rsidTr="00AC4931">
        <w:tc>
          <w:tcPr>
            <w:tcW w:w="9980" w:type="dxa"/>
            <w:shd w:val="clear" w:color="auto" w:fill="FFFFFF"/>
            <w:tcMar>
              <w:top w:w="15" w:type="dxa"/>
              <w:left w:w="0" w:type="dxa"/>
              <w:bottom w:w="0" w:type="dxa"/>
              <w:right w:w="15" w:type="dxa"/>
            </w:tcMar>
            <w:vAlign w:val="bottom"/>
            <w:hideMark/>
          </w:tcPr>
          <w:p w14:paraId="6BFC3B1E" w14:textId="77777777" w:rsidR="00AC4931" w:rsidRPr="00AC4931" w:rsidRDefault="00AC4931" w:rsidP="00AC4931">
            <w:pPr>
              <w:widowControl/>
              <w:jc w:val="left"/>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rPr>
              <w:t>AGGREGATE CONTRACTUAL OBLIGATIONS</w:t>
            </w:r>
            <w:r w:rsidRPr="00AC4931">
              <w:rPr>
                <w:rFonts w:ascii="Arial" w:eastAsia="宋体" w:hAnsi="Arial" w:cs="Arial"/>
                <w:b/>
                <w:bCs/>
                <w:color w:val="000000"/>
                <w:kern w:val="0"/>
                <w:sz w:val="18"/>
                <w:szCs w:val="18"/>
                <w:vertAlign w:val="superscript"/>
              </w:rPr>
              <w:t>1)</w:t>
            </w:r>
          </w:p>
        </w:tc>
        <w:tc>
          <w:tcPr>
            <w:tcW w:w="224" w:type="dxa"/>
            <w:shd w:val="clear" w:color="auto" w:fill="FFFFFF"/>
            <w:tcMar>
              <w:top w:w="15" w:type="dxa"/>
              <w:left w:w="0" w:type="dxa"/>
              <w:bottom w:w="0" w:type="dxa"/>
              <w:right w:w="15" w:type="dxa"/>
            </w:tcMar>
            <w:vAlign w:val="bottom"/>
            <w:hideMark/>
          </w:tcPr>
          <w:p w14:paraId="4674D21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0159" w:type="dxa"/>
            <w:gridSpan w:val="18"/>
            <w:tcBorders>
              <w:bottom w:val="single" w:sz="6" w:space="0" w:color="000000"/>
            </w:tcBorders>
            <w:shd w:val="clear" w:color="auto" w:fill="FFFFFF"/>
            <w:tcMar>
              <w:top w:w="15" w:type="dxa"/>
              <w:left w:w="0" w:type="dxa"/>
              <w:bottom w:w="0" w:type="dxa"/>
              <w:right w:w="15" w:type="dxa"/>
            </w:tcMar>
            <w:vAlign w:val="bottom"/>
            <w:hideMark/>
          </w:tcPr>
          <w:p w14:paraId="0AAC1D9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Payments due by Period</w:t>
            </w:r>
          </w:p>
        </w:tc>
        <w:tc>
          <w:tcPr>
            <w:tcW w:w="192" w:type="dxa"/>
            <w:shd w:val="clear" w:color="auto" w:fill="FFFFFF"/>
            <w:noWrap/>
            <w:tcMar>
              <w:top w:w="15" w:type="dxa"/>
              <w:left w:w="0" w:type="dxa"/>
              <w:bottom w:w="0" w:type="dxa"/>
              <w:right w:w="15" w:type="dxa"/>
            </w:tcMar>
            <w:vAlign w:val="bottom"/>
            <w:hideMark/>
          </w:tcPr>
          <w:p w14:paraId="07F6DE0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BE6915E" w14:textId="77777777" w:rsidTr="00AC4931">
        <w:tc>
          <w:tcPr>
            <w:tcW w:w="9980" w:type="dxa"/>
            <w:shd w:val="clear" w:color="auto" w:fill="FFFFFF"/>
            <w:tcMar>
              <w:top w:w="15" w:type="dxa"/>
              <w:left w:w="0" w:type="dxa"/>
              <w:bottom w:w="0" w:type="dxa"/>
              <w:right w:w="15" w:type="dxa"/>
            </w:tcMar>
            <w:vAlign w:val="bottom"/>
            <w:hideMark/>
          </w:tcPr>
          <w:p w14:paraId="4628D41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(DOLLARS IN MILLIONS)</w:t>
            </w:r>
          </w:p>
        </w:tc>
        <w:tc>
          <w:tcPr>
            <w:tcW w:w="224" w:type="dxa"/>
            <w:shd w:val="clear" w:color="auto" w:fill="FFFFFF"/>
            <w:tcMar>
              <w:top w:w="15" w:type="dxa"/>
              <w:left w:w="0" w:type="dxa"/>
              <w:bottom w:w="0" w:type="dxa"/>
              <w:right w:w="15" w:type="dxa"/>
            </w:tcMar>
            <w:vAlign w:val="bottom"/>
            <w:hideMark/>
          </w:tcPr>
          <w:p w14:paraId="275E937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1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4AF1E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Total</w:t>
            </w:r>
          </w:p>
        </w:tc>
        <w:tc>
          <w:tcPr>
            <w:tcW w:w="191" w:type="dxa"/>
            <w:shd w:val="clear" w:color="auto" w:fill="FFFFFF"/>
            <w:noWrap/>
            <w:tcMar>
              <w:top w:w="15" w:type="dxa"/>
              <w:left w:w="0" w:type="dxa"/>
              <w:bottom w:w="0" w:type="dxa"/>
              <w:right w:w="15" w:type="dxa"/>
            </w:tcMar>
            <w:vAlign w:val="bottom"/>
            <w:hideMark/>
          </w:tcPr>
          <w:p w14:paraId="402FDA7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24" w:type="dxa"/>
            <w:tcBorders>
              <w:top w:val="single" w:sz="6" w:space="0" w:color="000000"/>
            </w:tcBorders>
            <w:shd w:val="clear" w:color="auto" w:fill="FFFFFF"/>
            <w:tcMar>
              <w:top w:w="15" w:type="dxa"/>
              <w:left w:w="0" w:type="dxa"/>
              <w:bottom w:w="0" w:type="dxa"/>
              <w:right w:w="15" w:type="dxa"/>
            </w:tcMar>
            <w:vAlign w:val="bottom"/>
            <w:hideMark/>
          </w:tcPr>
          <w:p w14:paraId="06DC676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77133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Less than 1 year</w:t>
            </w:r>
          </w:p>
        </w:tc>
        <w:tc>
          <w:tcPr>
            <w:tcW w:w="191" w:type="dxa"/>
            <w:shd w:val="clear" w:color="auto" w:fill="FFFFFF"/>
            <w:noWrap/>
            <w:tcMar>
              <w:top w:w="15" w:type="dxa"/>
              <w:left w:w="0" w:type="dxa"/>
              <w:bottom w:w="0" w:type="dxa"/>
              <w:right w:w="15" w:type="dxa"/>
            </w:tcMar>
            <w:vAlign w:val="bottom"/>
            <w:hideMark/>
          </w:tcPr>
          <w:p w14:paraId="0329CF9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24" w:type="dxa"/>
            <w:tcBorders>
              <w:top w:val="single" w:sz="6" w:space="0" w:color="000000"/>
            </w:tcBorders>
            <w:shd w:val="clear" w:color="auto" w:fill="FFFFFF"/>
            <w:tcMar>
              <w:top w:w="15" w:type="dxa"/>
              <w:left w:w="0" w:type="dxa"/>
              <w:bottom w:w="0" w:type="dxa"/>
              <w:right w:w="15" w:type="dxa"/>
            </w:tcMar>
            <w:vAlign w:val="bottom"/>
            <w:hideMark/>
          </w:tcPr>
          <w:p w14:paraId="760CE7A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9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200D2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1-3 years</w:t>
            </w:r>
          </w:p>
        </w:tc>
        <w:tc>
          <w:tcPr>
            <w:tcW w:w="191" w:type="dxa"/>
            <w:shd w:val="clear" w:color="auto" w:fill="FFFFFF"/>
            <w:noWrap/>
            <w:tcMar>
              <w:top w:w="15" w:type="dxa"/>
              <w:left w:w="0" w:type="dxa"/>
              <w:bottom w:w="0" w:type="dxa"/>
              <w:right w:w="15" w:type="dxa"/>
            </w:tcMar>
            <w:vAlign w:val="bottom"/>
            <w:hideMark/>
          </w:tcPr>
          <w:p w14:paraId="30A5319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24" w:type="dxa"/>
            <w:tcBorders>
              <w:top w:val="single" w:sz="6" w:space="0" w:color="000000"/>
            </w:tcBorders>
            <w:shd w:val="clear" w:color="auto" w:fill="FFFFFF"/>
            <w:tcMar>
              <w:top w:w="15" w:type="dxa"/>
              <w:left w:w="0" w:type="dxa"/>
              <w:bottom w:w="0" w:type="dxa"/>
              <w:right w:w="15" w:type="dxa"/>
            </w:tcMar>
            <w:vAlign w:val="bottom"/>
            <w:hideMark/>
          </w:tcPr>
          <w:p w14:paraId="4C6D207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1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183333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3-5 years</w:t>
            </w:r>
          </w:p>
        </w:tc>
        <w:tc>
          <w:tcPr>
            <w:tcW w:w="191" w:type="dxa"/>
            <w:shd w:val="clear" w:color="auto" w:fill="FFFFFF"/>
            <w:noWrap/>
            <w:tcMar>
              <w:top w:w="15" w:type="dxa"/>
              <w:left w:w="0" w:type="dxa"/>
              <w:bottom w:w="0" w:type="dxa"/>
              <w:right w:w="15" w:type="dxa"/>
            </w:tcMar>
            <w:vAlign w:val="bottom"/>
            <w:hideMark/>
          </w:tcPr>
          <w:p w14:paraId="714FE75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24" w:type="dxa"/>
            <w:tcBorders>
              <w:top w:val="single" w:sz="6" w:space="0" w:color="000000"/>
            </w:tcBorders>
            <w:shd w:val="clear" w:color="auto" w:fill="FFFFFF"/>
            <w:tcMar>
              <w:top w:w="15" w:type="dxa"/>
              <w:left w:w="0" w:type="dxa"/>
              <w:bottom w:w="0" w:type="dxa"/>
              <w:right w:w="15" w:type="dxa"/>
            </w:tcMar>
            <w:vAlign w:val="bottom"/>
            <w:hideMark/>
          </w:tcPr>
          <w:p w14:paraId="216A0CA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2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754B9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More than 5 years</w:t>
            </w:r>
          </w:p>
        </w:tc>
        <w:tc>
          <w:tcPr>
            <w:tcW w:w="192" w:type="dxa"/>
            <w:shd w:val="clear" w:color="auto" w:fill="FFFFFF"/>
            <w:noWrap/>
            <w:tcMar>
              <w:top w:w="15" w:type="dxa"/>
              <w:left w:w="0" w:type="dxa"/>
              <w:bottom w:w="0" w:type="dxa"/>
              <w:right w:w="15" w:type="dxa"/>
            </w:tcMar>
            <w:vAlign w:val="bottom"/>
            <w:hideMark/>
          </w:tcPr>
          <w:p w14:paraId="3AE2050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5729C909" w14:textId="77777777" w:rsidTr="00AC4931">
        <w:tc>
          <w:tcPr>
            <w:tcW w:w="9980" w:type="dxa"/>
            <w:shd w:val="clear" w:color="auto" w:fill="CFF0FC"/>
            <w:tcMar>
              <w:top w:w="15" w:type="dxa"/>
              <w:left w:w="0" w:type="dxa"/>
              <w:bottom w:w="0" w:type="dxa"/>
              <w:right w:w="15" w:type="dxa"/>
            </w:tcMar>
            <w:vAlign w:val="bottom"/>
            <w:hideMark/>
          </w:tcPr>
          <w:p w14:paraId="276377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Debt obligations</w:t>
            </w:r>
          </w:p>
        </w:tc>
        <w:tc>
          <w:tcPr>
            <w:tcW w:w="224" w:type="dxa"/>
            <w:shd w:val="clear" w:color="auto" w:fill="CFF0FC"/>
            <w:tcMar>
              <w:top w:w="15" w:type="dxa"/>
              <w:left w:w="0" w:type="dxa"/>
              <w:bottom w:w="0" w:type="dxa"/>
              <w:right w:w="15" w:type="dxa"/>
            </w:tcMar>
            <w:vAlign w:val="bottom"/>
            <w:hideMark/>
          </w:tcPr>
          <w:p w14:paraId="2DF5C7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90104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09" w:type="dxa"/>
            <w:tcBorders>
              <w:top w:val="single" w:sz="6" w:space="0" w:color="000000"/>
            </w:tcBorders>
            <w:shd w:val="clear" w:color="auto" w:fill="CFF0FC"/>
            <w:noWrap/>
            <w:tcMar>
              <w:top w:w="15" w:type="dxa"/>
              <w:left w:w="0" w:type="dxa"/>
              <w:bottom w:w="0" w:type="dxa"/>
              <w:right w:w="15" w:type="dxa"/>
            </w:tcMar>
            <w:vAlign w:val="bottom"/>
            <w:hideMark/>
          </w:tcPr>
          <w:p w14:paraId="47243F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2,387</w:t>
            </w:r>
          </w:p>
        </w:tc>
        <w:tc>
          <w:tcPr>
            <w:tcW w:w="191" w:type="dxa"/>
            <w:shd w:val="clear" w:color="auto" w:fill="CFF0FC"/>
            <w:noWrap/>
            <w:tcMar>
              <w:top w:w="15" w:type="dxa"/>
              <w:left w:w="0" w:type="dxa"/>
              <w:bottom w:w="0" w:type="dxa"/>
              <w:right w:w="15" w:type="dxa"/>
            </w:tcMar>
            <w:vAlign w:val="bottom"/>
            <w:hideMark/>
          </w:tcPr>
          <w:p w14:paraId="54AF25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5E4C32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0" w:type="dxa"/>
            <w:tcBorders>
              <w:top w:val="single" w:sz="6" w:space="0" w:color="000000"/>
            </w:tcBorders>
            <w:shd w:val="clear" w:color="auto" w:fill="CFF0FC"/>
            <w:noWrap/>
            <w:tcMar>
              <w:top w:w="15" w:type="dxa"/>
              <w:left w:w="0" w:type="dxa"/>
              <w:bottom w:w="0" w:type="dxa"/>
              <w:right w:w="15" w:type="dxa"/>
            </w:tcMar>
            <w:vAlign w:val="bottom"/>
            <w:hideMark/>
          </w:tcPr>
          <w:p w14:paraId="2C42E0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50" w:type="dxa"/>
            <w:tcBorders>
              <w:top w:val="single" w:sz="6" w:space="0" w:color="000000"/>
            </w:tcBorders>
            <w:shd w:val="clear" w:color="auto" w:fill="CFF0FC"/>
            <w:noWrap/>
            <w:tcMar>
              <w:top w:w="15" w:type="dxa"/>
              <w:left w:w="0" w:type="dxa"/>
              <w:bottom w:w="0" w:type="dxa"/>
              <w:right w:w="15" w:type="dxa"/>
            </w:tcMar>
            <w:vAlign w:val="bottom"/>
            <w:hideMark/>
          </w:tcPr>
          <w:p w14:paraId="1C9F6A6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275</w:t>
            </w:r>
          </w:p>
        </w:tc>
        <w:tc>
          <w:tcPr>
            <w:tcW w:w="191" w:type="dxa"/>
            <w:shd w:val="clear" w:color="auto" w:fill="CFF0FC"/>
            <w:noWrap/>
            <w:tcMar>
              <w:top w:w="15" w:type="dxa"/>
              <w:left w:w="0" w:type="dxa"/>
              <w:bottom w:w="0" w:type="dxa"/>
              <w:right w:w="15" w:type="dxa"/>
            </w:tcMar>
            <w:vAlign w:val="bottom"/>
            <w:hideMark/>
          </w:tcPr>
          <w:p w14:paraId="2AC0D6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42DF3B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90B09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87" w:type="dxa"/>
            <w:tcBorders>
              <w:top w:val="single" w:sz="6" w:space="0" w:color="000000"/>
            </w:tcBorders>
            <w:shd w:val="clear" w:color="auto" w:fill="CFF0FC"/>
            <w:noWrap/>
            <w:tcMar>
              <w:top w:w="15" w:type="dxa"/>
              <w:left w:w="0" w:type="dxa"/>
              <w:bottom w:w="0" w:type="dxa"/>
              <w:right w:w="15" w:type="dxa"/>
            </w:tcMar>
            <w:vAlign w:val="bottom"/>
            <w:hideMark/>
          </w:tcPr>
          <w:p w14:paraId="077A5C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979</w:t>
            </w:r>
          </w:p>
        </w:tc>
        <w:tc>
          <w:tcPr>
            <w:tcW w:w="191" w:type="dxa"/>
            <w:shd w:val="clear" w:color="auto" w:fill="CFF0FC"/>
            <w:noWrap/>
            <w:tcMar>
              <w:top w:w="15" w:type="dxa"/>
              <w:left w:w="0" w:type="dxa"/>
              <w:bottom w:w="0" w:type="dxa"/>
              <w:right w:w="15" w:type="dxa"/>
            </w:tcMar>
            <w:vAlign w:val="bottom"/>
            <w:hideMark/>
          </w:tcPr>
          <w:p w14:paraId="7C3146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097830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2E2C8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08" w:type="dxa"/>
            <w:tcBorders>
              <w:top w:val="single" w:sz="6" w:space="0" w:color="000000"/>
            </w:tcBorders>
            <w:shd w:val="clear" w:color="auto" w:fill="CFF0FC"/>
            <w:noWrap/>
            <w:tcMar>
              <w:top w:w="15" w:type="dxa"/>
              <w:left w:w="0" w:type="dxa"/>
              <w:bottom w:w="0" w:type="dxa"/>
              <w:right w:w="15" w:type="dxa"/>
            </w:tcMar>
            <w:vAlign w:val="bottom"/>
            <w:hideMark/>
          </w:tcPr>
          <w:p w14:paraId="31283E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663</w:t>
            </w:r>
          </w:p>
        </w:tc>
        <w:tc>
          <w:tcPr>
            <w:tcW w:w="191" w:type="dxa"/>
            <w:shd w:val="clear" w:color="auto" w:fill="CFF0FC"/>
            <w:noWrap/>
            <w:tcMar>
              <w:top w:w="15" w:type="dxa"/>
              <w:left w:w="0" w:type="dxa"/>
              <w:bottom w:w="0" w:type="dxa"/>
              <w:right w:w="15" w:type="dxa"/>
            </w:tcMar>
            <w:vAlign w:val="bottom"/>
            <w:hideMark/>
          </w:tcPr>
          <w:p w14:paraId="6FEDB2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0CE6D4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4" w:type="dxa"/>
            <w:tcBorders>
              <w:top w:val="single" w:sz="6" w:space="0" w:color="000000"/>
            </w:tcBorders>
            <w:shd w:val="clear" w:color="auto" w:fill="CFF0FC"/>
            <w:noWrap/>
            <w:tcMar>
              <w:top w:w="15" w:type="dxa"/>
              <w:left w:w="0" w:type="dxa"/>
              <w:bottom w:w="0" w:type="dxa"/>
              <w:right w:w="15" w:type="dxa"/>
            </w:tcMar>
            <w:vAlign w:val="bottom"/>
            <w:hideMark/>
          </w:tcPr>
          <w:p w14:paraId="0E6331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94" w:type="dxa"/>
            <w:tcBorders>
              <w:top w:val="single" w:sz="6" w:space="0" w:color="000000"/>
            </w:tcBorders>
            <w:shd w:val="clear" w:color="auto" w:fill="CFF0FC"/>
            <w:noWrap/>
            <w:tcMar>
              <w:top w:w="15" w:type="dxa"/>
              <w:left w:w="0" w:type="dxa"/>
              <w:bottom w:w="0" w:type="dxa"/>
              <w:right w:w="15" w:type="dxa"/>
            </w:tcMar>
            <w:vAlign w:val="bottom"/>
            <w:hideMark/>
          </w:tcPr>
          <w:p w14:paraId="0E68151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470</w:t>
            </w:r>
          </w:p>
        </w:tc>
        <w:tc>
          <w:tcPr>
            <w:tcW w:w="192" w:type="dxa"/>
            <w:shd w:val="clear" w:color="auto" w:fill="CFF0FC"/>
            <w:noWrap/>
            <w:tcMar>
              <w:top w:w="15" w:type="dxa"/>
              <w:left w:w="0" w:type="dxa"/>
              <w:bottom w:w="0" w:type="dxa"/>
              <w:right w:w="15" w:type="dxa"/>
            </w:tcMar>
            <w:vAlign w:val="bottom"/>
            <w:hideMark/>
          </w:tcPr>
          <w:p w14:paraId="49FF03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23CDCBC" w14:textId="77777777" w:rsidTr="00AC4931">
        <w:tc>
          <w:tcPr>
            <w:tcW w:w="9980" w:type="dxa"/>
            <w:shd w:val="clear" w:color="auto" w:fill="FFFFFF"/>
            <w:tcMar>
              <w:top w:w="15" w:type="dxa"/>
              <w:left w:w="0" w:type="dxa"/>
              <w:bottom w:w="0" w:type="dxa"/>
              <w:right w:w="15" w:type="dxa"/>
            </w:tcMar>
            <w:vAlign w:val="bottom"/>
            <w:hideMark/>
          </w:tcPr>
          <w:p w14:paraId="791249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Fixed-interest obligations</w:t>
            </w:r>
          </w:p>
        </w:tc>
        <w:tc>
          <w:tcPr>
            <w:tcW w:w="224" w:type="dxa"/>
            <w:shd w:val="clear" w:color="auto" w:fill="FFFFFF"/>
            <w:tcMar>
              <w:top w:w="15" w:type="dxa"/>
              <w:left w:w="0" w:type="dxa"/>
              <w:bottom w:w="0" w:type="dxa"/>
              <w:right w:w="15" w:type="dxa"/>
            </w:tcMar>
            <w:vAlign w:val="bottom"/>
            <w:hideMark/>
          </w:tcPr>
          <w:p w14:paraId="4D9A3D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1433D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09" w:type="dxa"/>
            <w:shd w:val="clear" w:color="auto" w:fill="FFFFFF"/>
            <w:noWrap/>
            <w:tcMar>
              <w:top w:w="15" w:type="dxa"/>
              <w:left w:w="0" w:type="dxa"/>
              <w:bottom w:w="0" w:type="dxa"/>
              <w:right w:w="15" w:type="dxa"/>
            </w:tcMar>
            <w:vAlign w:val="bottom"/>
            <w:hideMark/>
          </w:tcPr>
          <w:p w14:paraId="7BA0A2E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212</w:t>
            </w:r>
          </w:p>
        </w:tc>
        <w:tc>
          <w:tcPr>
            <w:tcW w:w="191" w:type="dxa"/>
            <w:shd w:val="clear" w:color="auto" w:fill="FFFFFF"/>
            <w:noWrap/>
            <w:tcMar>
              <w:top w:w="15" w:type="dxa"/>
              <w:left w:w="0" w:type="dxa"/>
              <w:bottom w:w="0" w:type="dxa"/>
              <w:right w:w="15" w:type="dxa"/>
            </w:tcMar>
            <w:vAlign w:val="bottom"/>
            <w:hideMark/>
          </w:tcPr>
          <w:p w14:paraId="5C9762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36BBB9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0" w:type="dxa"/>
            <w:shd w:val="clear" w:color="auto" w:fill="FFFFFF"/>
            <w:noWrap/>
            <w:tcMar>
              <w:top w:w="15" w:type="dxa"/>
              <w:left w:w="0" w:type="dxa"/>
              <w:bottom w:w="0" w:type="dxa"/>
              <w:right w:w="15" w:type="dxa"/>
            </w:tcMar>
            <w:vAlign w:val="bottom"/>
            <w:hideMark/>
          </w:tcPr>
          <w:p w14:paraId="5ACFF5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50" w:type="dxa"/>
            <w:shd w:val="clear" w:color="auto" w:fill="FFFFFF"/>
            <w:noWrap/>
            <w:tcMar>
              <w:top w:w="15" w:type="dxa"/>
              <w:left w:w="0" w:type="dxa"/>
              <w:bottom w:w="0" w:type="dxa"/>
              <w:right w:w="15" w:type="dxa"/>
            </w:tcMar>
            <w:vAlign w:val="bottom"/>
            <w:hideMark/>
          </w:tcPr>
          <w:p w14:paraId="7707119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w:t>
            </w:r>
          </w:p>
        </w:tc>
        <w:tc>
          <w:tcPr>
            <w:tcW w:w="191" w:type="dxa"/>
            <w:shd w:val="clear" w:color="auto" w:fill="FFFFFF"/>
            <w:noWrap/>
            <w:tcMar>
              <w:top w:w="15" w:type="dxa"/>
              <w:left w:w="0" w:type="dxa"/>
              <w:bottom w:w="0" w:type="dxa"/>
              <w:right w:w="15" w:type="dxa"/>
            </w:tcMar>
            <w:vAlign w:val="bottom"/>
            <w:hideMark/>
          </w:tcPr>
          <w:p w14:paraId="6539BF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7379DA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4AD59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87" w:type="dxa"/>
            <w:shd w:val="clear" w:color="auto" w:fill="FFFFFF"/>
            <w:noWrap/>
            <w:tcMar>
              <w:top w:w="15" w:type="dxa"/>
              <w:left w:w="0" w:type="dxa"/>
              <w:bottom w:w="0" w:type="dxa"/>
              <w:right w:w="15" w:type="dxa"/>
            </w:tcMar>
            <w:vAlign w:val="bottom"/>
            <w:hideMark/>
          </w:tcPr>
          <w:p w14:paraId="2962220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80</w:t>
            </w:r>
          </w:p>
        </w:tc>
        <w:tc>
          <w:tcPr>
            <w:tcW w:w="191" w:type="dxa"/>
            <w:shd w:val="clear" w:color="auto" w:fill="FFFFFF"/>
            <w:noWrap/>
            <w:tcMar>
              <w:top w:w="15" w:type="dxa"/>
              <w:left w:w="0" w:type="dxa"/>
              <w:bottom w:w="0" w:type="dxa"/>
              <w:right w:w="15" w:type="dxa"/>
            </w:tcMar>
            <w:vAlign w:val="bottom"/>
            <w:hideMark/>
          </w:tcPr>
          <w:p w14:paraId="34C0BF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617B06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7A490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08" w:type="dxa"/>
            <w:shd w:val="clear" w:color="auto" w:fill="FFFFFF"/>
            <w:noWrap/>
            <w:tcMar>
              <w:top w:w="15" w:type="dxa"/>
              <w:left w:w="0" w:type="dxa"/>
              <w:bottom w:w="0" w:type="dxa"/>
              <w:right w:w="15" w:type="dxa"/>
            </w:tcMar>
            <w:vAlign w:val="bottom"/>
            <w:hideMark/>
          </w:tcPr>
          <w:p w14:paraId="0F48153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50</w:t>
            </w:r>
          </w:p>
        </w:tc>
        <w:tc>
          <w:tcPr>
            <w:tcW w:w="191" w:type="dxa"/>
            <w:shd w:val="clear" w:color="auto" w:fill="FFFFFF"/>
            <w:noWrap/>
            <w:tcMar>
              <w:top w:w="15" w:type="dxa"/>
              <w:left w:w="0" w:type="dxa"/>
              <w:bottom w:w="0" w:type="dxa"/>
              <w:right w:w="15" w:type="dxa"/>
            </w:tcMar>
            <w:vAlign w:val="bottom"/>
            <w:hideMark/>
          </w:tcPr>
          <w:p w14:paraId="5B6247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645086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4" w:type="dxa"/>
            <w:shd w:val="clear" w:color="auto" w:fill="FFFFFF"/>
            <w:noWrap/>
            <w:tcMar>
              <w:top w:w="15" w:type="dxa"/>
              <w:left w:w="0" w:type="dxa"/>
              <w:bottom w:w="0" w:type="dxa"/>
              <w:right w:w="15" w:type="dxa"/>
            </w:tcMar>
            <w:vAlign w:val="bottom"/>
            <w:hideMark/>
          </w:tcPr>
          <w:p w14:paraId="003737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94" w:type="dxa"/>
            <w:shd w:val="clear" w:color="auto" w:fill="FFFFFF"/>
            <w:noWrap/>
            <w:tcMar>
              <w:top w:w="15" w:type="dxa"/>
              <w:left w:w="0" w:type="dxa"/>
              <w:bottom w:w="0" w:type="dxa"/>
              <w:right w:w="15" w:type="dxa"/>
            </w:tcMar>
            <w:vAlign w:val="bottom"/>
            <w:hideMark/>
          </w:tcPr>
          <w:p w14:paraId="615DA41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w:t>
            </w:r>
          </w:p>
        </w:tc>
        <w:tc>
          <w:tcPr>
            <w:tcW w:w="192" w:type="dxa"/>
            <w:shd w:val="clear" w:color="auto" w:fill="FFFFFF"/>
            <w:noWrap/>
            <w:tcMar>
              <w:top w:w="15" w:type="dxa"/>
              <w:left w:w="0" w:type="dxa"/>
              <w:bottom w:w="0" w:type="dxa"/>
              <w:right w:w="15" w:type="dxa"/>
            </w:tcMar>
            <w:vAlign w:val="bottom"/>
            <w:hideMark/>
          </w:tcPr>
          <w:p w14:paraId="606D75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58E3366" w14:textId="77777777" w:rsidTr="00AC4931">
        <w:tc>
          <w:tcPr>
            <w:tcW w:w="9980" w:type="dxa"/>
            <w:shd w:val="clear" w:color="auto" w:fill="CFF0FC"/>
            <w:tcMar>
              <w:top w:w="15" w:type="dxa"/>
              <w:left w:w="0" w:type="dxa"/>
              <w:bottom w:w="0" w:type="dxa"/>
              <w:right w:w="15" w:type="dxa"/>
            </w:tcMar>
            <w:vAlign w:val="bottom"/>
            <w:hideMark/>
          </w:tcPr>
          <w:p w14:paraId="53ECF1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lease obligations</w:t>
            </w:r>
          </w:p>
        </w:tc>
        <w:tc>
          <w:tcPr>
            <w:tcW w:w="224" w:type="dxa"/>
            <w:shd w:val="clear" w:color="auto" w:fill="CFF0FC"/>
            <w:tcMar>
              <w:top w:w="15" w:type="dxa"/>
              <w:left w:w="0" w:type="dxa"/>
              <w:bottom w:w="0" w:type="dxa"/>
              <w:right w:w="15" w:type="dxa"/>
            </w:tcMar>
            <w:vAlign w:val="bottom"/>
            <w:hideMark/>
          </w:tcPr>
          <w:p w14:paraId="43FDDB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CD29C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09" w:type="dxa"/>
            <w:shd w:val="clear" w:color="auto" w:fill="CFF0FC"/>
            <w:noWrap/>
            <w:tcMar>
              <w:top w:w="15" w:type="dxa"/>
              <w:left w:w="0" w:type="dxa"/>
              <w:bottom w:w="0" w:type="dxa"/>
              <w:right w:w="15" w:type="dxa"/>
            </w:tcMar>
            <w:vAlign w:val="bottom"/>
            <w:hideMark/>
          </w:tcPr>
          <w:p w14:paraId="36BC1CD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150</w:t>
            </w:r>
          </w:p>
        </w:tc>
        <w:tc>
          <w:tcPr>
            <w:tcW w:w="191" w:type="dxa"/>
            <w:shd w:val="clear" w:color="auto" w:fill="CFF0FC"/>
            <w:noWrap/>
            <w:tcMar>
              <w:top w:w="15" w:type="dxa"/>
              <w:left w:w="0" w:type="dxa"/>
              <w:bottom w:w="0" w:type="dxa"/>
              <w:right w:w="15" w:type="dxa"/>
            </w:tcMar>
            <w:vAlign w:val="bottom"/>
            <w:hideMark/>
          </w:tcPr>
          <w:p w14:paraId="69AC2E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0D8ADE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0" w:type="dxa"/>
            <w:shd w:val="clear" w:color="auto" w:fill="CFF0FC"/>
            <w:noWrap/>
            <w:tcMar>
              <w:top w:w="15" w:type="dxa"/>
              <w:left w:w="0" w:type="dxa"/>
              <w:bottom w:w="0" w:type="dxa"/>
              <w:right w:w="15" w:type="dxa"/>
            </w:tcMar>
            <w:vAlign w:val="bottom"/>
            <w:hideMark/>
          </w:tcPr>
          <w:p w14:paraId="239746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50" w:type="dxa"/>
            <w:shd w:val="clear" w:color="auto" w:fill="CFF0FC"/>
            <w:noWrap/>
            <w:tcMar>
              <w:top w:w="15" w:type="dxa"/>
              <w:left w:w="0" w:type="dxa"/>
              <w:bottom w:w="0" w:type="dxa"/>
              <w:right w:w="15" w:type="dxa"/>
            </w:tcMar>
            <w:vAlign w:val="bottom"/>
            <w:hideMark/>
          </w:tcPr>
          <w:p w14:paraId="7D776D0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w:t>
            </w:r>
          </w:p>
        </w:tc>
        <w:tc>
          <w:tcPr>
            <w:tcW w:w="191" w:type="dxa"/>
            <w:shd w:val="clear" w:color="auto" w:fill="CFF0FC"/>
            <w:noWrap/>
            <w:tcMar>
              <w:top w:w="15" w:type="dxa"/>
              <w:left w:w="0" w:type="dxa"/>
              <w:bottom w:w="0" w:type="dxa"/>
              <w:right w:w="15" w:type="dxa"/>
            </w:tcMar>
            <w:vAlign w:val="bottom"/>
            <w:hideMark/>
          </w:tcPr>
          <w:p w14:paraId="699E23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72BA03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52205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87" w:type="dxa"/>
            <w:shd w:val="clear" w:color="auto" w:fill="CFF0FC"/>
            <w:noWrap/>
            <w:tcMar>
              <w:top w:w="15" w:type="dxa"/>
              <w:left w:w="0" w:type="dxa"/>
              <w:bottom w:w="0" w:type="dxa"/>
              <w:right w:w="15" w:type="dxa"/>
            </w:tcMar>
            <w:vAlign w:val="bottom"/>
            <w:hideMark/>
          </w:tcPr>
          <w:p w14:paraId="652D590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53</w:t>
            </w:r>
          </w:p>
        </w:tc>
        <w:tc>
          <w:tcPr>
            <w:tcW w:w="191" w:type="dxa"/>
            <w:shd w:val="clear" w:color="auto" w:fill="CFF0FC"/>
            <w:noWrap/>
            <w:tcMar>
              <w:top w:w="15" w:type="dxa"/>
              <w:left w:w="0" w:type="dxa"/>
              <w:bottom w:w="0" w:type="dxa"/>
              <w:right w:w="15" w:type="dxa"/>
            </w:tcMar>
            <w:vAlign w:val="bottom"/>
            <w:hideMark/>
          </w:tcPr>
          <w:p w14:paraId="17BC44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2C8B3B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46A1D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08" w:type="dxa"/>
            <w:shd w:val="clear" w:color="auto" w:fill="CFF0FC"/>
            <w:noWrap/>
            <w:tcMar>
              <w:top w:w="15" w:type="dxa"/>
              <w:left w:w="0" w:type="dxa"/>
              <w:bottom w:w="0" w:type="dxa"/>
              <w:right w:w="15" w:type="dxa"/>
            </w:tcMar>
            <w:vAlign w:val="bottom"/>
            <w:hideMark/>
          </w:tcPr>
          <w:p w14:paraId="2603C72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w:t>
            </w:r>
          </w:p>
        </w:tc>
        <w:tc>
          <w:tcPr>
            <w:tcW w:w="191" w:type="dxa"/>
            <w:shd w:val="clear" w:color="auto" w:fill="CFF0FC"/>
            <w:noWrap/>
            <w:tcMar>
              <w:top w:w="15" w:type="dxa"/>
              <w:left w:w="0" w:type="dxa"/>
              <w:bottom w:w="0" w:type="dxa"/>
              <w:right w:w="15" w:type="dxa"/>
            </w:tcMar>
            <w:vAlign w:val="bottom"/>
            <w:hideMark/>
          </w:tcPr>
          <w:p w14:paraId="79FD22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7F2A0C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4" w:type="dxa"/>
            <w:shd w:val="clear" w:color="auto" w:fill="CFF0FC"/>
            <w:noWrap/>
            <w:tcMar>
              <w:top w:w="15" w:type="dxa"/>
              <w:left w:w="0" w:type="dxa"/>
              <w:bottom w:w="0" w:type="dxa"/>
              <w:right w:w="15" w:type="dxa"/>
            </w:tcMar>
            <w:vAlign w:val="bottom"/>
            <w:hideMark/>
          </w:tcPr>
          <w:p w14:paraId="0B2C20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94" w:type="dxa"/>
            <w:shd w:val="clear" w:color="auto" w:fill="CFF0FC"/>
            <w:noWrap/>
            <w:tcMar>
              <w:top w:w="15" w:type="dxa"/>
              <w:left w:w="0" w:type="dxa"/>
              <w:bottom w:w="0" w:type="dxa"/>
              <w:right w:w="15" w:type="dxa"/>
            </w:tcMar>
            <w:vAlign w:val="bottom"/>
            <w:hideMark/>
          </w:tcPr>
          <w:p w14:paraId="36FA974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w:t>
            </w:r>
          </w:p>
        </w:tc>
        <w:tc>
          <w:tcPr>
            <w:tcW w:w="192" w:type="dxa"/>
            <w:shd w:val="clear" w:color="auto" w:fill="CFF0FC"/>
            <w:noWrap/>
            <w:tcMar>
              <w:top w:w="15" w:type="dxa"/>
              <w:left w:w="0" w:type="dxa"/>
              <w:bottom w:w="0" w:type="dxa"/>
              <w:right w:w="15" w:type="dxa"/>
            </w:tcMar>
            <w:vAlign w:val="bottom"/>
            <w:hideMark/>
          </w:tcPr>
          <w:p w14:paraId="468B35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3E31EDB" w14:textId="77777777" w:rsidTr="00AC4931">
        <w:tc>
          <w:tcPr>
            <w:tcW w:w="9980" w:type="dxa"/>
            <w:shd w:val="clear" w:color="auto" w:fill="FFFFFF"/>
            <w:tcMar>
              <w:top w:w="15" w:type="dxa"/>
              <w:left w:w="0" w:type="dxa"/>
              <w:bottom w:w="0" w:type="dxa"/>
              <w:right w:w="15" w:type="dxa"/>
            </w:tcMar>
            <w:vAlign w:val="bottom"/>
            <w:hideMark/>
          </w:tcPr>
          <w:p w14:paraId="1B56B9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Pension contribution requirements</w:t>
            </w:r>
            <w:r w:rsidRPr="00AC4931">
              <w:rPr>
                <w:rFonts w:ascii="Arial" w:eastAsia="宋体" w:hAnsi="Arial" w:cs="Arial"/>
                <w:color w:val="000000"/>
                <w:kern w:val="0"/>
                <w:sz w:val="18"/>
                <w:szCs w:val="18"/>
                <w:vertAlign w:val="superscript"/>
              </w:rPr>
              <w:t>2)</w:t>
            </w:r>
          </w:p>
        </w:tc>
        <w:tc>
          <w:tcPr>
            <w:tcW w:w="224" w:type="dxa"/>
            <w:shd w:val="clear" w:color="auto" w:fill="FFFFFF"/>
            <w:tcMar>
              <w:top w:w="15" w:type="dxa"/>
              <w:left w:w="0" w:type="dxa"/>
              <w:bottom w:w="0" w:type="dxa"/>
              <w:right w:w="15" w:type="dxa"/>
            </w:tcMar>
            <w:vAlign w:val="bottom"/>
            <w:hideMark/>
          </w:tcPr>
          <w:p w14:paraId="6924CC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3BF1D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09" w:type="dxa"/>
            <w:shd w:val="clear" w:color="auto" w:fill="FFFFFF"/>
            <w:noWrap/>
            <w:tcMar>
              <w:top w:w="15" w:type="dxa"/>
              <w:left w:w="0" w:type="dxa"/>
              <w:bottom w:w="0" w:type="dxa"/>
              <w:right w:w="15" w:type="dxa"/>
            </w:tcMar>
            <w:vAlign w:val="bottom"/>
            <w:hideMark/>
          </w:tcPr>
          <w:p w14:paraId="15D7304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tc>
        <w:tc>
          <w:tcPr>
            <w:tcW w:w="191" w:type="dxa"/>
            <w:shd w:val="clear" w:color="auto" w:fill="FFFFFF"/>
            <w:noWrap/>
            <w:tcMar>
              <w:top w:w="15" w:type="dxa"/>
              <w:left w:w="0" w:type="dxa"/>
              <w:bottom w:w="0" w:type="dxa"/>
              <w:right w:w="15" w:type="dxa"/>
            </w:tcMar>
            <w:vAlign w:val="bottom"/>
            <w:hideMark/>
          </w:tcPr>
          <w:p w14:paraId="7B6357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2D1715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0" w:type="dxa"/>
            <w:shd w:val="clear" w:color="auto" w:fill="FFFFFF"/>
            <w:noWrap/>
            <w:tcMar>
              <w:top w:w="15" w:type="dxa"/>
              <w:left w:w="0" w:type="dxa"/>
              <w:bottom w:w="0" w:type="dxa"/>
              <w:right w:w="15" w:type="dxa"/>
            </w:tcMar>
            <w:vAlign w:val="bottom"/>
            <w:hideMark/>
          </w:tcPr>
          <w:p w14:paraId="699090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50" w:type="dxa"/>
            <w:shd w:val="clear" w:color="auto" w:fill="FFFFFF"/>
            <w:noWrap/>
            <w:tcMar>
              <w:top w:w="15" w:type="dxa"/>
              <w:left w:w="0" w:type="dxa"/>
              <w:bottom w:w="0" w:type="dxa"/>
              <w:right w:w="15" w:type="dxa"/>
            </w:tcMar>
            <w:vAlign w:val="bottom"/>
            <w:hideMark/>
          </w:tcPr>
          <w:p w14:paraId="6A0788A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tc>
        <w:tc>
          <w:tcPr>
            <w:tcW w:w="191" w:type="dxa"/>
            <w:shd w:val="clear" w:color="auto" w:fill="FFFFFF"/>
            <w:noWrap/>
            <w:tcMar>
              <w:top w:w="15" w:type="dxa"/>
              <w:left w:w="0" w:type="dxa"/>
              <w:bottom w:w="0" w:type="dxa"/>
              <w:right w:w="15" w:type="dxa"/>
            </w:tcMar>
            <w:vAlign w:val="bottom"/>
            <w:hideMark/>
          </w:tcPr>
          <w:p w14:paraId="3E1372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0B13B2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DC53E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87" w:type="dxa"/>
            <w:shd w:val="clear" w:color="auto" w:fill="FFFFFF"/>
            <w:noWrap/>
            <w:tcMar>
              <w:top w:w="15" w:type="dxa"/>
              <w:left w:w="0" w:type="dxa"/>
              <w:bottom w:w="0" w:type="dxa"/>
              <w:right w:w="15" w:type="dxa"/>
            </w:tcMar>
            <w:vAlign w:val="bottom"/>
            <w:hideMark/>
          </w:tcPr>
          <w:p w14:paraId="62F93B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0E7D13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6F572B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E2EA2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08" w:type="dxa"/>
            <w:shd w:val="clear" w:color="auto" w:fill="FFFFFF"/>
            <w:noWrap/>
            <w:tcMar>
              <w:top w:w="15" w:type="dxa"/>
              <w:left w:w="0" w:type="dxa"/>
              <w:bottom w:w="0" w:type="dxa"/>
              <w:right w:w="15" w:type="dxa"/>
            </w:tcMar>
            <w:vAlign w:val="bottom"/>
            <w:hideMark/>
          </w:tcPr>
          <w:p w14:paraId="5E269A8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0A042E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5D805F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4" w:type="dxa"/>
            <w:shd w:val="clear" w:color="auto" w:fill="FFFFFF"/>
            <w:noWrap/>
            <w:tcMar>
              <w:top w:w="15" w:type="dxa"/>
              <w:left w:w="0" w:type="dxa"/>
              <w:bottom w:w="0" w:type="dxa"/>
              <w:right w:w="15" w:type="dxa"/>
            </w:tcMar>
            <w:vAlign w:val="bottom"/>
            <w:hideMark/>
          </w:tcPr>
          <w:p w14:paraId="20D0D6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94" w:type="dxa"/>
            <w:shd w:val="clear" w:color="auto" w:fill="FFFFFF"/>
            <w:noWrap/>
            <w:tcMar>
              <w:top w:w="15" w:type="dxa"/>
              <w:left w:w="0" w:type="dxa"/>
              <w:bottom w:w="0" w:type="dxa"/>
              <w:right w:w="15" w:type="dxa"/>
            </w:tcMar>
            <w:vAlign w:val="bottom"/>
            <w:hideMark/>
          </w:tcPr>
          <w:p w14:paraId="06C7CE8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2" w:type="dxa"/>
            <w:shd w:val="clear" w:color="auto" w:fill="FFFFFF"/>
            <w:noWrap/>
            <w:tcMar>
              <w:top w:w="15" w:type="dxa"/>
              <w:left w:w="0" w:type="dxa"/>
              <w:bottom w:w="0" w:type="dxa"/>
              <w:right w:w="15" w:type="dxa"/>
            </w:tcMar>
            <w:vAlign w:val="bottom"/>
            <w:hideMark/>
          </w:tcPr>
          <w:p w14:paraId="3A4B40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AA18054" w14:textId="77777777" w:rsidTr="00AC4931">
        <w:tc>
          <w:tcPr>
            <w:tcW w:w="9980" w:type="dxa"/>
            <w:shd w:val="clear" w:color="auto" w:fill="CFF0FC"/>
            <w:tcMar>
              <w:top w:w="15" w:type="dxa"/>
              <w:left w:w="0" w:type="dxa"/>
              <w:bottom w:w="0" w:type="dxa"/>
              <w:right w:w="15" w:type="dxa"/>
            </w:tcMar>
            <w:vAlign w:val="bottom"/>
            <w:hideMark/>
          </w:tcPr>
          <w:p w14:paraId="6B23B6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non-current liabilities reflected on the balance sheet</w:t>
            </w:r>
          </w:p>
        </w:tc>
        <w:tc>
          <w:tcPr>
            <w:tcW w:w="224" w:type="dxa"/>
            <w:shd w:val="clear" w:color="auto" w:fill="CFF0FC"/>
            <w:tcMar>
              <w:top w:w="15" w:type="dxa"/>
              <w:left w:w="0" w:type="dxa"/>
              <w:bottom w:w="0" w:type="dxa"/>
              <w:right w:w="15" w:type="dxa"/>
            </w:tcMar>
            <w:vAlign w:val="bottom"/>
            <w:hideMark/>
          </w:tcPr>
          <w:p w14:paraId="540E48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2FD92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09" w:type="dxa"/>
            <w:tcBorders>
              <w:bottom w:val="single" w:sz="6" w:space="0" w:color="000000"/>
            </w:tcBorders>
            <w:shd w:val="clear" w:color="auto" w:fill="CFF0FC"/>
            <w:noWrap/>
            <w:tcMar>
              <w:top w:w="15" w:type="dxa"/>
              <w:left w:w="0" w:type="dxa"/>
              <w:bottom w:w="0" w:type="dxa"/>
              <w:right w:w="15" w:type="dxa"/>
            </w:tcMar>
            <w:vAlign w:val="bottom"/>
            <w:hideMark/>
          </w:tcPr>
          <w:p w14:paraId="14E38F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w:t>
            </w:r>
          </w:p>
        </w:tc>
        <w:tc>
          <w:tcPr>
            <w:tcW w:w="191" w:type="dxa"/>
            <w:shd w:val="clear" w:color="auto" w:fill="CFF0FC"/>
            <w:noWrap/>
            <w:tcMar>
              <w:top w:w="15" w:type="dxa"/>
              <w:left w:w="0" w:type="dxa"/>
              <w:bottom w:w="0" w:type="dxa"/>
              <w:right w:w="15" w:type="dxa"/>
            </w:tcMar>
            <w:vAlign w:val="bottom"/>
            <w:hideMark/>
          </w:tcPr>
          <w:p w14:paraId="790D01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030DB0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0" w:type="dxa"/>
            <w:tcBorders>
              <w:bottom w:val="single" w:sz="6" w:space="0" w:color="000000"/>
            </w:tcBorders>
            <w:shd w:val="clear" w:color="auto" w:fill="CFF0FC"/>
            <w:noWrap/>
            <w:tcMar>
              <w:top w:w="15" w:type="dxa"/>
              <w:left w:w="0" w:type="dxa"/>
              <w:bottom w:w="0" w:type="dxa"/>
              <w:right w:w="15" w:type="dxa"/>
            </w:tcMar>
            <w:vAlign w:val="bottom"/>
            <w:hideMark/>
          </w:tcPr>
          <w:p w14:paraId="3F2C01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50" w:type="dxa"/>
            <w:tcBorders>
              <w:bottom w:val="single" w:sz="6" w:space="0" w:color="000000"/>
            </w:tcBorders>
            <w:shd w:val="clear" w:color="auto" w:fill="CFF0FC"/>
            <w:noWrap/>
            <w:tcMar>
              <w:top w:w="15" w:type="dxa"/>
              <w:left w:w="0" w:type="dxa"/>
              <w:bottom w:w="0" w:type="dxa"/>
              <w:right w:w="15" w:type="dxa"/>
            </w:tcMar>
            <w:vAlign w:val="bottom"/>
            <w:hideMark/>
          </w:tcPr>
          <w:p w14:paraId="163B53E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7D0E76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2EDFEF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0017A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87" w:type="dxa"/>
            <w:tcBorders>
              <w:bottom w:val="single" w:sz="6" w:space="0" w:color="000000"/>
            </w:tcBorders>
            <w:shd w:val="clear" w:color="auto" w:fill="CFF0FC"/>
            <w:noWrap/>
            <w:tcMar>
              <w:top w:w="15" w:type="dxa"/>
              <w:left w:w="0" w:type="dxa"/>
              <w:bottom w:w="0" w:type="dxa"/>
              <w:right w:w="15" w:type="dxa"/>
            </w:tcMar>
            <w:vAlign w:val="bottom"/>
            <w:hideMark/>
          </w:tcPr>
          <w:p w14:paraId="33B9E7F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w:t>
            </w:r>
          </w:p>
        </w:tc>
        <w:tc>
          <w:tcPr>
            <w:tcW w:w="191" w:type="dxa"/>
            <w:shd w:val="clear" w:color="auto" w:fill="CFF0FC"/>
            <w:noWrap/>
            <w:tcMar>
              <w:top w:w="15" w:type="dxa"/>
              <w:left w:w="0" w:type="dxa"/>
              <w:bottom w:w="0" w:type="dxa"/>
              <w:right w:w="15" w:type="dxa"/>
            </w:tcMar>
            <w:vAlign w:val="bottom"/>
            <w:hideMark/>
          </w:tcPr>
          <w:p w14:paraId="7E04EF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1E54D8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7F86D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08" w:type="dxa"/>
            <w:tcBorders>
              <w:bottom w:val="single" w:sz="6" w:space="0" w:color="000000"/>
            </w:tcBorders>
            <w:shd w:val="clear" w:color="auto" w:fill="CFF0FC"/>
            <w:noWrap/>
            <w:tcMar>
              <w:top w:w="15" w:type="dxa"/>
              <w:left w:w="0" w:type="dxa"/>
              <w:bottom w:w="0" w:type="dxa"/>
              <w:right w:w="15" w:type="dxa"/>
            </w:tcMar>
            <w:vAlign w:val="bottom"/>
            <w:hideMark/>
          </w:tcPr>
          <w:p w14:paraId="50863EA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w:t>
            </w:r>
          </w:p>
        </w:tc>
        <w:tc>
          <w:tcPr>
            <w:tcW w:w="191" w:type="dxa"/>
            <w:shd w:val="clear" w:color="auto" w:fill="CFF0FC"/>
            <w:noWrap/>
            <w:tcMar>
              <w:top w:w="15" w:type="dxa"/>
              <w:left w:w="0" w:type="dxa"/>
              <w:bottom w:w="0" w:type="dxa"/>
              <w:right w:w="15" w:type="dxa"/>
            </w:tcMar>
            <w:vAlign w:val="bottom"/>
            <w:hideMark/>
          </w:tcPr>
          <w:p w14:paraId="491F37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4" w:type="dxa"/>
            <w:shd w:val="clear" w:color="auto" w:fill="CFF0FC"/>
            <w:tcMar>
              <w:top w:w="15" w:type="dxa"/>
              <w:left w:w="0" w:type="dxa"/>
              <w:bottom w:w="0" w:type="dxa"/>
              <w:right w:w="15" w:type="dxa"/>
            </w:tcMar>
            <w:vAlign w:val="bottom"/>
            <w:hideMark/>
          </w:tcPr>
          <w:p w14:paraId="4DA332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4" w:type="dxa"/>
            <w:tcBorders>
              <w:bottom w:val="single" w:sz="6" w:space="0" w:color="000000"/>
            </w:tcBorders>
            <w:shd w:val="clear" w:color="auto" w:fill="CFF0FC"/>
            <w:noWrap/>
            <w:tcMar>
              <w:top w:w="15" w:type="dxa"/>
              <w:left w:w="0" w:type="dxa"/>
              <w:bottom w:w="0" w:type="dxa"/>
              <w:right w:w="15" w:type="dxa"/>
            </w:tcMar>
            <w:vAlign w:val="bottom"/>
            <w:hideMark/>
          </w:tcPr>
          <w:p w14:paraId="08C50D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94" w:type="dxa"/>
            <w:tcBorders>
              <w:bottom w:val="single" w:sz="6" w:space="0" w:color="000000"/>
            </w:tcBorders>
            <w:shd w:val="clear" w:color="auto" w:fill="CFF0FC"/>
            <w:noWrap/>
            <w:tcMar>
              <w:top w:w="15" w:type="dxa"/>
              <w:left w:w="0" w:type="dxa"/>
              <w:bottom w:w="0" w:type="dxa"/>
              <w:right w:w="15" w:type="dxa"/>
            </w:tcMar>
            <w:vAlign w:val="bottom"/>
            <w:hideMark/>
          </w:tcPr>
          <w:p w14:paraId="0AB2E1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w:t>
            </w:r>
          </w:p>
        </w:tc>
        <w:tc>
          <w:tcPr>
            <w:tcW w:w="192" w:type="dxa"/>
            <w:shd w:val="clear" w:color="auto" w:fill="CFF0FC"/>
            <w:noWrap/>
            <w:tcMar>
              <w:top w:w="15" w:type="dxa"/>
              <w:left w:w="0" w:type="dxa"/>
              <w:bottom w:w="0" w:type="dxa"/>
              <w:right w:w="15" w:type="dxa"/>
            </w:tcMar>
            <w:vAlign w:val="bottom"/>
            <w:hideMark/>
          </w:tcPr>
          <w:p w14:paraId="0B8F7C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47DCC21" w14:textId="77777777" w:rsidTr="00AC4931">
        <w:tc>
          <w:tcPr>
            <w:tcW w:w="9980" w:type="dxa"/>
            <w:shd w:val="clear" w:color="auto" w:fill="FFFFFF"/>
            <w:tcMar>
              <w:top w:w="15" w:type="dxa"/>
              <w:left w:w="0" w:type="dxa"/>
              <w:bottom w:w="0" w:type="dxa"/>
              <w:right w:w="15" w:type="dxa"/>
            </w:tcMar>
            <w:vAlign w:val="bottom"/>
            <w:hideMark/>
          </w:tcPr>
          <w:p w14:paraId="40C4D9E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24" w:type="dxa"/>
            <w:shd w:val="clear" w:color="auto" w:fill="FFFFFF"/>
            <w:tcMar>
              <w:top w:w="15" w:type="dxa"/>
              <w:left w:w="0" w:type="dxa"/>
              <w:bottom w:w="0" w:type="dxa"/>
              <w:right w:w="15" w:type="dxa"/>
            </w:tcMar>
            <w:vAlign w:val="bottom"/>
            <w:hideMark/>
          </w:tcPr>
          <w:p w14:paraId="5AE74B8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6495C1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09"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760088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2,781</w:t>
            </w:r>
          </w:p>
        </w:tc>
        <w:tc>
          <w:tcPr>
            <w:tcW w:w="191" w:type="dxa"/>
            <w:shd w:val="clear" w:color="auto" w:fill="FFFFFF"/>
            <w:noWrap/>
            <w:tcMar>
              <w:top w:w="15" w:type="dxa"/>
              <w:left w:w="0" w:type="dxa"/>
              <w:bottom w:w="0" w:type="dxa"/>
              <w:right w:w="15" w:type="dxa"/>
            </w:tcMar>
            <w:vAlign w:val="bottom"/>
            <w:hideMark/>
          </w:tcPr>
          <w:p w14:paraId="3A34C34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1534E56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95122A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8ABBED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382</w:t>
            </w:r>
          </w:p>
        </w:tc>
        <w:tc>
          <w:tcPr>
            <w:tcW w:w="191" w:type="dxa"/>
            <w:shd w:val="clear" w:color="auto" w:fill="FFFFFF"/>
            <w:noWrap/>
            <w:tcMar>
              <w:top w:w="15" w:type="dxa"/>
              <w:left w:w="0" w:type="dxa"/>
              <w:bottom w:w="0" w:type="dxa"/>
              <w:right w:w="15" w:type="dxa"/>
            </w:tcMar>
            <w:vAlign w:val="bottom"/>
            <w:hideMark/>
          </w:tcPr>
          <w:p w14:paraId="5FC4BA8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1933F1D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8D2363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87"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377167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1,114</w:t>
            </w:r>
          </w:p>
        </w:tc>
        <w:tc>
          <w:tcPr>
            <w:tcW w:w="191" w:type="dxa"/>
            <w:shd w:val="clear" w:color="auto" w:fill="FFFFFF"/>
            <w:noWrap/>
            <w:tcMar>
              <w:top w:w="15" w:type="dxa"/>
              <w:left w:w="0" w:type="dxa"/>
              <w:bottom w:w="0" w:type="dxa"/>
              <w:right w:w="15" w:type="dxa"/>
            </w:tcMar>
            <w:vAlign w:val="bottom"/>
            <w:hideMark/>
          </w:tcPr>
          <w:p w14:paraId="7AA6243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52C7CF9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673682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30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46FCF5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743</w:t>
            </w:r>
          </w:p>
        </w:tc>
        <w:tc>
          <w:tcPr>
            <w:tcW w:w="191" w:type="dxa"/>
            <w:shd w:val="clear" w:color="auto" w:fill="FFFFFF"/>
            <w:noWrap/>
            <w:tcMar>
              <w:top w:w="15" w:type="dxa"/>
              <w:left w:w="0" w:type="dxa"/>
              <w:bottom w:w="0" w:type="dxa"/>
              <w:right w:w="15" w:type="dxa"/>
            </w:tcMar>
            <w:vAlign w:val="bottom"/>
            <w:hideMark/>
          </w:tcPr>
          <w:p w14:paraId="70727D1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24" w:type="dxa"/>
            <w:shd w:val="clear" w:color="auto" w:fill="FFFFFF"/>
            <w:tcMar>
              <w:top w:w="15" w:type="dxa"/>
              <w:left w:w="0" w:type="dxa"/>
              <w:bottom w:w="0" w:type="dxa"/>
              <w:right w:w="15" w:type="dxa"/>
            </w:tcMar>
            <w:vAlign w:val="bottom"/>
            <w:hideMark/>
          </w:tcPr>
          <w:p w14:paraId="7335F3E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4"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7DB049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94"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84BF1B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542</w:t>
            </w:r>
          </w:p>
        </w:tc>
        <w:tc>
          <w:tcPr>
            <w:tcW w:w="192" w:type="dxa"/>
            <w:shd w:val="clear" w:color="auto" w:fill="FFFFFF"/>
            <w:noWrap/>
            <w:tcMar>
              <w:top w:w="15" w:type="dxa"/>
              <w:left w:w="0" w:type="dxa"/>
              <w:bottom w:w="0" w:type="dxa"/>
              <w:right w:w="15" w:type="dxa"/>
            </w:tcMar>
            <w:vAlign w:val="bottom"/>
            <w:hideMark/>
          </w:tcPr>
          <w:p w14:paraId="0483EF3E"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790CE713"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40</w:t>
      </w:r>
    </w:p>
    <w:p w14:paraId="7F09C2FA"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489F36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B4C40C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75E54F5"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6E7614E">
          <v:rect id="_x0000_i1067" style="width:0;height:1.5pt" o:hralign="center" o:hrstd="t" o:hrnoshade="t" o:hr="t" fillcolor="black" stroked="f"/>
        </w:pict>
      </w:r>
    </w:p>
    <w:p w14:paraId="68EE111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012BA9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98DB3E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C3CB9AF"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10AC2A98"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48D6C4F8" w14:textId="77777777" w:rsidTr="00AC4931">
        <w:tc>
          <w:tcPr>
            <w:tcW w:w="919" w:type="dxa"/>
            <w:noWrap/>
            <w:hideMark/>
          </w:tcPr>
          <w:p w14:paraId="37EACFA7"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462D099E"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Excludes contingent liabilities arising from litigation, arbitration, regulatory actions or income taxes.</w:t>
            </w:r>
          </w:p>
        </w:tc>
      </w:tr>
      <w:tr w:rsidR="00AC4931" w:rsidRPr="00AC4931" w14:paraId="044B7D21" w14:textId="77777777" w:rsidTr="00AC4931">
        <w:tc>
          <w:tcPr>
            <w:tcW w:w="919" w:type="dxa"/>
            <w:noWrap/>
            <w:hideMark/>
          </w:tcPr>
          <w:p w14:paraId="724F3E60"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w:t>
            </w:r>
          </w:p>
        </w:tc>
        <w:tc>
          <w:tcPr>
            <w:tcW w:w="0" w:type="auto"/>
            <w:hideMark/>
          </w:tcPr>
          <w:p w14:paraId="6518D25F"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Expected contributions for funded and unfunded defined benefit plans exclude payments beyond 2020.</w:t>
            </w:r>
          </w:p>
        </w:tc>
      </w:tr>
    </w:tbl>
    <w:p w14:paraId="5F0BFCB4"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Contractual obligations include debt, lease and purchase obligations that are enforceable and legally binding on the Company. Non-controlling interest and restructuring obligations are not included in this table. The major employee obligations as a result of restructuring are disclosed in Note 12 to Consolidated Financial Statements included herein.</w:t>
      </w:r>
    </w:p>
    <w:p w14:paraId="69EA7B8D"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Debt obligations:</w:t>
      </w:r>
      <w:r w:rsidRPr="00AC4931">
        <w:rPr>
          <w:rFonts w:ascii="Arial" w:eastAsia="宋体" w:hAnsi="Arial" w:cs="Arial"/>
          <w:color w:val="000000"/>
          <w:kern w:val="0"/>
          <w:sz w:val="18"/>
          <w:szCs w:val="18"/>
        </w:rPr>
        <w:t> For material contractual provisions, see Note 14 to the Consolidated Financial Statements included herein.</w:t>
      </w:r>
    </w:p>
    <w:p w14:paraId="6392BB38"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Fixed-interest obligations:</w:t>
      </w:r>
      <w:r w:rsidRPr="00AC4931">
        <w:rPr>
          <w:rFonts w:ascii="Arial" w:eastAsia="宋体" w:hAnsi="Arial" w:cs="Arial"/>
          <w:color w:val="000000"/>
          <w:kern w:val="0"/>
          <w:sz w:val="18"/>
          <w:szCs w:val="18"/>
        </w:rPr>
        <w:t> These obligations include interest on debt and credit agreements relating to periods after December 31, 2020, excluding fees on the revolving credit facility and interest on debts with no defined amortization plan.</w:t>
      </w:r>
    </w:p>
    <w:p w14:paraId="0F253BDF"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Operating lease obligations:</w:t>
      </w:r>
      <w:r w:rsidRPr="00AC4931">
        <w:rPr>
          <w:rFonts w:ascii="Arial" w:eastAsia="宋体" w:hAnsi="Arial" w:cs="Arial"/>
          <w:color w:val="000000"/>
          <w:kern w:val="0"/>
          <w:sz w:val="18"/>
          <w:szCs w:val="18"/>
        </w:rPr>
        <w:t> These obligations represent the payment obligations (undiscounted cash flows) under leases classified as operating leases. The Company leases certain offices, manufacturing and research buildings, machinery, automobiles, data processing and other equipment. Such operating leases, some of which are non-cancelable and include renewals, expire on various dates. Capital lease obligations are not material. See Note 4 to the Consolidated Financial Statements included herein.</w:t>
      </w:r>
    </w:p>
    <w:p w14:paraId="22769C66"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Unconditional purchase obligations:</w:t>
      </w:r>
      <w:r w:rsidRPr="00AC4931">
        <w:rPr>
          <w:rFonts w:ascii="Arial" w:eastAsia="宋体" w:hAnsi="Arial" w:cs="Arial"/>
          <w:color w:val="000000"/>
          <w:kern w:val="0"/>
          <w:sz w:val="18"/>
          <w:szCs w:val="18"/>
        </w:rPr>
        <w:t> There are no unconditional purchase obligations other than short-term obligations related to inventory, services, tooling, and property, plant and equipment purchased in the ordinary course of business.</w:t>
      </w:r>
    </w:p>
    <w:p w14:paraId="3B5ACC59"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Purchase agreements with suppliers entered into in the ordinary course of business do not generally include fixed quantities. Quantities and delivery dates are established in “call off plans” accessible electronically for all customers and suppliers involved. Communicated “call off plans” for production material from suppliers are normally reflected in equivalent commitments from Autoliv customers.</w:t>
      </w:r>
    </w:p>
    <w:p w14:paraId="255E3D43"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Pension contribution requirements:</w:t>
      </w:r>
      <w:r w:rsidRPr="00AC4931">
        <w:rPr>
          <w:rFonts w:ascii="Arial" w:eastAsia="宋体" w:hAnsi="Arial" w:cs="Arial"/>
          <w:color w:val="000000"/>
          <w:kern w:val="0"/>
          <w:sz w:val="18"/>
          <w:szCs w:val="18"/>
        </w:rPr>
        <w:t> The Company sponsors defined benefit plans that cover a significant portion of our U.S. employees and certain non-U.S. employees. The pension plans in the U.S. are funded in conformity with the minimum funding requirements of the Pension Protection Act of 2006. Funding for our pension plans in other countries is based upon plan provisions, actuarial recommendations and/or statutory requirements.</w:t>
      </w:r>
    </w:p>
    <w:p w14:paraId="2B60FF6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2021, the expected contribution to all plans, including direct payments to retirees, is $21 million, of which the major contribution is $13 million for our U.S. pension plans. Due to volatility associated with future changes in interest rates and plan asset returns, the Company cannot predict with reasonable reliability the timing and amounts of future funding requirements, and therefore the above excludes payments beyond 2021. We may elect to make contributions in excess of the minimum funding requirements for the U.S. plans in response to investment performance and changes in interest rates, or when we believe that it is financially advantageous to do so and based on other capital requirements. See Note 19 to the Consolidated Financial Statements included herein.</w:t>
      </w:r>
    </w:p>
    <w:p w14:paraId="4332872E"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Other non-current liabilities reflected on the balance sheet:</w:t>
      </w:r>
      <w:r w:rsidRPr="00AC4931">
        <w:rPr>
          <w:rFonts w:ascii="Arial" w:eastAsia="宋体" w:hAnsi="Arial" w:cs="Arial"/>
          <w:color w:val="000000"/>
          <w:kern w:val="0"/>
          <w:sz w:val="18"/>
          <w:szCs w:val="18"/>
        </w:rPr>
        <w:t> These consist mainly of local governmental liabilities.</w:t>
      </w:r>
    </w:p>
    <w:p w14:paraId="0478C01D"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OFF-BALANCE SHEET ARRANGEMENTS</w:t>
      </w:r>
    </w:p>
    <w:p w14:paraId="276EC83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does not have any off-balance sheet arrangements that have, or are reasonably likely to have, a material current or future effect on its financial position, results of operations or cash flows.</w:t>
      </w:r>
    </w:p>
    <w:p w14:paraId="6002C75B" w14:textId="77777777" w:rsidR="00AC4931" w:rsidRPr="00AC4931" w:rsidRDefault="00AC4931" w:rsidP="00AC4931">
      <w:pPr>
        <w:widowControl/>
        <w:spacing w:before="340"/>
        <w:rPr>
          <w:rFonts w:ascii="Arial" w:eastAsia="宋体" w:hAnsi="Arial" w:cs="Arial"/>
          <w:b/>
          <w:bCs/>
          <w:color w:val="000000"/>
          <w:kern w:val="0"/>
          <w:sz w:val="22"/>
        </w:rPr>
      </w:pPr>
      <w:r w:rsidRPr="00AC4931">
        <w:rPr>
          <w:rFonts w:ascii="Arial" w:eastAsia="宋体" w:hAnsi="Arial" w:cs="Arial"/>
          <w:b/>
          <w:bCs/>
          <w:color w:val="000000"/>
          <w:kern w:val="0"/>
          <w:sz w:val="22"/>
        </w:rPr>
        <w:t>Risks and Risk Management</w:t>
      </w:r>
    </w:p>
    <w:p w14:paraId="65A6D9CE"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is exposed to several categories of risks. They can broadly be categorized as operational risks, strategic risks and financial risks. Some of the major risks in each category are described below. There are also other risks that could have a material effect on the Company’s results and financial position, and the description below is not complete but should be read in conjunction with the discussion of risks described in Item 1A above, which contains a description of our material risks.</w:t>
      </w:r>
    </w:p>
    <w:p w14:paraId="4CFE9551"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As described below, the Company has taken several mitigating actions, applied numerous strategies, adopted policies, and introduced control and reporting systems to reduce and mitigate these risks. In addition, the Company from time to time identifies and evaluates emerging or changing risks to the Company in order to ensure that identified risks and related risk management are updated in this fast-moving environment.</w:t>
      </w:r>
    </w:p>
    <w:p w14:paraId="5DB32A54" w14:textId="77777777" w:rsidR="00AC4931" w:rsidRPr="00AC4931" w:rsidRDefault="00AC4931" w:rsidP="00AC4931">
      <w:pPr>
        <w:widowControl/>
        <w:spacing w:before="340"/>
        <w:rPr>
          <w:rFonts w:ascii="Arial" w:eastAsia="宋体" w:hAnsi="Arial" w:cs="Arial"/>
          <w:b/>
          <w:bCs/>
          <w:color w:val="000000"/>
          <w:kern w:val="0"/>
          <w:sz w:val="22"/>
        </w:rPr>
      </w:pPr>
      <w:r w:rsidRPr="00AC4931">
        <w:rPr>
          <w:rFonts w:ascii="Arial" w:eastAsia="宋体" w:hAnsi="Arial" w:cs="Arial"/>
          <w:b/>
          <w:bCs/>
          <w:color w:val="000000"/>
          <w:kern w:val="0"/>
          <w:sz w:val="22"/>
        </w:rPr>
        <w:lastRenderedPageBreak/>
        <w:t>Operational Risks</w:t>
      </w:r>
    </w:p>
    <w:p w14:paraId="3D6BB38E" w14:textId="77777777" w:rsidR="00AC4931" w:rsidRPr="00AC4931" w:rsidRDefault="00AC4931" w:rsidP="00AC4931">
      <w:pPr>
        <w:widowControl/>
        <w:spacing w:before="120"/>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LIGHT VEHICLE PRODUCTION</w:t>
      </w:r>
    </w:p>
    <w:p w14:paraId="67D41CA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Around 30% of Autoliv’s costs are fixed; therefore, short-term earnings are dependent on sales volumes and highly dependent on capacity utilization in the Company’s plants.</w:t>
      </w:r>
    </w:p>
    <w:p w14:paraId="4F5C6393"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41</w:t>
      </w:r>
    </w:p>
    <w:p w14:paraId="2664D2A0"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4F0FDE6"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C4915C1"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AD4659B"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158CC322">
          <v:rect id="_x0000_i1068" style="width:0;height:1.5pt" o:hralign="center" o:hrstd="t" o:hrnoshade="t" o:hr="t" fillcolor="black" stroked="f"/>
        </w:pict>
      </w:r>
    </w:p>
    <w:p w14:paraId="114AB2A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9B4146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C803AB8"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E596369" w14:textId="77777777" w:rsidR="00AC4931" w:rsidRPr="00AC4931" w:rsidRDefault="00AC4931" w:rsidP="00AC4931">
      <w:pPr>
        <w:widowControl/>
        <w:spacing w:before="24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Global LVP is an indicator of the Company’s sales development. Ultimately, however, sales are determined by the production levels for the individual vehicle models for which Autoliv is a supplier (see Dependence on Customers). The Company’s sales are split over several hundred contracts covering almost 1,200 vehicle models. This moderates the effect of changes in vehicle demand of individual countries and regions as well as production issues. The risk of fluctuating sales has also been mitigated by Autoliv’s rapid expansion in Asia and other growth markets, which has reduced the Company’s former high dependence on sales in Europe to a diversified mix with Europe, the Americas and Asia each accounting for </w:t>
      </w:r>
      <w:r w:rsidRPr="00AC4931">
        <w:rPr>
          <w:rFonts w:ascii="Arial" w:eastAsia="宋体" w:hAnsi="Arial" w:cs="Arial"/>
          <w:color w:val="000000"/>
          <w:kern w:val="0"/>
          <w:sz w:val="18"/>
          <w:szCs w:val="18"/>
          <w:shd w:val="clear" w:color="auto" w:fill="FFFFFF"/>
        </w:rPr>
        <w:t>roughly 30% to 40%</w:t>
      </w:r>
      <w:r w:rsidRPr="00AC4931">
        <w:rPr>
          <w:rFonts w:ascii="Arial" w:eastAsia="宋体" w:hAnsi="Arial" w:cs="Arial"/>
          <w:color w:val="000000"/>
          <w:kern w:val="0"/>
          <w:sz w:val="18"/>
          <w:szCs w:val="18"/>
        </w:rPr>
        <w:t> of our 2020 total sales.</w:t>
      </w:r>
    </w:p>
    <w:p w14:paraId="36478052"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It is the Company’s strategy to reduce the risk of fluctuating LVP by using a high number of temporary employees instead of permanent employees in direct production. During 2020 and 2019, the level of temporary employees in relation to total headcount in direct production was 13% and 11%, respectively. To reduce the potential impact of unusual fluctuations in the production of vehicle models supplied by the Company such as during the financial crisis of 2008 and 2009 and the Covid-19 pandemic in 2020– it is also necessary for the Company to be prepared to quickly adapt the level of permanent employees as well as fixed cost production capacity.</w:t>
      </w:r>
    </w:p>
    <w:p w14:paraId="7012A712" w14:textId="77777777" w:rsidR="00AC4931" w:rsidRPr="00AC4931" w:rsidRDefault="00AC4931" w:rsidP="00AC4931">
      <w:pPr>
        <w:widowControl/>
        <w:spacing w:before="240"/>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6A06337" w14:textId="77777777" w:rsidR="00AC4931" w:rsidRPr="00AC4931" w:rsidRDefault="00AC4931" w:rsidP="00AC4931">
      <w:pPr>
        <w:widowControl/>
        <w:spacing w:before="34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PRICING PRESSURE</w:t>
      </w:r>
    </w:p>
    <w:p w14:paraId="220AEA4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Pricing pressure from customers is an inherent part of the automotive components business. The extent of price reductions varies from year to year and takes the form of one time give backs, reductions in direct sales prices or discounted reimbursements for engineering work.</w:t>
      </w:r>
    </w:p>
    <w:p w14:paraId="17C99F13"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response, Autoliv is continuously engaged in efforts to reduce costs and to provide customers added value by developing new products. Generally, the speed by which these cost-reduction programs generate results will, to a large extent, determine the future profitability of the Company. The various cost-reduction programs are, to a considerable extent, interrelated. This interrelationship makes it difficult to isolate the impact of costs on any single program, therefore, we monitor key measures such as costs in relation to sales and productivity.</w:t>
      </w:r>
    </w:p>
    <w:p w14:paraId="2CE85F1D"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COMPONENT COSTS</w:t>
      </w:r>
    </w:p>
    <w:p w14:paraId="6995B2C0"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cost of direct materials was approximately 50% of sales in 2020.</w:t>
      </w:r>
    </w:p>
    <w:p w14:paraId="2EF75A1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main raw materials being used as input material for Autoliv operations are steel, textiles, plastic and non-ferrous metals. We still see effects coming from the import tariffs imposed by the United States and other countries, on steel and aluminum products. These import tariffs are impacting the raw material market and creating pricing and availability uncertainties.</w:t>
      </w:r>
    </w:p>
    <w:p w14:paraId="62475B1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take several actions to mitigate raw material price increases, such as competitive sourcing and exploring alternative materials.</w:t>
      </w:r>
    </w:p>
    <w:p w14:paraId="667DCF60"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LEGAL</w:t>
      </w:r>
    </w:p>
    <w:p w14:paraId="0389902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is involved from time to time in regulatory, commercial and contractual legal proceedings that may be significant, and the Company’s business may suffer as a result of adverse outcomes of current or future legal proceedings. These claims may include, without limitation, commercial or contractual disputes, including disputes with the Company’s suppliers and customers, intellectual property matters, alleged violations of laws, rules or regulations, governmental investigations, personal injury claims, product liability claims, environmental issues, tax and customs matters, and employment matters.</w:t>
      </w:r>
    </w:p>
    <w:p w14:paraId="4F6C392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 substantial legal liability or adverse regulatory outcome and the substantial cost to defend the litigation or regulatory proceedings may have an adverse effect on the Company’s business, operating results, financial condition, cash flows and reputation.</w:t>
      </w:r>
    </w:p>
    <w:p w14:paraId="05D97938"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No assurances can be given that such proceedings and claims will not have a material adverse impact on the Company’s profitability and consolidated financial position, or that reserves or insurance will mitigate such impact. See Note 18 to the Consolidated Financial Statements included herein and Item 3 – Legal Proceedings.</w:t>
      </w:r>
    </w:p>
    <w:p w14:paraId="030C09FA"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42</w:t>
      </w:r>
    </w:p>
    <w:p w14:paraId="7FE76AD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BFBEFE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B2FBB0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125C47F"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426A201">
          <v:rect id="_x0000_i1069" style="width:0;height:1.5pt" o:hralign="center" o:hrstd="t" o:hrnoshade="t" o:hr="t" fillcolor="black" stroked="f"/>
        </w:pict>
      </w:r>
    </w:p>
    <w:p w14:paraId="10EFF94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13AFB06"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EBCF40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1EAFBD3" w14:textId="77777777" w:rsidR="00AC4931" w:rsidRPr="00AC4931" w:rsidRDefault="00AC4931" w:rsidP="00AC4931">
      <w:pPr>
        <w:widowControl/>
        <w:spacing w:before="34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PRODUCT WARRANTY AND RECALLS</w:t>
      </w:r>
    </w:p>
    <w:p w14:paraId="4ECB9F7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If our products are alleged to fail to perform as expected or are defective, the Company may be exposed to various claims for damages and compensation. Such claims may result in costs and other losses to the Company even where the relevant product is eventually found to have functioned properly. If a product (actually or allegedly) fails to perform as expected or is defective, we may face warranty and recall claims. If such actual or alleged failure or defect results, or is alleged to result, in bodily injury and/or property damage, we may also face product liability and other claims. The Company may experience material warranty, recall, product or other liability claims or losses in the future, and the Company may incur </w:t>
      </w:r>
      <w:r w:rsidRPr="00AC4931">
        <w:rPr>
          <w:rFonts w:ascii="Arial" w:eastAsia="宋体" w:hAnsi="Arial" w:cs="Arial"/>
          <w:color w:val="000000"/>
          <w:kern w:val="0"/>
          <w:sz w:val="18"/>
          <w:szCs w:val="18"/>
        </w:rPr>
        <w:lastRenderedPageBreak/>
        <w:t>significant cost to defend against such claims. The Company may be required to participate in a recall involving its products. Each vehicle manufacturer has its own practices regarding product recalls and other product liability actions relating to its suppliers. Government safety regulators also have policies and practices with respect to recalls. As suppliers become more integrally involved in the vehicle design process and assume more of the vehicle assembly functions, vehicle manufacturers are increasingly looking to their suppliers for contribution when faced with recalls and product liability claims. In addition, with global platforms and procedures, vehicle manufacturers are increasingly evaluating our quality performance on a global basis. Any one or more quality, warranty or other recall issue(s), including the ones affecting few units and/or having a small financial impact, may cause a vehicle manufacturer to implement measures which may have a severe impact on the Company’s operations, such as a temporary or prolonged suspension of new orders or the Company’s ability to bid for new business.</w:t>
      </w:r>
    </w:p>
    <w:p w14:paraId="74B1CC48"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addition, over time, there is a risk that the number of vehicles affected by a failure or defect will increase significantly (as would the Company’s costs), since our products often use global designs and are increasingly based on or utilize the same or similar parts, components or solutions.</w:t>
      </w:r>
    </w:p>
    <w:p w14:paraId="63F6D280"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Although quality has always been a central focus in the automotive industry, especially for safety products, our customers and regulators have become increasingly attentive to quality with even less tolerance for any deviations, which has resulted in an increase in the number of automotive recalls. This trend is likely to continue as automobile manufacturers introduce even stricter quality requirements and regulating agencies and other authorities increase the level of scrutiny given to vehicle safety issues. A warranty recall or a product liability claim brought against the Company in excess of the Company’s insurance may have a material adverse effect on its business and/or financial results. Vehicle manufacturers are also increasingly requiring their external suppliers to guarantee or warrant their products and bear the costs of repair and replacement of such products under new vehicle warranties. A vehicle manufacturer may attempt to hold the Company responsible for some or all of the repair or replacement costs of defective products under new vehicle warranties when the product supplied did not perform as represented. Additionally, a customer may not allow us to bid for expiring or new business until certain remedial steps have been taken. Accordingly, the future costs of warranty claims by the Company’s customers may be material.</w:t>
      </w:r>
    </w:p>
    <w:p w14:paraId="0EF66B8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Company’s warranty reserves are based upon management’s best estimates of amounts necessary to settle future and existing claims. Management regularly evaluates the appropriateness of these reserves and adjusts them when we believe it is appropriate to do so. However, the final amounts determined to be due could differ materially from the Company’s recorded estimates. We believe our established reserves are adequate to cover potential warranty settlements typically seen in our business.</w:t>
      </w:r>
    </w:p>
    <w:p w14:paraId="1E8779D4"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The Company’s strategy is to follow a stringent procedure when developing new products and technologies and to apply a proactive “zero-defect” quality policy (see section Quality Management). In addition, the Company maintains a program of insurance, which may include commercial insurance, self-insurance, or a combination of both approaches, for potential recall and product liability claims in amounts and on terms that it believes are reasonable and prudent based on our prior claims experience. However, such insurance may not be sufficient to cover every possible claim that can arise in the Company’s businesses, now or in the future, or may not always will be available should the Company, now or in the future, wish to extend, renew, increase or otherwise adjust such insurance. In recent years, the cost of </w:t>
      </w:r>
      <w:r w:rsidRPr="00AC4931">
        <w:rPr>
          <w:rFonts w:ascii="Arial" w:eastAsia="宋体" w:hAnsi="Arial" w:cs="Arial"/>
          <w:color w:val="000000"/>
          <w:kern w:val="0"/>
          <w:sz w:val="18"/>
          <w:szCs w:val="18"/>
        </w:rPr>
        <w:lastRenderedPageBreak/>
        <w:t>recall and product liability insurance as well as the Company’s level of self-insurance and deductibles has increased.  Management’s decision regarding what insurance to procure is also impacted by the cost for such insurance. As a result, the Company may face material losses in excess of the insurance coverage procured. A substantial recall or liability in excess of coverage levels could therefore have a material adverse effect on the Company.</w:t>
      </w:r>
    </w:p>
    <w:p w14:paraId="4E596972" w14:textId="77777777" w:rsidR="00AC4931" w:rsidRPr="00AC4931" w:rsidRDefault="00AC4931" w:rsidP="00AC4931">
      <w:pPr>
        <w:widowControl/>
        <w:spacing w:before="240"/>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72F136E" w14:textId="77777777" w:rsidR="00AC4931" w:rsidRPr="00AC4931" w:rsidRDefault="00AC4931" w:rsidP="00AC4931">
      <w:pPr>
        <w:widowControl/>
        <w:spacing w:before="34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ENVIRONMENTAL</w:t>
      </w:r>
    </w:p>
    <w:p w14:paraId="440934B5"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Most of the Company’s manufacturing processes consist of the assembly of components. As a result, the environmental impact from the Company’s plants is generally modest. While the Company’s businesses from time to time are subject to environmental investigations, there are no material environmental-related cases pending against the Company. Therefore, Autoliv does not incur (or expect to incur) any material costs or capital expenditures associated with maintaining facilities compliant with U.S. or non-U.S. environmental requirements. To reduce environmental risk, the Company has implemented an environmental management system in all plants globally and has adopted an environmental policy (see corporate website www.autoliv.com).</w:t>
      </w:r>
    </w:p>
    <w:p w14:paraId="3037E41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Autoliv is subject to a number of environmental and occupational health and safety laws and regulations. Such requirements are complex and are generally becoming more stringent over time. There can be no assurance that these requirements will not change in the future, or that we will at all times be in compliance with all such requirements and regulations, despite our intention to be. The Company may also find itself subject, possibly due to changes in legislation or other regulation, to environmental liabilities based on the activities of its predecessor entities or of businesses acquired. Such liability could be based on activities which are not related to the Company’s current activities.</w:t>
      </w:r>
    </w:p>
    <w:p w14:paraId="6B36F6A3" w14:textId="77777777" w:rsidR="00AC4931" w:rsidRPr="00AC4931" w:rsidRDefault="00AC4931" w:rsidP="00AC4931">
      <w:pPr>
        <w:widowControl/>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t> </w:t>
      </w:r>
    </w:p>
    <w:p w14:paraId="36A0BDB5"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43</w:t>
      </w:r>
    </w:p>
    <w:p w14:paraId="4F9A913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7C190E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7E0779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958799A"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921D21C">
          <v:rect id="_x0000_i1070" style="width:0;height:1.5pt" o:hralign="center" o:hrstd="t" o:hrnoshade="t" o:hr="t" fillcolor="black" stroked="f"/>
        </w:pict>
      </w:r>
    </w:p>
    <w:p w14:paraId="323DE70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BD5E353"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77E957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E388D16"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1A8947D5" w14:textId="77777777" w:rsidR="00AC4931" w:rsidRPr="00AC4931" w:rsidRDefault="00AC4931" w:rsidP="00AC4931">
      <w:pPr>
        <w:widowControl/>
        <w:spacing w:before="1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TRADE</w:t>
      </w:r>
    </w:p>
    <w:p w14:paraId="1F956AC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Autoliv is subject to various international trade regulations and regimes and changes in these regimes could lead to increased compliance costs and costs of raw materials and other components. In addition, political conditions leading to trade conflicts and the imposition of tariffs or other trade barriers between countries in which we do business could increase our costs of doing business.</w:t>
      </w:r>
    </w:p>
    <w:p w14:paraId="422D46AE" w14:textId="77777777" w:rsidR="00AC4931" w:rsidRPr="00AC4931" w:rsidRDefault="00AC4931" w:rsidP="00AC4931">
      <w:pPr>
        <w:widowControl/>
        <w:spacing w:before="160"/>
        <w:rPr>
          <w:rFonts w:ascii="Arial" w:eastAsia="宋体" w:hAnsi="Arial" w:cs="Arial"/>
          <w:b/>
          <w:bCs/>
          <w:color w:val="000000"/>
          <w:kern w:val="0"/>
          <w:sz w:val="22"/>
        </w:rPr>
      </w:pPr>
      <w:r w:rsidRPr="00AC4931">
        <w:rPr>
          <w:rFonts w:ascii="Arial" w:eastAsia="宋体" w:hAnsi="Arial" w:cs="Arial"/>
          <w:b/>
          <w:bCs/>
          <w:color w:val="000000"/>
          <w:kern w:val="0"/>
          <w:sz w:val="22"/>
        </w:rPr>
        <w:t>Strategic Risks</w:t>
      </w:r>
    </w:p>
    <w:p w14:paraId="5DFD4F82"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REGULATIONS</w:t>
      </w:r>
    </w:p>
    <w:p w14:paraId="59E0274F"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In addition to vehicle production, the Company’s market is driven by the safety content per vehicle, which is affected by new regulations and new vehicle rating programs, in addition to consumer demand for new safety technologies.</w:t>
      </w:r>
    </w:p>
    <w:p w14:paraId="0750EFEC"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shd w:val="clear" w:color="auto" w:fill="FFFFFF"/>
        </w:rPr>
        <w:t>The most important regulations are the seatbelt installation laws that exist in all vehicle-producing countries. Many countries also have strict enforcement laws on the wearing of seatbelts. Another significant vehicle safety regulation is the U.S. federal law that, since 1997, requires frontal airbags for both the driver and the front-seat passenger in all new vehicles sold in the U.S.</w:t>
      </w:r>
    </w:p>
    <w:p w14:paraId="4710EBA1"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shd w:val="clear" w:color="auto" w:fill="FFFFFF"/>
        </w:rPr>
        <w:t>In 2007, the U.S. adopted new regulations for head impact and enhanced thorax protection in side impact crashes, which now have been fully phased-in. China introduced a vehicle rating program in 2006, and Latin America introduced a similar program in 2010 followed by ASEAN NCAP in Southeast Asia in 2011, and Global NCAP that is rating vehicles sold in emerging markets (like India). The United States upgraded its vehicle rating program in 2010 and Europe upgraded the Euro NCAP rating system during 2018. Euro NCAP has initiated the next upgrade, which will be fully implemented by 2025. Japan and South Korea are continuously upgrading their respective vehicle rating programs, JNCAP and KNCAP respectively. India requires frontal airbags for the driver from July 2019, and will require passenger airbags from 2021 for all new passenger vehicles (M1). Vehicles with automated driving systems (ADS) are expected to provide additional opportunities through integration of protective safety systems with ADAS technologies, as well as new vehicle interior layouts and seating configurations. There are also other plans for improved automotive safety, both in these countries and others that could affect the Company’s market.</w:t>
      </w:r>
      <w:r w:rsidRPr="00AC4931">
        <w:rPr>
          <w:rFonts w:ascii="Arial" w:eastAsia="宋体" w:hAnsi="Arial" w:cs="Arial"/>
          <w:color w:val="000000"/>
          <w:kern w:val="0"/>
          <w:sz w:val="20"/>
          <w:szCs w:val="20"/>
          <w:shd w:val="clear" w:color="auto" w:fill="FFFFFF"/>
        </w:rPr>
        <w:t> </w:t>
      </w:r>
      <w:r w:rsidRPr="00AC4931">
        <w:rPr>
          <w:rFonts w:ascii="Arial" w:eastAsia="宋体" w:hAnsi="Arial" w:cs="Arial"/>
          <w:color w:val="000000"/>
          <w:kern w:val="0"/>
          <w:sz w:val="18"/>
          <w:szCs w:val="18"/>
        </w:rPr>
        <w:t>However, there can be no assurance that changes in regulations will not adversely affect the demand for the Company’s products or, at least, result in a slower increase in the demand for them.</w:t>
      </w:r>
    </w:p>
    <w:p w14:paraId="6F2C507C"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DEPENDENCE ON CUSTOMERS</w:t>
      </w:r>
    </w:p>
    <w:p w14:paraId="12188C7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 2020, the five largest vehicle manufacturers accounted for around 51% of global LVP and the ten largest manufacturers for around 75%.</w:t>
      </w:r>
    </w:p>
    <w:p w14:paraId="52D0E4BA"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As a result of this highly consolidated market, the Company is dependent on a relatively small number of customers with strong purchasing power.</w:t>
      </w:r>
    </w:p>
    <w:p w14:paraId="32E3A251"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2020, the Company’s five largest customers accounted for around 53% of revenues and the ten largest customers for around 81% of revenues. For a list of the largest customers, see Note 21 Segment Information to the Consolidated Financial Statements included herein.</w:t>
      </w:r>
    </w:p>
    <w:p w14:paraId="61D6C2BC"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Our largest customer contract accounted for around 2% of sales in 2020. Although business with every major customer is split into at least several contracts (usually one contract per vehicle platform) and although the customer base has become more balanced and diversified as a result of Autoliv’s significant expansion in China and other rapidly-growing markets, the loss of all business from a major customer (whether by a cancellation of existing contracts or not awarding Autoliv new business), the consolidation of one or more major customers or a bankruptcy of a major customer could have a material adverse effect on the Company. In addition, a quality issue, shortcomings in our service to a customer or uncompetitive prices or products could result in the customer not awarding us new business, which will gradually have a negative impact on our sales when current contracts start to expire.</w:t>
      </w:r>
    </w:p>
    <w:p w14:paraId="06F980D0"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CUSTOMER PAYMENT RISK</w:t>
      </w:r>
    </w:p>
    <w:p w14:paraId="2CCF6F3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Another risk related to our customers is the risk that one or more of our customers will be unable to pay their invoices that become due. We seek to limit this customer payment risk by invoicing our major customers through their local subsidiaries in each country, even for global contracts. By invoicing this way, we attempt to avoid having the receivables with a multinational customer group exposed to the risk that a bankruptcy or similar event in one country would put all receivables with such customer group at risk. In each country, we also monitor invoices becoming overdue.</w:t>
      </w:r>
    </w:p>
    <w:p w14:paraId="2CEAB85F"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Even so, if a major customer is unable to fulfill its payment obligations, it is likely that we would be forced to record a substantial loss on such receivables.</w:t>
      </w:r>
    </w:p>
    <w:p w14:paraId="43AFE61C"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44</w:t>
      </w:r>
    </w:p>
    <w:p w14:paraId="4E1B929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2D3A391"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C36BD0D"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AFF9196"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1865C87">
          <v:rect id="_x0000_i1071" style="width:0;height:1.5pt" o:hralign="center" o:hrstd="t" o:hrnoshade="t" o:hr="t" fillcolor="black" stroked="f"/>
        </w:pict>
      </w:r>
    </w:p>
    <w:p w14:paraId="7980F69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381DE0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8303353"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C2DBD23" w14:textId="77777777" w:rsidR="00AC4931" w:rsidRPr="00AC4931" w:rsidRDefault="00AC4931" w:rsidP="00AC4931">
      <w:pPr>
        <w:widowControl/>
        <w:spacing w:before="34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DEPENDENCE ON SUPPLIERS</w:t>
      </w:r>
    </w:p>
    <w:p w14:paraId="41BDB438" w14:textId="77777777" w:rsidR="00AC4931" w:rsidRPr="00AC4931" w:rsidRDefault="00AC4931" w:rsidP="00AC4931">
      <w:pPr>
        <w:widowControl/>
        <w:spacing w:before="340"/>
        <w:rPr>
          <w:rFonts w:ascii="Arial" w:eastAsia="宋体" w:hAnsi="Arial" w:cs="Arial"/>
          <w:color w:val="000000"/>
          <w:kern w:val="0"/>
          <w:sz w:val="18"/>
          <w:szCs w:val="18"/>
        </w:rPr>
      </w:pPr>
      <w:r w:rsidRPr="00AC4931">
        <w:rPr>
          <w:rFonts w:ascii="Arial" w:eastAsia="宋体" w:hAnsi="Arial" w:cs="Arial"/>
          <w:color w:val="000000"/>
          <w:kern w:val="0"/>
          <w:sz w:val="18"/>
          <w:szCs w:val="18"/>
        </w:rPr>
        <w:t>Autoliv relies on internal and/or external suppliers in order to meet its delivery commitments to the customers. In some cases, suppliers are dictated by the customers based on very specific qualification requirements. Autoliv supply chain organization is reviewing sourcing risks and actively working on mitigating related supply chain risks.</w:t>
      </w:r>
    </w:p>
    <w:p w14:paraId="25B78D48" w14:textId="77777777" w:rsidR="00AC4931" w:rsidRPr="00AC4931" w:rsidRDefault="00AC4931" w:rsidP="00AC4931">
      <w:pPr>
        <w:widowControl/>
        <w:spacing w:before="340"/>
        <w:rPr>
          <w:rFonts w:ascii="Arial" w:eastAsia="宋体" w:hAnsi="Arial" w:cs="Arial"/>
          <w:color w:val="000000"/>
          <w:kern w:val="0"/>
          <w:sz w:val="18"/>
          <w:szCs w:val="18"/>
        </w:rPr>
      </w:pPr>
      <w:r w:rsidRPr="00AC4931">
        <w:rPr>
          <w:rFonts w:ascii="Arial" w:eastAsia="宋体" w:hAnsi="Arial" w:cs="Arial"/>
          <w:color w:val="000000"/>
          <w:kern w:val="0"/>
          <w:sz w:val="18"/>
          <w:szCs w:val="18"/>
        </w:rPr>
        <w:t>Autoliv’s ambition is to maintain an optimal number of suppliers in all significant component technologies.</w:t>
      </w:r>
    </w:p>
    <w:p w14:paraId="0DB3BAD5"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NEW COMPETITION</w:t>
      </w:r>
    </w:p>
    <w:p w14:paraId="43132F4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Increased competition may result in price reductions, reduced margins and our inability to gain or hold market share. OEMs rigorously evaluate suppliers on the basis of product quality, price, reliability and delivery as well as engineering capabilities, technical expertise, product innovation, financial viability, application of lean principles, operational flexibility, customer service and overall management. To maintain our competitiveness and position as a market leader, it is important to focus on all of these aspects of supplier evaluation and selection. </w:t>
      </w:r>
    </w:p>
    <w:p w14:paraId="5209B5F2" w14:textId="77777777" w:rsidR="00AC4931" w:rsidRPr="00AC4931" w:rsidRDefault="00AC4931" w:rsidP="00AC4931">
      <w:pPr>
        <w:widowControl/>
        <w:spacing w:before="340"/>
        <w:rPr>
          <w:rFonts w:ascii="Arial" w:eastAsia="宋体" w:hAnsi="Arial" w:cs="Arial"/>
          <w:color w:val="000000"/>
          <w:kern w:val="0"/>
          <w:sz w:val="18"/>
          <w:szCs w:val="18"/>
        </w:rPr>
      </w:pPr>
      <w:r w:rsidRPr="00AC4931">
        <w:rPr>
          <w:rFonts w:ascii="Arial" w:eastAsia="宋体" w:hAnsi="Arial" w:cs="Arial"/>
          <w:color w:val="000000"/>
          <w:kern w:val="0"/>
          <w:sz w:val="18"/>
          <w:szCs w:val="18"/>
        </w:rPr>
        <w:t>Although the market for occupant restraint systems has undergone a significant consolidation during the past ten years, the passive safety market remains very competitive. It cannot be excluded that additional competitors, both global and local, will seek to enter the market or grow beyond their current Keiretsu group or traditional customer base. Particularly in China, South Korea and Japan there are numerous small domestic competitors often supplying just one OEM group</w:t>
      </w:r>
    </w:p>
    <w:p w14:paraId="5995E81E"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PATENTS AND PROPRIETARY TECHNOLOGY</w:t>
      </w:r>
    </w:p>
    <w:p w14:paraId="66F6B39E"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The Company’s strategy is to protect its innovations with patents, and to vigorously protect and defend its patents, trademarks and know-how against infringement and unauthorized use. At the end of 2020, the Company held more than 6,300 patents and patents applications. These patents expire on various dates during the period from 2021 to 2040. The expiration of any single patent is not expected to have a material adverse effect on the Company’s financial results.</w:t>
      </w:r>
    </w:p>
    <w:p w14:paraId="2155A3BE"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Although the Company believes that its products and technology do not infringe upon the proprietary rights of others, there can be no assurance that third parties will not assert infringement claims against the Company in the future. Also, there can be no assurance that any patent now owned by the Company will afford protection against competitors that develop similar technology. As the Company continues to expand its products and expand into new businesses, it will increase its exposure to intellectual property claims.</w:t>
      </w:r>
    </w:p>
    <w:p w14:paraId="6D7786B7" w14:textId="77777777" w:rsidR="00AC4931" w:rsidRPr="00AC4931" w:rsidRDefault="00AC4931" w:rsidP="00AC4931">
      <w:pPr>
        <w:widowControl/>
        <w:spacing w:before="340"/>
        <w:rPr>
          <w:rFonts w:ascii="Arial" w:eastAsia="宋体" w:hAnsi="Arial" w:cs="Arial"/>
          <w:b/>
          <w:bCs/>
          <w:color w:val="000000"/>
          <w:kern w:val="0"/>
          <w:sz w:val="22"/>
        </w:rPr>
      </w:pPr>
      <w:r w:rsidRPr="00AC4931">
        <w:rPr>
          <w:rFonts w:ascii="Arial" w:eastAsia="宋体" w:hAnsi="Arial" w:cs="Arial"/>
          <w:b/>
          <w:bCs/>
          <w:color w:val="000000"/>
          <w:kern w:val="0"/>
          <w:sz w:val="22"/>
        </w:rPr>
        <w:t>Financial Risks</w:t>
      </w:r>
    </w:p>
    <w:p w14:paraId="1D77FA64"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is exposed to financial risks through its operations. To reduce the financial risks and to take advantage of economies of scale, the Company has a central treasury department supporting operations and management. The treasury department handles external financial transactions and functions as the Company’s in-house bank for its subsidiaries.</w:t>
      </w:r>
    </w:p>
    <w:p w14:paraId="1ECD94F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Board of Directors monitors compliance with the financial risk policy on an on-going basis. For information about specific financial risks, see Item 7A – Quantitative and Qualitative Disclosures about Market Risk.</w:t>
      </w:r>
    </w:p>
    <w:p w14:paraId="4FD96C66"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32071A0" w14:textId="77777777" w:rsidR="00AC4931" w:rsidRPr="00AC4931" w:rsidRDefault="00AC4931" w:rsidP="00AC4931">
      <w:pPr>
        <w:widowControl/>
        <w:spacing w:before="160"/>
        <w:rPr>
          <w:rFonts w:ascii="Arial" w:eastAsia="宋体" w:hAnsi="Arial" w:cs="Arial" w:hint="eastAsia"/>
          <w:b/>
          <w:bCs/>
          <w:color w:val="000000"/>
          <w:kern w:val="0"/>
          <w:sz w:val="22"/>
        </w:rPr>
      </w:pPr>
      <w:r w:rsidRPr="00AC4931">
        <w:rPr>
          <w:rFonts w:ascii="Arial" w:eastAsia="宋体" w:hAnsi="Arial" w:cs="Arial"/>
          <w:b/>
          <w:bCs/>
          <w:color w:val="000000"/>
          <w:kern w:val="0"/>
          <w:sz w:val="22"/>
        </w:rPr>
        <w:t>Significant Accounting Policies and Critical Accounting Estimates</w:t>
      </w:r>
    </w:p>
    <w:p w14:paraId="6EB3E887"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NEW ACCOUNTING STANDARDS</w:t>
      </w:r>
    </w:p>
    <w:p w14:paraId="06EC885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has considered all applicable recently issued accounting standards. The Company has summarized in Note 2 to the Consolidated Financial Statements each of the recently issued accounting standards and stated the impact or whether management is continuing to assess the impact.</w:t>
      </w:r>
    </w:p>
    <w:p w14:paraId="3B3750D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adopted the new standard for measurement of credit losses (Topic 326) on January 1, 2020. The adoption did not have a material impact on the consolidated financial statements.</w:t>
      </w:r>
    </w:p>
    <w:p w14:paraId="54251CC6"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APPLICATION OF CRITICAL ACCOUNTING POLICIES</w:t>
      </w:r>
    </w:p>
    <w:p w14:paraId="2ECDBB8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Company’s significant accounting policies are disclosed in Note 2 to the Consolidated Financial Statements included herein. Senior management has discussed the development and selection of critical accounting estimates and disclosures with the Audit Committee of the Board of Directors. The application of accounting policies necessarily requires judgments and the use of estimates by a Company’s management. Actual results could differ from these estimates. By their nature, these judgments are subject to an inherent degree of uncertainty. These judgments are based on our historical experience, terms of existing contracts, and management’s evaluation of trends in the industry, information provided by our customers and information available from other outside sources, as appropriate. The Company considers an accounting estimate to be critical if:</w:t>
      </w: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099611A7" w14:textId="77777777" w:rsidTr="00AC4931">
        <w:tc>
          <w:tcPr>
            <w:tcW w:w="919" w:type="dxa"/>
            <w:noWrap/>
            <w:hideMark/>
          </w:tcPr>
          <w:p w14:paraId="259F536E"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lastRenderedPageBreak/>
              <w:t> </w:t>
            </w:r>
          </w:p>
        </w:tc>
        <w:tc>
          <w:tcPr>
            <w:tcW w:w="919" w:type="dxa"/>
            <w:noWrap/>
            <w:hideMark/>
          </w:tcPr>
          <w:p w14:paraId="6C505755"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613356CE"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It requires management to make assumptions about matters that were uncertain at the time of the estimate, and</w:t>
            </w:r>
          </w:p>
        </w:tc>
      </w:tr>
    </w:tbl>
    <w:p w14:paraId="5D2FEDF6"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44BC757C" w14:textId="77777777" w:rsidTr="00AC4931">
        <w:tc>
          <w:tcPr>
            <w:tcW w:w="919" w:type="dxa"/>
            <w:noWrap/>
            <w:hideMark/>
          </w:tcPr>
          <w:p w14:paraId="12C8DC59" w14:textId="77777777" w:rsidR="00AC4931" w:rsidRPr="00AC4931" w:rsidRDefault="00AC4931" w:rsidP="00AC4931">
            <w:pPr>
              <w:widowControl/>
              <w:rPr>
                <w:rFonts w:ascii="Arial" w:eastAsia="宋体" w:hAnsi="Arial" w:cs="Arial" w:hint="eastAsia"/>
                <w:kern w:val="0"/>
                <w:sz w:val="20"/>
                <w:szCs w:val="20"/>
              </w:rPr>
            </w:pPr>
            <w:r w:rsidRPr="00AC4931">
              <w:rPr>
                <w:rFonts w:ascii="Arial" w:eastAsia="宋体" w:hAnsi="Arial" w:cs="Arial"/>
                <w:kern w:val="0"/>
                <w:sz w:val="20"/>
                <w:szCs w:val="20"/>
              </w:rPr>
              <w:t> </w:t>
            </w:r>
          </w:p>
        </w:tc>
        <w:tc>
          <w:tcPr>
            <w:tcW w:w="919" w:type="dxa"/>
            <w:noWrap/>
            <w:hideMark/>
          </w:tcPr>
          <w:p w14:paraId="3EB9FDFA" w14:textId="77777777" w:rsidR="00AC4931" w:rsidRPr="00AC4931" w:rsidRDefault="00AC4931" w:rsidP="00AC4931">
            <w:pPr>
              <w:widowControl/>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005129C7"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8"/>
                <w:szCs w:val="18"/>
              </w:rPr>
              <w:t>Changes in the estimate or different estimates that could have been selected would have had a material impact on our financial condition or results of operations. The accounting estimates that require management’s most significant judgments</w:t>
            </w:r>
          </w:p>
        </w:tc>
      </w:tr>
    </w:tbl>
    <w:p w14:paraId="0CF3E6C0"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45</w:t>
      </w:r>
    </w:p>
    <w:p w14:paraId="03E8074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76CED9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8E4754E"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F750015"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A989783">
          <v:rect id="_x0000_i1072" style="width:0;height:1.5pt" o:hralign="center" o:hrstd="t" o:hrnoshade="t" o:hr="t" fillcolor="black" stroked="f"/>
        </w:pict>
      </w:r>
    </w:p>
    <w:p w14:paraId="26912229"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8D8546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E2A3D7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336D027B" w14:textId="77777777" w:rsidTr="00AC4931">
        <w:tc>
          <w:tcPr>
            <w:tcW w:w="919" w:type="dxa"/>
            <w:noWrap/>
            <w:hideMark/>
          </w:tcPr>
          <w:p w14:paraId="058506D4" w14:textId="77777777" w:rsidR="00AC4931" w:rsidRPr="00AC4931" w:rsidRDefault="00AC4931" w:rsidP="00AC4931">
            <w:pPr>
              <w:widowControl/>
              <w:rPr>
                <w:rFonts w:ascii="Arial" w:eastAsia="宋体" w:hAnsi="Arial" w:cs="Arial" w:hint="eastAsia"/>
                <w:kern w:val="0"/>
                <w:sz w:val="20"/>
                <w:szCs w:val="20"/>
              </w:rPr>
            </w:pPr>
            <w:r w:rsidRPr="00AC4931">
              <w:rPr>
                <w:rFonts w:ascii="Arial" w:eastAsia="宋体" w:hAnsi="Arial" w:cs="Arial"/>
                <w:kern w:val="0"/>
                <w:sz w:val="20"/>
                <w:szCs w:val="20"/>
              </w:rPr>
              <w:t> </w:t>
            </w:r>
          </w:p>
        </w:tc>
        <w:tc>
          <w:tcPr>
            <w:tcW w:w="919" w:type="dxa"/>
            <w:noWrap/>
            <w:hideMark/>
          </w:tcPr>
          <w:p w14:paraId="5B63AB83" w14:textId="77777777" w:rsidR="00AC4931" w:rsidRPr="00AC4931" w:rsidRDefault="00AC4931" w:rsidP="00AC4931">
            <w:pPr>
              <w:widowControl/>
              <w:jc w:val="left"/>
              <w:rPr>
                <w:rFonts w:ascii="Arial" w:eastAsia="宋体" w:hAnsi="Arial" w:cs="Arial"/>
                <w:kern w:val="0"/>
                <w:sz w:val="20"/>
                <w:szCs w:val="20"/>
              </w:rPr>
            </w:pPr>
          </w:p>
        </w:tc>
        <w:tc>
          <w:tcPr>
            <w:tcW w:w="0" w:type="auto"/>
            <w:hideMark/>
          </w:tcPr>
          <w:p w14:paraId="19B798C8"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8"/>
                <w:szCs w:val="18"/>
              </w:rPr>
              <w:t>include the estimation of variable considerations, estimations associated with purchase price allocations regarding business combinations, assessment of recoverability of goodwill and intangible assets, estimation of pension benefit obligations based on actuarial assumptions, estimation of accruals for warranty and recalls , restructuring charges, uncertain tax positions, valuation allowances and legal proceedings</w:t>
            </w:r>
            <w:r w:rsidRPr="00AC4931">
              <w:rPr>
                <w:rFonts w:ascii="Arial" w:eastAsia="宋体" w:hAnsi="Arial" w:cs="Arial"/>
                <w:color w:val="FF0000"/>
                <w:kern w:val="0"/>
                <w:sz w:val="18"/>
                <w:szCs w:val="18"/>
              </w:rPr>
              <w:t>.</w:t>
            </w:r>
          </w:p>
        </w:tc>
      </w:tr>
    </w:tbl>
    <w:p w14:paraId="7804E9A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has summarized its critical accounting policies requiring judgment below. These might change over time based on the current facts and circumstances.</w:t>
      </w:r>
    </w:p>
    <w:p w14:paraId="6F844B49"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REVENUE RECOGNITION</w:t>
      </w:r>
    </w:p>
    <w:p w14:paraId="4149228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 accordance with ASC 606, </w:t>
      </w:r>
      <w:r w:rsidRPr="00AC4931">
        <w:rPr>
          <w:rFonts w:ascii="Arial" w:eastAsia="宋体" w:hAnsi="Arial" w:cs="Arial"/>
          <w:i/>
          <w:iCs/>
          <w:color w:val="000000"/>
          <w:kern w:val="0"/>
          <w:sz w:val="18"/>
          <w:szCs w:val="18"/>
        </w:rPr>
        <w:t>Revenue from Contracts with Customers</w:t>
      </w:r>
      <w:r w:rsidRPr="00AC4931">
        <w:rPr>
          <w:rFonts w:ascii="Arial" w:eastAsia="宋体" w:hAnsi="Arial" w:cs="Arial"/>
          <w:color w:val="000000"/>
          <w:kern w:val="0"/>
          <w:sz w:val="18"/>
          <w:szCs w:val="18"/>
        </w:rPr>
        <w:t>, revenue is measured based on consideration specified in a contract with a customer, adjusted for any variable consideration (i.e. price concessions) and estimated at contract inception. The estimated amount of variable consideration that will be received by the Company are based on historical experience and trends, management´s understanding of the status of negotiations with customers and anticipated future pricing strategies. The Company recognizes revenue when it satisfies a performance obligation by transferring control over a product to a customer.</w:t>
      </w:r>
    </w:p>
    <w:p w14:paraId="2DBEB4B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addition, from time to time, the Company may make payments to customers in connection with ongoing and future business. These payments to customers are generally recognized as a reduction to revenue at the time of the commitment to make these payments unless the payment concession can be clearly linked to the future business award. If the payments are capitalized, the amounts are amortized to revenue as the related goods are transferred.</w:t>
      </w:r>
    </w:p>
    <w:p w14:paraId="0827AD3F"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INVENTORY RESERVES</w:t>
      </w:r>
    </w:p>
    <w:p w14:paraId="752DF86A"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Inventories are evaluated based on individual or, in some cases, groups of inventory items. Reserves are established to reduce the value of inventories to the lower of cost or net realizable value. Net realizable value is the estimated selling prices in the ordinary course of business, less reasonably predictable costs of completion, disposal and transportation. Excess inventories are quantities of items that exceed anticipated sales or usage for a reasonable period. The Company has guidelines for calculating provisions for excess inventories based on the number of months of inventories on hand compared to anticipated sales or usage. Management uses its judgment to forecast sales or usage and to determine what constitutes a reasonable period.</w:t>
      </w:r>
    </w:p>
    <w:p w14:paraId="7F9FF2F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There can be no assurance that the amount ultimately realized for inventories will not be materially different than that assumed in the calculation of the reserves.</w:t>
      </w:r>
    </w:p>
    <w:p w14:paraId="3639D71C"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GOODWILL</w:t>
      </w:r>
    </w:p>
    <w:p w14:paraId="63FE291B"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performs an annual impairment test of goodwill in the fourth quarter of each year following the Company’s annual forecasting process. In October </w:t>
      </w:r>
      <w:r w:rsidRPr="00AC4931">
        <w:rPr>
          <w:rFonts w:ascii="Arial" w:eastAsia="宋体" w:hAnsi="Arial" w:cs="Arial"/>
          <w:color w:val="000000"/>
          <w:kern w:val="0"/>
          <w:sz w:val="18"/>
          <w:szCs w:val="18"/>
          <w:shd w:val="clear" w:color="auto" w:fill="FFFFFF"/>
        </w:rPr>
        <w:t>2020 the Company compared the fair value of its goodwill to its carrying value and there were no impairments.</w:t>
      </w:r>
    </w:p>
    <w:p w14:paraId="287BEC24"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RECALL PROVISIONS AND WARRANTY OBLIGATIONS</w:t>
      </w:r>
    </w:p>
    <w:p w14:paraId="351EFA2B"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records liabilities for product recalls when probable claims are identified and when it is possible to reasonably estimate costs. Recall costs are costs incurred when the customer decides to formally recall a product due to a known or suspected safety concern. Product recall costs are estimated based on the expected cost of replacing the product and the customer´s cost of carrying out the recall, which is affected by the number of vehicles subject to recall and the cost of labor and materials to remove and replace the defective product. In some cases, portions of the product recall costs are reimbursed by an insurance company. Actual costs incurred could differ from the amounts estimated, requiring adjustments to these reserves in future periods. It is possible that changes in our assumptions or future product recall issues could materially affect our financial position, results of operations or cash flows.</w:t>
      </w:r>
    </w:p>
    <w:p w14:paraId="00701C5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Estimating warranty obligations requires the Company to forecast the resolution of existing claims and expected future claims on products sold. The Company bases the estimate on historical trends of units sold and payment amounts, combined with our current understanding of the status of existing claims and discussions with our customers. These estimates are re-evaluated on an ongoing basis. Actual warranty obligations could differ from the amounts estimated requiring adjustments to existing reserves in future periods. Due to the uncertainty and potential volatility of the factors contributing to developing these estimates, changes in our assumptions could materially affect our results of operations.</w:t>
      </w:r>
    </w:p>
    <w:p w14:paraId="67FBEB7A"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RESTRUCTURING PROVISIONS</w:t>
      </w:r>
    </w:p>
    <w:p w14:paraId="4685982A"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defines restructuring expense to include costs directly associated with capacity alignment programs, plus exit or disposal activities. Estimates of restructuring charges are based on information available at the time such charges are recorded. In general, management anticipates that restructuring activities will be completed within a time frame such that significant changes to the exit plan are not likely.</w:t>
      </w:r>
    </w:p>
    <w:p w14:paraId="0E2B575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Due to inherent uncertainty involved in estimating restructuring expenses, actual amounts paid for such activities may differ from amounts initially estimated.</w:t>
      </w:r>
    </w:p>
    <w:p w14:paraId="2FC203B7"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46</w:t>
      </w:r>
    </w:p>
    <w:p w14:paraId="411540EC"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768757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D6F97B2"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D1B615B"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AF948B8">
          <v:rect id="_x0000_i1073" style="width:0;height:1.5pt" o:hralign="center" o:hrstd="t" o:hrnoshade="t" o:hr="t" fillcolor="black" stroked="f"/>
        </w:pict>
      </w:r>
    </w:p>
    <w:p w14:paraId="0E72A3CC"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F028460"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E9D4AB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3482146" w14:textId="77777777" w:rsidR="00AC4931" w:rsidRPr="00AC4931" w:rsidRDefault="00AC4931" w:rsidP="00AC4931">
      <w:pPr>
        <w:widowControl/>
        <w:spacing w:before="34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lastRenderedPageBreak/>
        <w:t>DEFINED BENEFIT PENSION PLANS</w:t>
      </w:r>
    </w:p>
    <w:p w14:paraId="31316FB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has defined benefit pension plans in eleven countries. The most significant plans exist in the U.S. These plans represent approximately 60% of the Company’s total pension benefit obligation. See Note 19 to the Consolidated Financial Statements included herein.</w:t>
      </w:r>
    </w:p>
    <w:p w14:paraId="5096BD7B"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in consultation with its actuarial advisors, determines certain key assumptions to be used in calculating the projected benefit obligation and annual pension expense. For the U.S. plans, the assumptions used for calculating the 2020 pension expense were a discount rate of 3.25%, expected rate of increase in compensation levels of 2.65%, and an expected long-term rate of return on plan assets of 5.05%.</w:t>
      </w:r>
    </w:p>
    <w:p w14:paraId="41EFEBE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assumptions used in calculating the U.S. benefit obligations disclosed as of December 31, 2020 were a discount rate of 2.35% and an expected age-based rate of increase in compensation levels of 2.65%. The discount rate for the U.S. plans has been set based on the rates of return of high-quality fixed-income investments currently available at the measurement date and are expected to be available during the period the benefits will be paid. The expected rate of increase in compensation levels and long-term return on plan assets are determined based on a number of factors and must take into account long-term expectations and reflect the financial environment in the respective local markets. At December 31, 2020, 42% of the U.S. plan assets were invested in equities, which is in-line with the target of 40%.</w:t>
      </w:r>
    </w:p>
    <w:p w14:paraId="2C39DD0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table below illustrates the sensitivity of the U.S. net periodic benefit cost and projected U.S. benefit obligation to a 1pp change in the discount rate, decrease in return on plan assets and increase in compensation levels for the U.S. plans (in millions). The use of actuarial assumptions is an area of management’s estimate.</w:t>
      </w:r>
    </w:p>
    <w:p w14:paraId="42E21749"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8926"/>
        <w:gridCol w:w="420"/>
        <w:gridCol w:w="3232"/>
        <w:gridCol w:w="420"/>
        <w:gridCol w:w="200"/>
        <w:gridCol w:w="3052"/>
        <w:gridCol w:w="200"/>
        <w:gridCol w:w="420"/>
        <w:gridCol w:w="200"/>
        <w:gridCol w:w="3343"/>
        <w:gridCol w:w="201"/>
      </w:tblGrid>
      <w:tr w:rsidR="00AC4931" w:rsidRPr="00AC4931" w14:paraId="3E3C9B61" w14:textId="77777777" w:rsidTr="00AC4931">
        <w:tc>
          <w:tcPr>
            <w:tcW w:w="8881" w:type="dxa"/>
            <w:shd w:val="clear" w:color="auto" w:fill="FFFFFF"/>
            <w:tcMar>
              <w:top w:w="15" w:type="dxa"/>
              <w:left w:w="0" w:type="dxa"/>
              <w:bottom w:w="0" w:type="dxa"/>
              <w:right w:w="15" w:type="dxa"/>
            </w:tcMar>
            <w:vAlign w:val="bottom"/>
            <w:hideMark/>
          </w:tcPr>
          <w:p w14:paraId="76A42402" w14:textId="77777777" w:rsidR="00AC4931" w:rsidRPr="00AC4931" w:rsidRDefault="00AC4931" w:rsidP="00AC4931">
            <w:pPr>
              <w:widowControl/>
              <w:jc w:val="left"/>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u w:val="single"/>
              </w:rPr>
              <w:t>Assumption</w:t>
            </w:r>
          </w:p>
          <w:p w14:paraId="12064E6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(in millions)</w:t>
            </w:r>
          </w:p>
        </w:tc>
        <w:tc>
          <w:tcPr>
            <w:tcW w:w="418" w:type="dxa"/>
            <w:shd w:val="clear" w:color="auto" w:fill="FFFFFF"/>
            <w:tcMar>
              <w:top w:w="15" w:type="dxa"/>
              <w:left w:w="0" w:type="dxa"/>
              <w:bottom w:w="0" w:type="dxa"/>
              <w:right w:w="15" w:type="dxa"/>
            </w:tcMar>
            <w:vAlign w:val="bottom"/>
            <w:hideMark/>
          </w:tcPr>
          <w:p w14:paraId="16FB5C1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216" w:type="dxa"/>
            <w:tcBorders>
              <w:bottom w:val="single" w:sz="6" w:space="0" w:color="000000"/>
            </w:tcBorders>
            <w:shd w:val="clear" w:color="auto" w:fill="FFFFFF"/>
            <w:tcMar>
              <w:top w:w="15" w:type="dxa"/>
              <w:left w:w="0" w:type="dxa"/>
              <w:bottom w:w="0" w:type="dxa"/>
              <w:right w:w="15" w:type="dxa"/>
            </w:tcMar>
            <w:vAlign w:val="bottom"/>
            <w:hideMark/>
          </w:tcPr>
          <w:p w14:paraId="440832B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Change</w:t>
            </w:r>
          </w:p>
        </w:tc>
        <w:tc>
          <w:tcPr>
            <w:tcW w:w="418" w:type="dxa"/>
            <w:shd w:val="clear" w:color="auto" w:fill="FFFFFF"/>
            <w:tcMar>
              <w:top w:w="15" w:type="dxa"/>
              <w:left w:w="0" w:type="dxa"/>
              <w:bottom w:w="0" w:type="dxa"/>
              <w:right w:w="15" w:type="dxa"/>
            </w:tcMar>
            <w:vAlign w:val="bottom"/>
            <w:hideMark/>
          </w:tcPr>
          <w:p w14:paraId="098FAE2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228" w:type="dxa"/>
            <w:gridSpan w:val="2"/>
            <w:tcBorders>
              <w:bottom w:val="single" w:sz="6" w:space="0" w:color="000000"/>
            </w:tcBorders>
            <w:shd w:val="clear" w:color="auto" w:fill="FFFFFF"/>
            <w:tcMar>
              <w:top w:w="15" w:type="dxa"/>
              <w:left w:w="0" w:type="dxa"/>
              <w:bottom w:w="0" w:type="dxa"/>
              <w:right w:w="15" w:type="dxa"/>
            </w:tcMar>
            <w:vAlign w:val="bottom"/>
            <w:hideMark/>
          </w:tcPr>
          <w:p w14:paraId="681966D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 net</w:t>
            </w:r>
          </w:p>
          <w:p w14:paraId="318BEB7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periodic</w:t>
            </w:r>
          </w:p>
          <w:p w14:paraId="5FD4795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benefit</w:t>
            </w:r>
          </w:p>
          <w:p w14:paraId="753FBAE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cost increase</w:t>
            </w:r>
          </w:p>
          <w:p w14:paraId="28F2D20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(decrease)</w:t>
            </w:r>
          </w:p>
        </w:tc>
        <w:tc>
          <w:tcPr>
            <w:tcW w:w="191" w:type="dxa"/>
            <w:shd w:val="clear" w:color="auto" w:fill="FFFFFF"/>
            <w:noWrap/>
            <w:tcMar>
              <w:top w:w="15" w:type="dxa"/>
              <w:left w:w="0" w:type="dxa"/>
              <w:bottom w:w="0" w:type="dxa"/>
              <w:right w:w="15" w:type="dxa"/>
            </w:tcMar>
            <w:vAlign w:val="bottom"/>
            <w:hideMark/>
          </w:tcPr>
          <w:p w14:paraId="0670AF7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8" w:type="dxa"/>
            <w:shd w:val="clear" w:color="auto" w:fill="FFFFFF"/>
            <w:tcMar>
              <w:top w:w="15" w:type="dxa"/>
              <w:left w:w="0" w:type="dxa"/>
              <w:bottom w:w="0" w:type="dxa"/>
              <w:right w:w="15" w:type="dxa"/>
            </w:tcMar>
            <w:vAlign w:val="bottom"/>
            <w:hideMark/>
          </w:tcPr>
          <w:p w14:paraId="2C0815F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517" w:type="dxa"/>
            <w:gridSpan w:val="2"/>
            <w:tcBorders>
              <w:bottom w:val="single" w:sz="6" w:space="0" w:color="000000"/>
            </w:tcBorders>
            <w:shd w:val="clear" w:color="auto" w:fill="FFFFFF"/>
            <w:tcMar>
              <w:top w:w="15" w:type="dxa"/>
              <w:left w:w="0" w:type="dxa"/>
              <w:bottom w:w="0" w:type="dxa"/>
              <w:right w:w="15" w:type="dxa"/>
            </w:tcMar>
            <w:vAlign w:val="bottom"/>
            <w:hideMark/>
          </w:tcPr>
          <w:p w14:paraId="4D3E6A6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 projected</w:t>
            </w:r>
          </w:p>
          <w:p w14:paraId="6E84156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benefit</w:t>
            </w:r>
          </w:p>
          <w:p w14:paraId="5C360E8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obligation</w:t>
            </w:r>
          </w:p>
          <w:p w14:paraId="20D7F92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increase</w:t>
            </w:r>
          </w:p>
          <w:p w14:paraId="187D47A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(decrease)</w:t>
            </w:r>
          </w:p>
        </w:tc>
        <w:tc>
          <w:tcPr>
            <w:tcW w:w="192" w:type="dxa"/>
            <w:shd w:val="clear" w:color="auto" w:fill="FFFFFF"/>
            <w:noWrap/>
            <w:tcMar>
              <w:top w:w="15" w:type="dxa"/>
              <w:left w:w="0" w:type="dxa"/>
              <w:bottom w:w="0" w:type="dxa"/>
              <w:right w:w="15" w:type="dxa"/>
            </w:tcMar>
            <w:vAlign w:val="bottom"/>
            <w:hideMark/>
          </w:tcPr>
          <w:p w14:paraId="19326AE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9DB74FC" w14:textId="77777777" w:rsidTr="00AC4931">
        <w:tc>
          <w:tcPr>
            <w:tcW w:w="8881" w:type="dxa"/>
            <w:shd w:val="clear" w:color="auto" w:fill="CFF0FC"/>
            <w:tcMar>
              <w:top w:w="15" w:type="dxa"/>
              <w:left w:w="0" w:type="dxa"/>
              <w:bottom w:w="0" w:type="dxa"/>
              <w:right w:w="15" w:type="dxa"/>
            </w:tcMar>
            <w:vAlign w:val="bottom"/>
            <w:hideMark/>
          </w:tcPr>
          <w:p w14:paraId="3621A2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Discount rate</w:t>
            </w:r>
          </w:p>
        </w:tc>
        <w:tc>
          <w:tcPr>
            <w:tcW w:w="418" w:type="dxa"/>
            <w:shd w:val="clear" w:color="auto" w:fill="CFF0FC"/>
            <w:tcMar>
              <w:top w:w="15" w:type="dxa"/>
              <w:left w:w="0" w:type="dxa"/>
              <w:bottom w:w="0" w:type="dxa"/>
              <w:right w:w="15" w:type="dxa"/>
            </w:tcMar>
            <w:vAlign w:val="bottom"/>
            <w:hideMark/>
          </w:tcPr>
          <w:p w14:paraId="435816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16" w:type="dxa"/>
            <w:shd w:val="clear" w:color="auto" w:fill="CFF0FC"/>
            <w:tcMar>
              <w:top w:w="15" w:type="dxa"/>
              <w:left w:w="0" w:type="dxa"/>
              <w:bottom w:w="0" w:type="dxa"/>
              <w:right w:w="15" w:type="dxa"/>
            </w:tcMar>
            <w:vAlign w:val="bottom"/>
            <w:hideMark/>
          </w:tcPr>
          <w:p w14:paraId="255E71C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1pp increase</w:t>
            </w:r>
          </w:p>
        </w:tc>
        <w:tc>
          <w:tcPr>
            <w:tcW w:w="418" w:type="dxa"/>
            <w:shd w:val="clear" w:color="auto" w:fill="CFF0FC"/>
            <w:tcMar>
              <w:top w:w="15" w:type="dxa"/>
              <w:left w:w="0" w:type="dxa"/>
              <w:bottom w:w="0" w:type="dxa"/>
              <w:right w:w="15" w:type="dxa"/>
            </w:tcMar>
            <w:vAlign w:val="bottom"/>
            <w:hideMark/>
          </w:tcPr>
          <w:p w14:paraId="333EEB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FCA62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022" w:type="dxa"/>
            <w:tcBorders>
              <w:top w:val="single" w:sz="6" w:space="0" w:color="000000"/>
            </w:tcBorders>
            <w:shd w:val="clear" w:color="auto" w:fill="CFF0FC"/>
            <w:noWrap/>
            <w:tcMar>
              <w:top w:w="15" w:type="dxa"/>
              <w:left w:w="0" w:type="dxa"/>
              <w:bottom w:w="0" w:type="dxa"/>
              <w:right w:w="15" w:type="dxa"/>
            </w:tcMar>
            <w:vAlign w:val="bottom"/>
            <w:hideMark/>
          </w:tcPr>
          <w:p w14:paraId="623D195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w:t>
            </w:r>
          </w:p>
        </w:tc>
        <w:tc>
          <w:tcPr>
            <w:tcW w:w="191" w:type="dxa"/>
            <w:shd w:val="clear" w:color="auto" w:fill="CFF0FC"/>
            <w:noWrap/>
            <w:tcMar>
              <w:top w:w="15" w:type="dxa"/>
              <w:left w:w="0" w:type="dxa"/>
              <w:bottom w:w="0" w:type="dxa"/>
              <w:right w:w="15" w:type="dxa"/>
            </w:tcMar>
            <w:vAlign w:val="bottom"/>
            <w:hideMark/>
          </w:tcPr>
          <w:p w14:paraId="5D028B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418" w:type="dxa"/>
            <w:shd w:val="clear" w:color="auto" w:fill="CFF0FC"/>
            <w:tcMar>
              <w:top w:w="15" w:type="dxa"/>
              <w:left w:w="0" w:type="dxa"/>
              <w:bottom w:w="0" w:type="dxa"/>
              <w:right w:w="15" w:type="dxa"/>
            </w:tcMar>
            <w:vAlign w:val="bottom"/>
            <w:hideMark/>
          </w:tcPr>
          <w:p w14:paraId="45ACC1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F8255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311" w:type="dxa"/>
            <w:tcBorders>
              <w:top w:val="single" w:sz="6" w:space="0" w:color="000000"/>
            </w:tcBorders>
            <w:shd w:val="clear" w:color="auto" w:fill="CFF0FC"/>
            <w:noWrap/>
            <w:tcMar>
              <w:top w:w="15" w:type="dxa"/>
              <w:left w:w="0" w:type="dxa"/>
              <w:bottom w:w="0" w:type="dxa"/>
              <w:right w:w="15" w:type="dxa"/>
            </w:tcMar>
            <w:vAlign w:val="bottom"/>
            <w:hideMark/>
          </w:tcPr>
          <w:p w14:paraId="1624D3A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w:t>
            </w:r>
          </w:p>
        </w:tc>
        <w:tc>
          <w:tcPr>
            <w:tcW w:w="192" w:type="dxa"/>
            <w:shd w:val="clear" w:color="auto" w:fill="CFF0FC"/>
            <w:noWrap/>
            <w:tcMar>
              <w:top w:w="15" w:type="dxa"/>
              <w:left w:w="0" w:type="dxa"/>
              <w:bottom w:w="0" w:type="dxa"/>
              <w:right w:w="15" w:type="dxa"/>
            </w:tcMar>
            <w:vAlign w:val="bottom"/>
            <w:hideMark/>
          </w:tcPr>
          <w:p w14:paraId="1DD89B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2583CED" w14:textId="77777777" w:rsidTr="00AC4931">
        <w:tc>
          <w:tcPr>
            <w:tcW w:w="8881" w:type="dxa"/>
            <w:shd w:val="clear" w:color="auto" w:fill="FFFFFF"/>
            <w:tcMar>
              <w:top w:w="15" w:type="dxa"/>
              <w:left w:w="0" w:type="dxa"/>
              <w:bottom w:w="0" w:type="dxa"/>
              <w:right w:w="15" w:type="dxa"/>
            </w:tcMar>
            <w:vAlign w:val="bottom"/>
            <w:hideMark/>
          </w:tcPr>
          <w:p w14:paraId="13239A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Discount rate</w:t>
            </w:r>
          </w:p>
        </w:tc>
        <w:tc>
          <w:tcPr>
            <w:tcW w:w="418" w:type="dxa"/>
            <w:shd w:val="clear" w:color="auto" w:fill="FFFFFF"/>
            <w:tcMar>
              <w:top w:w="15" w:type="dxa"/>
              <w:left w:w="0" w:type="dxa"/>
              <w:bottom w:w="0" w:type="dxa"/>
              <w:right w:w="15" w:type="dxa"/>
            </w:tcMar>
            <w:vAlign w:val="bottom"/>
            <w:hideMark/>
          </w:tcPr>
          <w:p w14:paraId="57E807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16" w:type="dxa"/>
            <w:shd w:val="clear" w:color="auto" w:fill="FFFFFF"/>
            <w:tcMar>
              <w:top w:w="15" w:type="dxa"/>
              <w:left w:w="0" w:type="dxa"/>
              <w:bottom w:w="0" w:type="dxa"/>
              <w:right w:w="15" w:type="dxa"/>
            </w:tcMar>
            <w:vAlign w:val="bottom"/>
            <w:hideMark/>
          </w:tcPr>
          <w:p w14:paraId="7B83637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1pp decrease</w:t>
            </w:r>
          </w:p>
        </w:tc>
        <w:tc>
          <w:tcPr>
            <w:tcW w:w="418" w:type="dxa"/>
            <w:shd w:val="clear" w:color="auto" w:fill="FFFFFF"/>
            <w:tcMar>
              <w:top w:w="15" w:type="dxa"/>
              <w:left w:w="0" w:type="dxa"/>
              <w:bottom w:w="0" w:type="dxa"/>
              <w:right w:w="15" w:type="dxa"/>
            </w:tcMar>
            <w:vAlign w:val="bottom"/>
            <w:hideMark/>
          </w:tcPr>
          <w:p w14:paraId="7A8B71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27E8D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022" w:type="dxa"/>
            <w:shd w:val="clear" w:color="auto" w:fill="FFFFFF"/>
            <w:noWrap/>
            <w:tcMar>
              <w:top w:w="15" w:type="dxa"/>
              <w:left w:w="0" w:type="dxa"/>
              <w:bottom w:w="0" w:type="dxa"/>
              <w:right w:w="15" w:type="dxa"/>
            </w:tcMar>
            <w:vAlign w:val="bottom"/>
            <w:hideMark/>
          </w:tcPr>
          <w:p w14:paraId="5C0CCA6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w:t>
            </w:r>
          </w:p>
        </w:tc>
        <w:tc>
          <w:tcPr>
            <w:tcW w:w="191" w:type="dxa"/>
            <w:shd w:val="clear" w:color="auto" w:fill="FFFFFF"/>
            <w:noWrap/>
            <w:tcMar>
              <w:top w:w="15" w:type="dxa"/>
              <w:left w:w="0" w:type="dxa"/>
              <w:bottom w:w="0" w:type="dxa"/>
              <w:right w:w="15" w:type="dxa"/>
            </w:tcMar>
            <w:vAlign w:val="bottom"/>
            <w:hideMark/>
          </w:tcPr>
          <w:p w14:paraId="71BCEA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18" w:type="dxa"/>
            <w:shd w:val="clear" w:color="auto" w:fill="FFFFFF"/>
            <w:tcMar>
              <w:top w:w="15" w:type="dxa"/>
              <w:left w:w="0" w:type="dxa"/>
              <w:bottom w:w="0" w:type="dxa"/>
              <w:right w:w="15" w:type="dxa"/>
            </w:tcMar>
            <w:vAlign w:val="bottom"/>
            <w:hideMark/>
          </w:tcPr>
          <w:p w14:paraId="777BC1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1B775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311" w:type="dxa"/>
            <w:shd w:val="clear" w:color="auto" w:fill="FFFFFF"/>
            <w:noWrap/>
            <w:tcMar>
              <w:top w:w="15" w:type="dxa"/>
              <w:left w:w="0" w:type="dxa"/>
              <w:bottom w:w="0" w:type="dxa"/>
              <w:right w:w="15" w:type="dxa"/>
            </w:tcMar>
            <w:vAlign w:val="bottom"/>
            <w:hideMark/>
          </w:tcPr>
          <w:p w14:paraId="5613EA1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49</w:t>
            </w:r>
          </w:p>
        </w:tc>
        <w:tc>
          <w:tcPr>
            <w:tcW w:w="192" w:type="dxa"/>
            <w:shd w:val="clear" w:color="auto" w:fill="FFFFFF"/>
            <w:noWrap/>
            <w:tcMar>
              <w:top w:w="15" w:type="dxa"/>
              <w:left w:w="0" w:type="dxa"/>
              <w:bottom w:w="0" w:type="dxa"/>
              <w:right w:w="15" w:type="dxa"/>
            </w:tcMar>
            <w:vAlign w:val="bottom"/>
            <w:hideMark/>
          </w:tcPr>
          <w:p w14:paraId="550956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B59943B" w14:textId="77777777" w:rsidTr="00AC4931">
        <w:tc>
          <w:tcPr>
            <w:tcW w:w="8881" w:type="dxa"/>
            <w:shd w:val="clear" w:color="auto" w:fill="CFF0FC"/>
            <w:tcMar>
              <w:top w:w="15" w:type="dxa"/>
              <w:left w:w="0" w:type="dxa"/>
              <w:bottom w:w="0" w:type="dxa"/>
              <w:right w:w="15" w:type="dxa"/>
            </w:tcMar>
            <w:vAlign w:val="bottom"/>
            <w:hideMark/>
          </w:tcPr>
          <w:p w14:paraId="6E263B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Compensation levels</w:t>
            </w:r>
          </w:p>
        </w:tc>
        <w:tc>
          <w:tcPr>
            <w:tcW w:w="418" w:type="dxa"/>
            <w:shd w:val="clear" w:color="auto" w:fill="CFF0FC"/>
            <w:tcMar>
              <w:top w:w="15" w:type="dxa"/>
              <w:left w:w="0" w:type="dxa"/>
              <w:bottom w:w="0" w:type="dxa"/>
              <w:right w:w="15" w:type="dxa"/>
            </w:tcMar>
            <w:vAlign w:val="bottom"/>
            <w:hideMark/>
          </w:tcPr>
          <w:p w14:paraId="4BD2AE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16" w:type="dxa"/>
            <w:shd w:val="clear" w:color="auto" w:fill="CFF0FC"/>
            <w:tcMar>
              <w:top w:w="15" w:type="dxa"/>
              <w:left w:w="0" w:type="dxa"/>
              <w:bottom w:w="0" w:type="dxa"/>
              <w:right w:w="15" w:type="dxa"/>
            </w:tcMar>
            <w:vAlign w:val="bottom"/>
            <w:hideMark/>
          </w:tcPr>
          <w:p w14:paraId="6C8E864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1pp increase</w:t>
            </w:r>
          </w:p>
        </w:tc>
        <w:tc>
          <w:tcPr>
            <w:tcW w:w="418" w:type="dxa"/>
            <w:shd w:val="clear" w:color="auto" w:fill="CFF0FC"/>
            <w:tcMar>
              <w:top w:w="15" w:type="dxa"/>
              <w:left w:w="0" w:type="dxa"/>
              <w:bottom w:w="0" w:type="dxa"/>
              <w:right w:w="15" w:type="dxa"/>
            </w:tcMar>
            <w:vAlign w:val="bottom"/>
            <w:hideMark/>
          </w:tcPr>
          <w:p w14:paraId="32C14D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CCB96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022" w:type="dxa"/>
            <w:shd w:val="clear" w:color="auto" w:fill="CFF0FC"/>
            <w:noWrap/>
            <w:tcMar>
              <w:top w:w="15" w:type="dxa"/>
              <w:left w:w="0" w:type="dxa"/>
              <w:bottom w:w="0" w:type="dxa"/>
              <w:right w:w="15" w:type="dxa"/>
            </w:tcMar>
            <w:vAlign w:val="bottom"/>
            <w:hideMark/>
          </w:tcPr>
          <w:p w14:paraId="6961CF0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w:t>
            </w:r>
          </w:p>
        </w:tc>
        <w:tc>
          <w:tcPr>
            <w:tcW w:w="191" w:type="dxa"/>
            <w:shd w:val="clear" w:color="auto" w:fill="CFF0FC"/>
            <w:noWrap/>
            <w:tcMar>
              <w:top w:w="15" w:type="dxa"/>
              <w:left w:w="0" w:type="dxa"/>
              <w:bottom w:w="0" w:type="dxa"/>
              <w:right w:w="15" w:type="dxa"/>
            </w:tcMar>
            <w:vAlign w:val="bottom"/>
            <w:hideMark/>
          </w:tcPr>
          <w:p w14:paraId="68505C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18" w:type="dxa"/>
            <w:shd w:val="clear" w:color="auto" w:fill="CFF0FC"/>
            <w:tcMar>
              <w:top w:w="15" w:type="dxa"/>
              <w:left w:w="0" w:type="dxa"/>
              <w:bottom w:w="0" w:type="dxa"/>
              <w:right w:w="15" w:type="dxa"/>
            </w:tcMar>
            <w:vAlign w:val="bottom"/>
            <w:hideMark/>
          </w:tcPr>
          <w:p w14:paraId="6E0B61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5ACEE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311" w:type="dxa"/>
            <w:shd w:val="clear" w:color="auto" w:fill="CFF0FC"/>
            <w:noWrap/>
            <w:tcMar>
              <w:top w:w="15" w:type="dxa"/>
              <w:left w:w="0" w:type="dxa"/>
              <w:bottom w:w="0" w:type="dxa"/>
              <w:right w:w="15" w:type="dxa"/>
            </w:tcMar>
            <w:vAlign w:val="bottom"/>
            <w:hideMark/>
          </w:tcPr>
          <w:p w14:paraId="163AE17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w:t>
            </w:r>
          </w:p>
        </w:tc>
        <w:tc>
          <w:tcPr>
            <w:tcW w:w="192" w:type="dxa"/>
            <w:shd w:val="clear" w:color="auto" w:fill="CFF0FC"/>
            <w:noWrap/>
            <w:tcMar>
              <w:top w:w="15" w:type="dxa"/>
              <w:left w:w="0" w:type="dxa"/>
              <w:bottom w:w="0" w:type="dxa"/>
              <w:right w:w="15" w:type="dxa"/>
            </w:tcMar>
            <w:vAlign w:val="bottom"/>
            <w:hideMark/>
          </w:tcPr>
          <w:p w14:paraId="6BE92C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CD050F9" w14:textId="77777777" w:rsidTr="00AC4931">
        <w:tc>
          <w:tcPr>
            <w:tcW w:w="8881" w:type="dxa"/>
            <w:shd w:val="clear" w:color="auto" w:fill="FFFFFF"/>
            <w:tcMar>
              <w:top w:w="15" w:type="dxa"/>
              <w:left w:w="0" w:type="dxa"/>
              <w:bottom w:w="0" w:type="dxa"/>
              <w:right w:w="15" w:type="dxa"/>
            </w:tcMar>
            <w:vAlign w:val="bottom"/>
            <w:hideMark/>
          </w:tcPr>
          <w:p w14:paraId="66987E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Return on plan assets</w:t>
            </w:r>
          </w:p>
        </w:tc>
        <w:tc>
          <w:tcPr>
            <w:tcW w:w="418" w:type="dxa"/>
            <w:shd w:val="clear" w:color="auto" w:fill="FFFFFF"/>
            <w:tcMar>
              <w:top w:w="15" w:type="dxa"/>
              <w:left w:w="0" w:type="dxa"/>
              <w:bottom w:w="0" w:type="dxa"/>
              <w:right w:w="15" w:type="dxa"/>
            </w:tcMar>
            <w:vAlign w:val="bottom"/>
            <w:hideMark/>
          </w:tcPr>
          <w:p w14:paraId="033680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216" w:type="dxa"/>
            <w:shd w:val="clear" w:color="auto" w:fill="FFFFFF"/>
            <w:tcMar>
              <w:top w:w="15" w:type="dxa"/>
              <w:left w:w="0" w:type="dxa"/>
              <w:bottom w:w="0" w:type="dxa"/>
              <w:right w:w="15" w:type="dxa"/>
            </w:tcMar>
            <w:vAlign w:val="bottom"/>
            <w:hideMark/>
          </w:tcPr>
          <w:p w14:paraId="5CE8A55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1pp decrease</w:t>
            </w:r>
          </w:p>
        </w:tc>
        <w:tc>
          <w:tcPr>
            <w:tcW w:w="418" w:type="dxa"/>
            <w:shd w:val="clear" w:color="auto" w:fill="FFFFFF"/>
            <w:tcMar>
              <w:top w:w="15" w:type="dxa"/>
              <w:left w:w="0" w:type="dxa"/>
              <w:bottom w:w="0" w:type="dxa"/>
              <w:right w:w="15" w:type="dxa"/>
            </w:tcMar>
            <w:vAlign w:val="bottom"/>
            <w:hideMark/>
          </w:tcPr>
          <w:p w14:paraId="641CD8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1AE41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022" w:type="dxa"/>
            <w:shd w:val="clear" w:color="auto" w:fill="FFFFFF"/>
            <w:noWrap/>
            <w:tcMar>
              <w:top w:w="15" w:type="dxa"/>
              <w:left w:w="0" w:type="dxa"/>
              <w:bottom w:w="0" w:type="dxa"/>
              <w:right w:w="15" w:type="dxa"/>
            </w:tcMar>
            <w:vAlign w:val="bottom"/>
            <w:hideMark/>
          </w:tcPr>
          <w:p w14:paraId="5503210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w:t>
            </w:r>
          </w:p>
        </w:tc>
        <w:tc>
          <w:tcPr>
            <w:tcW w:w="191" w:type="dxa"/>
            <w:shd w:val="clear" w:color="auto" w:fill="FFFFFF"/>
            <w:noWrap/>
            <w:tcMar>
              <w:top w:w="15" w:type="dxa"/>
              <w:left w:w="0" w:type="dxa"/>
              <w:bottom w:w="0" w:type="dxa"/>
              <w:right w:w="15" w:type="dxa"/>
            </w:tcMar>
            <w:vAlign w:val="bottom"/>
            <w:hideMark/>
          </w:tcPr>
          <w:p w14:paraId="74182E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418" w:type="dxa"/>
            <w:shd w:val="clear" w:color="auto" w:fill="FFFFFF"/>
            <w:tcMar>
              <w:top w:w="15" w:type="dxa"/>
              <w:left w:w="0" w:type="dxa"/>
              <w:bottom w:w="0" w:type="dxa"/>
              <w:right w:w="15" w:type="dxa"/>
            </w:tcMar>
            <w:vAlign w:val="bottom"/>
            <w:hideMark/>
          </w:tcPr>
          <w:p w14:paraId="5EB3BD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517" w:type="dxa"/>
            <w:gridSpan w:val="2"/>
            <w:shd w:val="clear" w:color="auto" w:fill="FFFFFF"/>
            <w:tcMar>
              <w:top w:w="15" w:type="dxa"/>
              <w:left w:w="0" w:type="dxa"/>
              <w:bottom w:w="0" w:type="dxa"/>
              <w:right w:w="15" w:type="dxa"/>
            </w:tcMar>
            <w:vAlign w:val="bottom"/>
            <w:hideMark/>
          </w:tcPr>
          <w:p w14:paraId="306D0C2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n/a</w:t>
            </w:r>
          </w:p>
        </w:tc>
        <w:tc>
          <w:tcPr>
            <w:tcW w:w="192" w:type="dxa"/>
            <w:shd w:val="clear" w:color="auto" w:fill="FFFFFF"/>
            <w:noWrap/>
            <w:tcMar>
              <w:top w:w="15" w:type="dxa"/>
              <w:left w:w="0" w:type="dxa"/>
              <w:bottom w:w="0" w:type="dxa"/>
              <w:right w:w="15" w:type="dxa"/>
            </w:tcMar>
            <w:vAlign w:val="bottom"/>
            <w:hideMark/>
          </w:tcPr>
          <w:p w14:paraId="62777BAC"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7EBF31FA" w14:textId="77777777" w:rsidR="00AC4931" w:rsidRPr="00AC4931" w:rsidRDefault="00AC4931" w:rsidP="00AC4931">
      <w:pPr>
        <w:widowControl/>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07ED35A4"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INCOME TAXES</w:t>
      </w:r>
    </w:p>
    <w:p w14:paraId="322F84C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Significant judgment is required in determining the worldwide provision for income taxes. In the ordinary course of a global business, there are many transactions for which the ultimate tax outcome is uncertain. Many of these uncertainties arise as a consequence of intercompany transactions.</w:t>
      </w:r>
    </w:p>
    <w:p w14:paraId="6404D872"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Although the Company believes that its tax return positions are supportable, no assurance can be given that the final outcome of these matters will not be materially different than that which is reflected in the historical income tax provisions and accruals. Such differences could have a material effect on the income tax provisions or benefits in the periods in which such determinations are made. See also the discussion </w:t>
      </w:r>
      <w:r w:rsidRPr="00AC4931">
        <w:rPr>
          <w:rFonts w:ascii="Arial" w:eastAsia="宋体" w:hAnsi="Arial" w:cs="Arial"/>
          <w:color w:val="000000"/>
          <w:kern w:val="0"/>
          <w:sz w:val="18"/>
          <w:szCs w:val="18"/>
        </w:rPr>
        <w:lastRenderedPageBreak/>
        <w:t>of reserves for uncertain tax positions, and the determinations of valuation allowances on our deferred tax assets in Note 6, Income Taxes.</w:t>
      </w:r>
    </w:p>
    <w:p w14:paraId="28F082AE"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CONTINGENT LIABILITIES</w:t>
      </w:r>
    </w:p>
    <w:p w14:paraId="2DD20AF4"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Various claims, lawsuits and proceedings are pending or threatened against the Company or its subsidiaries, covering a range of matters that arise in the ordinary course of its business activities with respect to commercial, product liability or other matters.</w:t>
      </w:r>
    </w:p>
    <w:p w14:paraId="6DFAFFE4"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diligently defends itself in such matters and, in addition, carries insurance coverage to the extent reasonably available against insurable risks.</w:t>
      </w:r>
    </w:p>
    <w:p w14:paraId="5137B21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records liabilities for claims, lawsuits and proceedings when they are probable and it is possible to reasonably estimate the cost of such liabilities. Legal costs expected to be incurred in connection with a loss contingency are expensed as such costs are incurred.</w:t>
      </w:r>
    </w:p>
    <w:p w14:paraId="60B7AAF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 loss contingency is accrued by a charge to income if it is probable that an asset has been impaired or a liability has been incurred and the amount of the loss can be reasonably estimated. In determining whether a loss should be accrued management evaluates, among other factors, the degree of probability of an unfavorable outcome and the ability to make a reasonable estimate of the amount of loss. Changes in these factors could materially impact our consolidated financial statements.</w:t>
      </w:r>
    </w:p>
    <w:p w14:paraId="0126AFAF"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47</w:t>
      </w:r>
    </w:p>
    <w:p w14:paraId="442E79E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6078F00"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B05D083"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91CFF71"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0867834E">
          <v:rect id="_x0000_i1074" style="width:0;height:1.5pt" o:hralign="center" o:hrstd="t" o:hrnoshade="t" o:hr="t" fillcolor="black" stroked="f"/>
        </w:pict>
      </w:r>
    </w:p>
    <w:p w14:paraId="0880615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0228DB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8A4444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0DD4A77" w14:textId="77777777" w:rsidR="00AC4931" w:rsidRPr="00AC4931" w:rsidRDefault="00AC4931" w:rsidP="00AC4931">
      <w:pPr>
        <w:widowControl/>
        <w:spacing w:before="340"/>
        <w:rPr>
          <w:rFonts w:ascii="Arial" w:eastAsia="宋体" w:hAnsi="Arial" w:cs="Arial" w:hint="eastAsia"/>
          <w:b/>
          <w:bCs/>
          <w:color w:val="000000"/>
          <w:kern w:val="0"/>
          <w:sz w:val="22"/>
        </w:rPr>
      </w:pPr>
      <w:r w:rsidRPr="00AC4931">
        <w:rPr>
          <w:rFonts w:ascii="Arial" w:eastAsia="宋体" w:hAnsi="Arial" w:cs="Arial"/>
          <w:b/>
          <w:bCs/>
          <w:color w:val="000000"/>
          <w:kern w:val="0"/>
          <w:sz w:val="22"/>
        </w:rPr>
        <w:t>Item 7A. Quantitative and Qualitative Disclosures about Market Risk</w:t>
      </w:r>
    </w:p>
    <w:p w14:paraId="647E80CF"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See also Note 2 to the Consolidated Financial Statements of this Annual Report included with this Form 10-K for information about how these risks are quantified.</w:t>
      </w:r>
    </w:p>
    <w:p w14:paraId="64206D46"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CURRENCY RISKS</w:t>
      </w:r>
    </w:p>
    <w:p w14:paraId="4B0CFBBB"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 Transaction Exposure and Revaluation effects</w:t>
      </w:r>
    </w:p>
    <w:p w14:paraId="4C2224F3"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Transaction exposure arises because the cost of a product originates in one currency and the product is sold in another currency. Revaluation effects come from valuation of assets denominated in other currencies than the reporting currency of each unit.</w:t>
      </w:r>
    </w:p>
    <w:p w14:paraId="54F06D52"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Company’s net transaction exposure for 2020 was approximately $2.2 billion. The four largest net exposures are U.S. dollars (sell) against the Mexican Peso, Romanian Lei (buy) against the Euro, U.S. dollars (buy) against Korean Won, USD (sell) against Canadian dollar. Together these currencies accounted for approximately 50% of the Company’s net currency transaction exposure.</w:t>
      </w:r>
    </w:p>
    <w:p w14:paraId="269EC3F9"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Since the Company can only effectively hedge these currency flows in the short term, periodic hedging would only reduce the impact of fluctuations temporarily. Over time, periodic hedging would postpone but not reduce the impact of fluctuations. In addition, the net exposure is limited to only around one quarter of net sales and is made up of around 50 different currency pairs with exposures of more than $1 million each. Autoliv generally does not hedge these flows.</w:t>
      </w:r>
    </w:p>
    <w:p w14:paraId="33D0F17D"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 Translation Exposure in the Income Statement and Balance Sheet</w:t>
      </w:r>
    </w:p>
    <w:p w14:paraId="71CD0D91"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Another effect of exchange rate fluctuations arises when the income statements of non-U.S. subsidiaries are translated into U.S. dollars. Outside the U.S., the Company’s most significant currency is the Euro. We estimate that 29% of the Company’s net sales will be denominated in Euro or other European currencies during 2021, while 22% of net sales is estimated to be denominated in U.S. dollars.</w:t>
      </w:r>
    </w:p>
    <w:p w14:paraId="628E669D"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estimates that a 1% increase in the value of the U.S. dollar versus European currencies will decrease reported U.S. dollar annual net sales in 2021 by $25 million or by 0.3% while operating income for 2021 will decline by approximately 0.3% or by about $3 million, assuming reported corporate average margin.</w:t>
      </w:r>
    </w:p>
    <w:p w14:paraId="0C038774"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Company’s policy is not to hedge this type of translation exposure.</w:t>
      </w:r>
    </w:p>
    <w:p w14:paraId="7E702EA0"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 translation exposure also arises when the balance sheets of non-U.S. subsidiaries are translated into U.S. dollars. The policy of the Company is to finance major subsidiaries in the country’s local currency and to minimize the amounts held by subsidiaries in foreign currency accounts.</w:t>
      </w:r>
    </w:p>
    <w:p w14:paraId="30B9A6E3"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Consequently, changes in currency rates relating to funding and foreign currency accounts normally have a small impact on the Company’s income.</w:t>
      </w:r>
    </w:p>
    <w:p w14:paraId="5D44288E"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2020 and 2019, the impact from the Company’s currency exposure were not material.</w:t>
      </w:r>
    </w:p>
    <w:p w14:paraId="1AD4C47A"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INTEREST RATE RISK</w:t>
      </w:r>
    </w:p>
    <w:p w14:paraId="6F823D95"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Interest rate risk refers to the risk that interest rate changes will affect the Company’s borrowing costs. Autoliv’s interest rate risk policy states that the average interest rate fixing period should be minimum 1 year and maximum 5 years.</w:t>
      </w:r>
    </w:p>
    <w:p w14:paraId="72815EFC"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At December 31, 2020, the average interest rate fixing period for the Company’s outstanding debt was 2.4 years, and at December 31, 2019, the average interest rate fixing period for the Company’s outstanding debt was 3.4 years.</w:t>
      </w:r>
    </w:p>
    <w:p w14:paraId="6825CC13"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Given the Company’s current capital structure, we estimate that a one-percentage point interest rate increase would decrease net interest expense by approximately $4.2 million, both in 2021 and 2022. This is based on the capital structure at the end of 2020 when the gross fixed-rate debt was $1,651 million while the Company had a net debt position of $1,214 million (see section Non-U.S. GAAP Performance Measures). Thus, a change in the interest rate environment would not have a notable impact on the Company’s interest expense. As of December 31, 2020, the Company had $1,178 million in cash and cash equivalents of which the majority were subject to a floating interest rate. Taking the cash and cash equivalents of $1,178 million (which is primarily subject to floating interest rates) minus the portion of debt </w:t>
      </w:r>
      <w:r w:rsidRPr="00AC4931">
        <w:rPr>
          <w:rFonts w:ascii="Arial" w:eastAsia="宋体" w:hAnsi="Arial" w:cs="Arial"/>
          <w:color w:val="000000"/>
          <w:kern w:val="0"/>
          <w:sz w:val="18"/>
          <w:szCs w:val="18"/>
        </w:rPr>
        <w:lastRenderedPageBreak/>
        <w:t>carrying floating interest rates, we estimated that a one-percentage point interest rate increase would decrease net interest expense by approximately $4.2 million, both in 2021 and 2022.</w:t>
      </w:r>
    </w:p>
    <w:p w14:paraId="0D12EFB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Fixed interest rate debt is achieved both by issuing fixed rate notes and through interest rate swaps. The most notable debt carrying fixed interest rates is the $1.0 billion U.S. private placement notes issued in 2014 and in June 2018, the Company issued €500 million of 5-year notes in the Eurobond market, see Note 14 to the Consolidated Financial Statements included herein.</w:t>
      </w:r>
    </w:p>
    <w:p w14:paraId="2A82E7CB"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Given the Company’s capital structure at December 31, 2019, we estimated that a one-percentage point interest rate increase would increase net interest expense by approximately $0.5 million. This was based on the capital structure at the end of 2019 when the gross fixed-rate debt was $1,598 million while the Company had a net debt position of $1,650 million. As of December 31, 2019, the Company had $445 million in cash and cash equivalents of which the majority were subject to a floating interest rate. Taking the cash and cash equivalents of $445 million (which is primarily subject to floating interest rates) minus the portion of debt carrying floating interest rates, we estimated that a one-percentage point interest rate increase would increase net interest expense by approximately $0.5 million.</w:t>
      </w:r>
    </w:p>
    <w:p w14:paraId="7B0325F1"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48</w:t>
      </w:r>
    </w:p>
    <w:p w14:paraId="42D38E8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90FB42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A7FE1BC"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703DCC4"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0624ED41">
          <v:rect id="_x0000_i1075" style="width:0;height:1.5pt" o:hralign="center" o:hrstd="t" o:hrnoshade="t" o:hr="t" fillcolor="black" stroked="f"/>
        </w:pict>
      </w:r>
    </w:p>
    <w:p w14:paraId="0A38FB3C"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70AF0D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9C5F28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9F5BBAD" w14:textId="77777777" w:rsidR="00AC4931" w:rsidRPr="00AC4931" w:rsidRDefault="00AC4931" w:rsidP="00AC4931">
      <w:pPr>
        <w:widowControl/>
        <w:spacing w:before="24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As the Company had more cash and cash equivalents at the end of 2020 of which the majority were subject to a floating interest rate, we estimated that a one-percentage point interest rate increase would decrease net interest expense.</w:t>
      </w:r>
    </w:p>
    <w:p w14:paraId="332D89C8" w14:textId="77777777" w:rsidR="00AC4931" w:rsidRPr="00AC4931" w:rsidRDefault="00AC4931" w:rsidP="00AC4931">
      <w:pPr>
        <w:widowControl/>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t> </w:t>
      </w:r>
    </w:p>
    <w:p w14:paraId="750B7E64" w14:textId="77777777" w:rsidR="00AC4931" w:rsidRPr="00AC4931" w:rsidRDefault="00AC4931" w:rsidP="00AC4931">
      <w:pPr>
        <w:widowControl/>
        <w:spacing w:before="1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FINANCING RISK</w:t>
      </w:r>
    </w:p>
    <w:p w14:paraId="54FCC02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Financing risk refers to the risk that it will be difficult and/or expensive to finance new or existing debt to meet the financing needs of the Autoliv Group.</w:t>
      </w:r>
    </w:p>
    <w:p w14:paraId="7F63B14A"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management of the financing risk ensures access to funding in a cost-efficient way by diversification of funding sources and debt maturities.</w:t>
      </w:r>
    </w:p>
    <w:p w14:paraId="2E955507"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Autoliv has diversified its long-term funding sources by issuing notes in the USPP and Eurobond markets, and by signing a long-term credit agreement with 14 banks. The  Company  also  has  a  lending  facility  with  the  Swedish Export  Credit  Corporation. The Company also has established programs for short-term issuance of commercial paper in the Swedish and US markets and short-term credit agreements, e.g. bank overdrafts and money market loans.</w:t>
      </w:r>
    </w:p>
    <w:p w14:paraId="31EBABCF"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To ensure diversification of debt maturities, no more than 20% of the Autoliv Group’s total debt may mature the next 12 months, unless such maturities (in excess of 20%) are covered by unutilized committed credit </w:t>
      </w:r>
      <w:r w:rsidRPr="00AC4931">
        <w:rPr>
          <w:rFonts w:ascii="Arial" w:eastAsia="宋体" w:hAnsi="Arial" w:cs="Arial"/>
          <w:color w:val="000000"/>
          <w:kern w:val="0"/>
          <w:sz w:val="18"/>
          <w:szCs w:val="18"/>
        </w:rPr>
        <w:lastRenderedPageBreak/>
        <w:t>facilities with maturity in excess of 12 months. Per December 31, 2020, 13% corresponding to $302million of the Autoliv Group’s total debt had maturity less than 12 months. This amount was fully covered by unutilized committed credit facilities with maturity in excess of 12 months.</w:t>
      </w:r>
    </w:p>
    <w:p w14:paraId="392AFBDE"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CAPITAL STRUCTURE AND CREDIT RATING</w:t>
      </w:r>
    </w:p>
    <w:p w14:paraId="410D3B0E"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overall objective relating to Autoliv’s target capital structure and credit rating is to provide the Company with sufficient flexibility to manage the inherent risks and cyclicality in Autoliv’s business and allow the Company to realize strategic opportunities and fund growth initiatives while creating shareholder value.</w:t>
      </w:r>
    </w:p>
    <w:p w14:paraId="339F65E6" w14:textId="77777777" w:rsidR="00AC4931" w:rsidRPr="00AC4931" w:rsidRDefault="00AC4931" w:rsidP="00AC4931">
      <w:pPr>
        <w:widowControl/>
        <w:jc w:val="left"/>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0514EBEB" w14:textId="77777777" w:rsidR="00AC4931" w:rsidRPr="00AC4931" w:rsidRDefault="00AC4931" w:rsidP="00AC4931">
      <w:pPr>
        <w:widowControl/>
        <w:spacing w:before="12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Autoliv is committed to maintain a “strong investment grade credit rating”. As of December 31, 2020, the Company had a long-term credit rating from S&amp;P Global Ratings (“S&amp;P”) of BBB.</w:t>
      </w:r>
    </w:p>
    <w:p w14:paraId="0EAB552A"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amount of interest-bearing debt held impacts the future financial flexibility as well as the credit rating. Management uses the non-U.S. GAAP measure “Leverage Ratio” to analyze the amount of debt the Company can incur under its debt policy. Management believes that this policy also provides guidance to credit and equity investors regarding the extent to which the Company would be prepared to leverage its operations. Autoliv’s long-term target for the leverage ratio (sum of net debt plus pension liabilities divided by EBITDA) is 1.0x with the aim to operate within the range of 0.5x to 1.5x. At December 31, 2020, the leverage ratio (non-U.S. GAAP measure, see calculation table below) was 1.8. For details and calculation of leverage ratio, refer to the table below.</w:t>
      </w:r>
    </w:p>
    <w:p w14:paraId="5DEEE7F9"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CALCULATION OF LEVERAGE RATIO (DOLLARS IN MILLIONS)</w:t>
      </w:r>
    </w:p>
    <w:p w14:paraId="314632BE"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3843"/>
        <w:gridCol w:w="320"/>
        <w:gridCol w:w="200"/>
        <w:gridCol w:w="2665"/>
        <w:gridCol w:w="200"/>
        <w:gridCol w:w="320"/>
        <w:gridCol w:w="200"/>
        <w:gridCol w:w="2665"/>
        <w:gridCol w:w="201"/>
      </w:tblGrid>
      <w:tr w:rsidR="00AC4931" w:rsidRPr="00AC4931" w14:paraId="268C6CF4" w14:textId="77777777" w:rsidTr="00AC4931">
        <w:tc>
          <w:tcPr>
            <w:tcW w:w="13795" w:type="dxa"/>
            <w:shd w:val="clear" w:color="auto" w:fill="FFFFFF"/>
            <w:tcMar>
              <w:top w:w="15" w:type="dxa"/>
              <w:left w:w="0" w:type="dxa"/>
              <w:bottom w:w="0" w:type="dxa"/>
              <w:right w:w="15" w:type="dxa"/>
            </w:tcMar>
            <w:vAlign w:val="bottom"/>
            <w:hideMark/>
          </w:tcPr>
          <w:p w14:paraId="6D158374" w14:textId="77777777" w:rsidR="00AC4931" w:rsidRPr="00AC4931" w:rsidRDefault="00AC4931" w:rsidP="00AC4931">
            <w:pPr>
              <w:widowControl/>
              <w:jc w:val="center"/>
              <w:rPr>
                <w:rFonts w:ascii="Arial" w:eastAsia="宋体" w:hAnsi="Arial" w:cs="Arial" w:hint="eastAsia"/>
                <w:kern w:val="0"/>
                <w:sz w:val="20"/>
                <w:szCs w:val="20"/>
              </w:rPr>
            </w:pPr>
            <w:r w:rsidRPr="00AC4931">
              <w:rPr>
                <w:rFonts w:ascii="Arial" w:eastAsia="宋体" w:hAnsi="Arial" w:cs="Arial"/>
                <w:kern w:val="0"/>
                <w:sz w:val="20"/>
                <w:szCs w:val="20"/>
              </w:rPr>
              <w:t> </w:t>
            </w:r>
          </w:p>
        </w:tc>
        <w:tc>
          <w:tcPr>
            <w:tcW w:w="319" w:type="dxa"/>
            <w:shd w:val="clear" w:color="auto" w:fill="FFFFFF"/>
            <w:tcMar>
              <w:top w:w="15" w:type="dxa"/>
              <w:left w:w="0" w:type="dxa"/>
              <w:bottom w:w="0" w:type="dxa"/>
              <w:right w:w="15" w:type="dxa"/>
            </w:tcMar>
            <w:vAlign w:val="bottom"/>
            <w:hideMark/>
          </w:tcPr>
          <w:p w14:paraId="6D60F09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847" w:type="dxa"/>
            <w:gridSpan w:val="2"/>
            <w:tcBorders>
              <w:bottom w:val="single" w:sz="6" w:space="0" w:color="000000"/>
            </w:tcBorders>
            <w:shd w:val="clear" w:color="auto" w:fill="FFFFFF"/>
            <w:tcMar>
              <w:top w:w="15" w:type="dxa"/>
              <w:left w:w="0" w:type="dxa"/>
              <w:bottom w:w="0" w:type="dxa"/>
              <w:right w:w="15" w:type="dxa"/>
            </w:tcMar>
            <w:vAlign w:val="bottom"/>
            <w:hideMark/>
          </w:tcPr>
          <w:p w14:paraId="3AFA25E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w:t>
            </w:r>
            <w:r w:rsidRPr="00AC4931">
              <w:rPr>
                <w:rFonts w:ascii="Calibri" w:eastAsia="宋体" w:hAnsi="Calibri" w:cs="Calibri"/>
                <w:b/>
                <w:bCs/>
                <w:color w:val="000000"/>
                <w:kern w:val="0"/>
                <w:sz w:val="16"/>
                <w:szCs w:val="16"/>
              </w:rPr>
              <w:t> </w:t>
            </w:r>
            <w:r w:rsidRPr="00AC4931">
              <w:rPr>
                <w:rFonts w:ascii="Arial" w:eastAsia="宋体" w:hAnsi="Arial" w:cs="Arial"/>
                <w:b/>
                <w:bCs/>
                <w:color w:val="000000"/>
                <w:kern w:val="0"/>
                <w:sz w:val="16"/>
                <w:szCs w:val="16"/>
              </w:rPr>
              <w:t>31,</w:t>
            </w:r>
            <w:r w:rsidRPr="00AC4931">
              <w:rPr>
                <w:rFonts w:ascii="Calibri" w:eastAsia="宋体" w:hAnsi="Calibri" w:cs="Calibri"/>
                <w:b/>
                <w:bCs/>
                <w:color w:val="000000"/>
                <w:kern w:val="0"/>
                <w:sz w:val="16"/>
                <w:szCs w:val="16"/>
              </w:rPr>
              <w:t> </w:t>
            </w: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298DA594"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319" w:type="dxa"/>
            <w:shd w:val="clear" w:color="auto" w:fill="FFFFFF"/>
            <w:tcMar>
              <w:top w:w="15" w:type="dxa"/>
              <w:left w:w="0" w:type="dxa"/>
              <w:bottom w:w="0" w:type="dxa"/>
              <w:right w:w="15" w:type="dxa"/>
            </w:tcMar>
            <w:vAlign w:val="bottom"/>
            <w:hideMark/>
          </w:tcPr>
          <w:p w14:paraId="3A15E63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847" w:type="dxa"/>
            <w:gridSpan w:val="2"/>
            <w:tcBorders>
              <w:bottom w:val="single" w:sz="6" w:space="0" w:color="000000"/>
            </w:tcBorders>
            <w:shd w:val="clear" w:color="auto" w:fill="FFFFFF"/>
            <w:tcMar>
              <w:top w:w="15" w:type="dxa"/>
              <w:left w:w="0" w:type="dxa"/>
              <w:bottom w:w="0" w:type="dxa"/>
              <w:right w:w="15" w:type="dxa"/>
            </w:tcMar>
            <w:vAlign w:val="bottom"/>
            <w:hideMark/>
          </w:tcPr>
          <w:p w14:paraId="752EE3A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w:t>
            </w:r>
            <w:r w:rsidRPr="00AC4931">
              <w:rPr>
                <w:rFonts w:ascii="Calibri" w:eastAsia="宋体" w:hAnsi="Calibri" w:cs="Calibri"/>
                <w:b/>
                <w:bCs/>
                <w:color w:val="000000"/>
                <w:kern w:val="0"/>
                <w:sz w:val="16"/>
                <w:szCs w:val="16"/>
              </w:rPr>
              <w:t> </w:t>
            </w:r>
            <w:r w:rsidRPr="00AC4931">
              <w:rPr>
                <w:rFonts w:ascii="Arial" w:eastAsia="宋体" w:hAnsi="Arial" w:cs="Arial"/>
                <w:b/>
                <w:bCs/>
                <w:color w:val="000000"/>
                <w:kern w:val="0"/>
                <w:sz w:val="16"/>
                <w:szCs w:val="16"/>
              </w:rPr>
              <w:t>31,</w:t>
            </w:r>
            <w:r w:rsidRPr="00AC4931">
              <w:rPr>
                <w:rFonts w:ascii="Calibri" w:eastAsia="宋体" w:hAnsi="Calibri" w:cs="Calibri"/>
                <w:b/>
                <w:bCs/>
                <w:color w:val="000000"/>
                <w:kern w:val="0"/>
                <w:sz w:val="16"/>
                <w:szCs w:val="16"/>
              </w:rPr>
              <w:t> </w:t>
            </w:r>
            <w:r w:rsidRPr="00AC4931">
              <w:rPr>
                <w:rFonts w:ascii="Arial" w:eastAsia="宋体" w:hAnsi="Arial" w:cs="Arial"/>
                <w:b/>
                <w:bCs/>
                <w:color w:val="000000"/>
                <w:kern w:val="0"/>
                <w:sz w:val="16"/>
                <w:szCs w:val="16"/>
              </w:rPr>
              <w:t>2019</w:t>
            </w:r>
          </w:p>
        </w:tc>
        <w:tc>
          <w:tcPr>
            <w:tcW w:w="192" w:type="dxa"/>
            <w:shd w:val="clear" w:color="auto" w:fill="FFFFFF"/>
            <w:noWrap/>
            <w:tcMar>
              <w:top w:w="15" w:type="dxa"/>
              <w:left w:w="0" w:type="dxa"/>
              <w:bottom w:w="0" w:type="dxa"/>
              <w:right w:w="15" w:type="dxa"/>
            </w:tcMar>
            <w:vAlign w:val="bottom"/>
            <w:hideMark/>
          </w:tcPr>
          <w:p w14:paraId="22E0D65D"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r w:rsidR="00AC4931" w:rsidRPr="00AC4931" w14:paraId="2DF4FBF6" w14:textId="77777777" w:rsidTr="00AC4931">
        <w:tc>
          <w:tcPr>
            <w:tcW w:w="13795" w:type="dxa"/>
            <w:shd w:val="clear" w:color="auto" w:fill="CFF0FC"/>
            <w:tcMar>
              <w:top w:w="15" w:type="dxa"/>
              <w:left w:w="0" w:type="dxa"/>
              <w:bottom w:w="0" w:type="dxa"/>
              <w:right w:w="15" w:type="dxa"/>
            </w:tcMar>
            <w:hideMark/>
          </w:tcPr>
          <w:p w14:paraId="743C84D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Net debt</w:t>
            </w:r>
            <w:r w:rsidRPr="00AC4931">
              <w:rPr>
                <w:rFonts w:ascii="Arial" w:eastAsia="宋体" w:hAnsi="Arial" w:cs="Arial"/>
                <w:color w:val="000000"/>
                <w:kern w:val="0"/>
                <w:sz w:val="18"/>
                <w:szCs w:val="18"/>
                <w:vertAlign w:val="superscript"/>
              </w:rPr>
              <w:t>1)</w:t>
            </w:r>
          </w:p>
        </w:tc>
        <w:tc>
          <w:tcPr>
            <w:tcW w:w="319" w:type="dxa"/>
            <w:shd w:val="clear" w:color="auto" w:fill="CFF0FC"/>
            <w:tcMar>
              <w:top w:w="15" w:type="dxa"/>
              <w:left w:w="0" w:type="dxa"/>
              <w:bottom w:w="0" w:type="dxa"/>
              <w:right w:w="15" w:type="dxa"/>
            </w:tcMar>
            <w:vAlign w:val="bottom"/>
            <w:hideMark/>
          </w:tcPr>
          <w:p w14:paraId="50C0E86C"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3A1599E"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2FF7C8D5"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1,214.2</w:t>
            </w:r>
          </w:p>
        </w:tc>
        <w:tc>
          <w:tcPr>
            <w:tcW w:w="191" w:type="dxa"/>
            <w:shd w:val="clear" w:color="auto" w:fill="CFF0FC"/>
            <w:noWrap/>
            <w:tcMar>
              <w:top w:w="15" w:type="dxa"/>
              <w:left w:w="0" w:type="dxa"/>
              <w:bottom w:w="0" w:type="dxa"/>
              <w:right w:w="15" w:type="dxa"/>
            </w:tcMar>
            <w:vAlign w:val="bottom"/>
            <w:hideMark/>
          </w:tcPr>
          <w:p w14:paraId="4FE06354"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6E4F601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6260C4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2CB1C301"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1,649.8</w:t>
            </w:r>
          </w:p>
        </w:tc>
        <w:tc>
          <w:tcPr>
            <w:tcW w:w="192" w:type="dxa"/>
            <w:shd w:val="clear" w:color="auto" w:fill="CFF0FC"/>
            <w:noWrap/>
            <w:tcMar>
              <w:top w:w="15" w:type="dxa"/>
              <w:left w:w="0" w:type="dxa"/>
              <w:bottom w:w="0" w:type="dxa"/>
              <w:right w:w="15" w:type="dxa"/>
            </w:tcMar>
            <w:vAlign w:val="bottom"/>
            <w:hideMark/>
          </w:tcPr>
          <w:p w14:paraId="3A92D4A8"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223AA6F9" w14:textId="77777777" w:rsidTr="00AC4931">
        <w:tc>
          <w:tcPr>
            <w:tcW w:w="13795" w:type="dxa"/>
            <w:shd w:val="clear" w:color="auto" w:fill="FFFFFF"/>
            <w:tcMar>
              <w:top w:w="15" w:type="dxa"/>
              <w:left w:w="0" w:type="dxa"/>
              <w:bottom w:w="0" w:type="dxa"/>
              <w:right w:w="15" w:type="dxa"/>
            </w:tcMar>
            <w:hideMark/>
          </w:tcPr>
          <w:p w14:paraId="2A72D86C"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Pension liabilities</w:t>
            </w:r>
          </w:p>
        </w:tc>
        <w:tc>
          <w:tcPr>
            <w:tcW w:w="319" w:type="dxa"/>
            <w:shd w:val="clear" w:color="auto" w:fill="FFFFFF"/>
            <w:tcMar>
              <w:top w:w="15" w:type="dxa"/>
              <w:left w:w="0" w:type="dxa"/>
              <w:bottom w:w="0" w:type="dxa"/>
              <w:right w:w="15" w:type="dxa"/>
            </w:tcMar>
            <w:vAlign w:val="bottom"/>
            <w:hideMark/>
          </w:tcPr>
          <w:p w14:paraId="12E568BA"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5EF519C"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tcBorders>
              <w:bottom w:val="single" w:sz="6" w:space="0" w:color="000000"/>
            </w:tcBorders>
            <w:shd w:val="clear" w:color="auto" w:fill="FFFFFF"/>
            <w:noWrap/>
            <w:tcMar>
              <w:top w:w="15" w:type="dxa"/>
              <w:left w:w="0" w:type="dxa"/>
              <w:bottom w:w="0" w:type="dxa"/>
              <w:right w:w="15" w:type="dxa"/>
            </w:tcMar>
            <w:vAlign w:val="bottom"/>
            <w:hideMark/>
          </w:tcPr>
          <w:p w14:paraId="491A7D53"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248.2</w:t>
            </w:r>
          </w:p>
        </w:tc>
        <w:tc>
          <w:tcPr>
            <w:tcW w:w="191" w:type="dxa"/>
            <w:shd w:val="clear" w:color="auto" w:fill="FFFFFF"/>
            <w:noWrap/>
            <w:tcMar>
              <w:top w:w="15" w:type="dxa"/>
              <w:left w:w="0" w:type="dxa"/>
              <w:bottom w:w="0" w:type="dxa"/>
              <w:right w:w="15" w:type="dxa"/>
            </w:tcMar>
            <w:vAlign w:val="bottom"/>
            <w:hideMark/>
          </w:tcPr>
          <w:p w14:paraId="1846C713"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6E4FE949"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AB57701"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tcBorders>
              <w:bottom w:val="single" w:sz="6" w:space="0" w:color="000000"/>
            </w:tcBorders>
            <w:shd w:val="clear" w:color="auto" w:fill="FFFFFF"/>
            <w:noWrap/>
            <w:tcMar>
              <w:top w:w="15" w:type="dxa"/>
              <w:left w:w="0" w:type="dxa"/>
              <w:bottom w:w="0" w:type="dxa"/>
              <w:right w:w="15" w:type="dxa"/>
            </w:tcMar>
            <w:vAlign w:val="bottom"/>
            <w:hideMark/>
          </w:tcPr>
          <w:p w14:paraId="6EA320FA"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240.2</w:t>
            </w:r>
          </w:p>
        </w:tc>
        <w:tc>
          <w:tcPr>
            <w:tcW w:w="192" w:type="dxa"/>
            <w:shd w:val="clear" w:color="auto" w:fill="FFFFFF"/>
            <w:noWrap/>
            <w:tcMar>
              <w:top w:w="15" w:type="dxa"/>
              <w:left w:w="0" w:type="dxa"/>
              <w:bottom w:w="0" w:type="dxa"/>
              <w:right w:w="15" w:type="dxa"/>
            </w:tcMar>
            <w:vAlign w:val="bottom"/>
            <w:hideMark/>
          </w:tcPr>
          <w:p w14:paraId="0334F8D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7D4BAA50" w14:textId="77777777" w:rsidTr="00AC4931">
        <w:tc>
          <w:tcPr>
            <w:tcW w:w="13795" w:type="dxa"/>
            <w:shd w:val="clear" w:color="auto" w:fill="CFF0FC"/>
            <w:tcMar>
              <w:top w:w="15" w:type="dxa"/>
              <w:left w:w="0" w:type="dxa"/>
              <w:bottom w:w="0" w:type="dxa"/>
              <w:right w:w="15" w:type="dxa"/>
            </w:tcMar>
            <w:hideMark/>
          </w:tcPr>
          <w:p w14:paraId="3F245CA6"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Debt per the Policy</w:t>
            </w:r>
          </w:p>
        </w:tc>
        <w:tc>
          <w:tcPr>
            <w:tcW w:w="319" w:type="dxa"/>
            <w:shd w:val="clear" w:color="auto" w:fill="CFF0FC"/>
            <w:tcMar>
              <w:top w:w="15" w:type="dxa"/>
              <w:left w:w="0" w:type="dxa"/>
              <w:bottom w:w="0" w:type="dxa"/>
              <w:right w:w="15" w:type="dxa"/>
            </w:tcMar>
            <w:vAlign w:val="bottom"/>
            <w:hideMark/>
          </w:tcPr>
          <w:p w14:paraId="71033401"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2EEF331"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43F456C6" w14:textId="77777777" w:rsidR="00AC4931" w:rsidRPr="00AC4931" w:rsidRDefault="00AC4931" w:rsidP="00AC4931">
            <w:pPr>
              <w:widowControl/>
              <w:jc w:val="righ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1,462.4</w:t>
            </w:r>
          </w:p>
        </w:tc>
        <w:tc>
          <w:tcPr>
            <w:tcW w:w="191" w:type="dxa"/>
            <w:shd w:val="clear" w:color="auto" w:fill="CFF0FC"/>
            <w:noWrap/>
            <w:tcMar>
              <w:top w:w="15" w:type="dxa"/>
              <w:left w:w="0" w:type="dxa"/>
              <w:bottom w:w="0" w:type="dxa"/>
              <w:right w:w="15" w:type="dxa"/>
            </w:tcMar>
            <w:vAlign w:val="bottom"/>
            <w:hideMark/>
          </w:tcPr>
          <w:p w14:paraId="0FB1B7B5"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2FE16310"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4A21B26"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09F885CE" w14:textId="77777777" w:rsidR="00AC4931" w:rsidRPr="00AC4931" w:rsidRDefault="00AC4931" w:rsidP="00AC4931">
            <w:pPr>
              <w:widowControl/>
              <w:jc w:val="righ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1,890.0</w:t>
            </w:r>
          </w:p>
        </w:tc>
        <w:tc>
          <w:tcPr>
            <w:tcW w:w="192" w:type="dxa"/>
            <w:shd w:val="clear" w:color="auto" w:fill="CFF0FC"/>
            <w:noWrap/>
            <w:tcMar>
              <w:top w:w="15" w:type="dxa"/>
              <w:left w:w="0" w:type="dxa"/>
              <w:bottom w:w="0" w:type="dxa"/>
              <w:right w:w="15" w:type="dxa"/>
            </w:tcMar>
            <w:vAlign w:val="bottom"/>
            <w:hideMark/>
          </w:tcPr>
          <w:p w14:paraId="1E31F333"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r>
      <w:tr w:rsidR="00AC4931" w:rsidRPr="00AC4931" w14:paraId="63202B2C" w14:textId="77777777" w:rsidTr="00AC4931">
        <w:tc>
          <w:tcPr>
            <w:tcW w:w="13795" w:type="dxa"/>
            <w:shd w:val="clear" w:color="auto" w:fill="FFFFFF"/>
            <w:tcMar>
              <w:top w:w="15" w:type="dxa"/>
              <w:left w:w="0" w:type="dxa"/>
              <w:bottom w:w="0" w:type="dxa"/>
              <w:right w:w="15" w:type="dxa"/>
            </w:tcMar>
            <w:hideMark/>
          </w:tcPr>
          <w:p w14:paraId="5AD1C781"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3CDF9739"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8B94D1B"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2641" w:type="dxa"/>
            <w:shd w:val="clear" w:color="auto" w:fill="FFFFFF"/>
            <w:noWrap/>
            <w:tcMar>
              <w:top w:w="15" w:type="dxa"/>
              <w:left w:w="0" w:type="dxa"/>
              <w:bottom w:w="0" w:type="dxa"/>
              <w:right w:w="15" w:type="dxa"/>
            </w:tcMar>
            <w:vAlign w:val="bottom"/>
            <w:hideMark/>
          </w:tcPr>
          <w:p w14:paraId="27CFF820" w14:textId="77777777" w:rsidR="00AC4931" w:rsidRPr="00AC4931" w:rsidRDefault="00AC4931" w:rsidP="00AC4931">
            <w:pPr>
              <w:widowControl/>
              <w:jc w:val="righ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06EAC01"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60C98E09"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F5AC9DC"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2641" w:type="dxa"/>
            <w:shd w:val="clear" w:color="auto" w:fill="FFFFFF"/>
            <w:noWrap/>
            <w:tcMar>
              <w:top w:w="15" w:type="dxa"/>
              <w:left w:w="0" w:type="dxa"/>
              <w:bottom w:w="0" w:type="dxa"/>
              <w:right w:w="15" w:type="dxa"/>
            </w:tcMar>
            <w:vAlign w:val="bottom"/>
            <w:hideMark/>
          </w:tcPr>
          <w:p w14:paraId="48FEC78D" w14:textId="77777777" w:rsidR="00AC4931" w:rsidRPr="00AC4931" w:rsidRDefault="00AC4931" w:rsidP="00AC4931">
            <w:pPr>
              <w:widowControl/>
              <w:jc w:val="righ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713A42C3"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r>
      <w:tr w:rsidR="00AC4931" w:rsidRPr="00AC4931" w14:paraId="7B5E7FA7" w14:textId="77777777" w:rsidTr="00AC4931">
        <w:tc>
          <w:tcPr>
            <w:tcW w:w="13795" w:type="dxa"/>
            <w:shd w:val="clear" w:color="auto" w:fill="CFF0FC"/>
            <w:tcMar>
              <w:top w:w="15" w:type="dxa"/>
              <w:left w:w="0" w:type="dxa"/>
              <w:bottom w:w="0" w:type="dxa"/>
              <w:right w:w="15" w:type="dxa"/>
            </w:tcMar>
            <w:hideMark/>
          </w:tcPr>
          <w:p w14:paraId="64252C6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Net income</w:t>
            </w:r>
            <w:r w:rsidRPr="00AC4931">
              <w:rPr>
                <w:rFonts w:ascii="Arial" w:eastAsia="宋体" w:hAnsi="Arial" w:cs="Arial"/>
                <w:color w:val="000000"/>
                <w:kern w:val="0"/>
                <w:sz w:val="18"/>
                <w:szCs w:val="18"/>
                <w:vertAlign w:val="superscript"/>
              </w:rPr>
              <w:t>2)</w:t>
            </w:r>
          </w:p>
        </w:tc>
        <w:tc>
          <w:tcPr>
            <w:tcW w:w="319" w:type="dxa"/>
            <w:shd w:val="clear" w:color="auto" w:fill="CFF0FC"/>
            <w:tcMar>
              <w:top w:w="15" w:type="dxa"/>
              <w:left w:w="0" w:type="dxa"/>
              <w:bottom w:w="0" w:type="dxa"/>
              <w:right w:w="15" w:type="dxa"/>
            </w:tcMar>
            <w:vAlign w:val="bottom"/>
            <w:hideMark/>
          </w:tcPr>
          <w:p w14:paraId="012510BD"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5FFC14F"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shd w:val="clear" w:color="auto" w:fill="CFF0FC"/>
            <w:noWrap/>
            <w:tcMar>
              <w:top w:w="15" w:type="dxa"/>
              <w:left w:w="0" w:type="dxa"/>
              <w:bottom w:w="0" w:type="dxa"/>
              <w:right w:w="15" w:type="dxa"/>
            </w:tcMar>
            <w:vAlign w:val="bottom"/>
            <w:hideMark/>
          </w:tcPr>
          <w:p w14:paraId="3FA7B257"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188.3</w:t>
            </w:r>
          </w:p>
        </w:tc>
        <w:tc>
          <w:tcPr>
            <w:tcW w:w="191" w:type="dxa"/>
            <w:shd w:val="clear" w:color="auto" w:fill="CFF0FC"/>
            <w:noWrap/>
            <w:tcMar>
              <w:top w:w="15" w:type="dxa"/>
              <w:left w:w="0" w:type="dxa"/>
              <w:bottom w:w="0" w:type="dxa"/>
              <w:right w:w="15" w:type="dxa"/>
            </w:tcMar>
            <w:vAlign w:val="bottom"/>
            <w:hideMark/>
          </w:tcPr>
          <w:p w14:paraId="1F719340"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632AB818"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8E5533F"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shd w:val="clear" w:color="auto" w:fill="CFF0FC"/>
            <w:noWrap/>
            <w:tcMar>
              <w:top w:w="15" w:type="dxa"/>
              <w:left w:w="0" w:type="dxa"/>
              <w:bottom w:w="0" w:type="dxa"/>
              <w:right w:w="15" w:type="dxa"/>
            </w:tcMar>
            <w:vAlign w:val="bottom"/>
            <w:hideMark/>
          </w:tcPr>
          <w:p w14:paraId="10B7929F"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462.8</w:t>
            </w:r>
          </w:p>
        </w:tc>
        <w:tc>
          <w:tcPr>
            <w:tcW w:w="192" w:type="dxa"/>
            <w:shd w:val="clear" w:color="auto" w:fill="CFF0FC"/>
            <w:noWrap/>
            <w:tcMar>
              <w:top w:w="15" w:type="dxa"/>
              <w:left w:w="0" w:type="dxa"/>
              <w:bottom w:w="0" w:type="dxa"/>
              <w:right w:w="15" w:type="dxa"/>
            </w:tcMar>
            <w:vAlign w:val="bottom"/>
            <w:hideMark/>
          </w:tcPr>
          <w:p w14:paraId="6D80A59E"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70D0DA4A" w14:textId="77777777" w:rsidTr="00AC4931">
        <w:tc>
          <w:tcPr>
            <w:tcW w:w="13795" w:type="dxa"/>
            <w:shd w:val="clear" w:color="auto" w:fill="FFFFFF"/>
            <w:tcMar>
              <w:top w:w="15" w:type="dxa"/>
              <w:left w:w="0" w:type="dxa"/>
              <w:bottom w:w="0" w:type="dxa"/>
              <w:right w:w="15" w:type="dxa"/>
            </w:tcMar>
            <w:hideMark/>
          </w:tcPr>
          <w:p w14:paraId="7354212D"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Income taxes</w:t>
            </w:r>
            <w:r w:rsidRPr="00AC4931">
              <w:rPr>
                <w:rFonts w:ascii="Arial" w:eastAsia="宋体" w:hAnsi="Arial" w:cs="Arial"/>
                <w:color w:val="000000"/>
                <w:kern w:val="0"/>
                <w:sz w:val="18"/>
                <w:szCs w:val="18"/>
                <w:vertAlign w:val="superscript"/>
              </w:rPr>
              <w:t>2)</w:t>
            </w:r>
          </w:p>
        </w:tc>
        <w:tc>
          <w:tcPr>
            <w:tcW w:w="319" w:type="dxa"/>
            <w:shd w:val="clear" w:color="auto" w:fill="FFFFFF"/>
            <w:tcMar>
              <w:top w:w="15" w:type="dxa"/>
              <w:left w:w="0" w:type="dxa"/>
              <w:bottom w:w="0" w:type="dxa"/>
              <w:right w:w="15" w:type="dxa"/>
            </w:tcMar>
            <w:vAlign w:val="bottom"/>
            <w:hideMark/>
          </w:tcPr>
          <w:p w14:paraId="7D89B0C2"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64EF498"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shd w:val="clear" w:color="auto" w:fill="FFFFFF"/>
            <w:noWrap/>
            <w:tcMar>
              <w:top w:w="15" w:type="dxa"/>
              <w:left w:w="0" w:type="dxa"/>
              <w:bottom w:w="0" w:type="dxa"/>
              <w:right w:w="15" w:type="dxa"/>
            </w:tcMar>
            <w:vAlign w:val="bottom"/>
            <w:hideMark/>
          </w:tcPr>
          <w:p w14:paraId="3E0A3745"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102.9</w:t>
            </w:r>
          </w:p>
        </w:tc>
        <w:tc>
          <w:tcPr>
            <w:tcW w:w="191" w:type="dxa"/>
            <w:shd w:val="clear" w:color="auto" w:fill="FFFFFF"/>
            <w:noWrap/>
            <w:tcMar>
              <w:top w:w="15" w:type="dxa"/>
              <w:left w:w="0" w:type="dxa"/>
              <w:bottom w:w="0" w:type="dxa"/>
              <w:right w:w="15" w:type="dxa"/>
            </w:tcMar>
            <w:vAlign w:val="bottom"/>
            <w:hideMark/>
          </w:tcPr>
          <w:p w14:paraId="28F739EB"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2F75BCC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2D7A79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shd w:val="clear" w:color="auto" w:fill="FFFFFF"/>
            <w:noWrap/>
            <w:tcMar>
              <w:top w:w="15" w:type="dxa"/>
              <w:left w:w="0" w:type="dxa"/>
              <w:bottom w:w="0" w:type="dxa"/>
              <w:right w:w="15" w:type="dxa"/>
            </w:tcMar>
            <w:vAlign w:val="bottom"/>
            <w:hideMark/>
          </w:tcPr>
          <w:p w14:paraId="3644ED0D"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185.6</w:t>
            </w:r>
          </w:p>
        </w:tc>
        <w:tc>
          <w:tcPr>
            <w:tcW w:w="192" w:type="dxa"/>
            <w:shd w:val="clear" w:color="auto" w:fill="FFFFFF"/>
            <w:noWrap/>
            <w:tcMar>
              <w:top w:w="15" w:type="dxa"/>
              <w:left w:w="0" w:type="dxa"/>
              <w:bottom w:w="0" w:type="dxa"/>
              <w:right w:w="15" w:type="dxa"/>
            </w:tcMar>
            <w:vAlign w:val="bottom"/>
            <w:hideMark/>
          </w:tcPr>
          <w:p w14:paraId="0D46D11C"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2B6C39DC" w14:textId="77777777" w:rsidTr="00AC4931">
        <w:tc>
          <w:tcPr>
            <w:tcW w:w="13795" w:type="dxa"/>
            <w:shd w:val="clear" w:color="auto" w:fill="CFF0FC"/>
            <w:tcMar>
              <w:top w:w="15" w:type="dxa"/>
              <w:left w:w="0" w:type="dxa"/>
              <w:bottom w:w="0" w:type="dxa"/>
              <w:right w:w="15" w:type="dxa"/>
            </w:tcMar>
            <w:hideMark/>
          </w:tcPr>
          <w:p w14:paraId="17532ECA"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Interest expense, net</w:t>
            </w:r>
            <w:r w:rsidRPr="00AC4931">
              <w:rPr>
                <w:rFonts w:ascii="Arial" w:eastAsia="宋体" w:hAnsi="Arial" w:cs="Arial"/>
                <w:color w:val="000000"/>
                <w:kern w:val="0"/>
                <w:sz w:val="18"/>
                <w:szCs w:val="18"/>
                <w:vertAlign w:val="superscript"/>
              </w:rPr>
              <w:t>2,3)</w:t>
            </w:r>
          </w:p>
        </w:tc>
        <w:tc>
          <w:tcPr>
            <w:tcW w:w="319" w:type="dxa"/>
            <w:shd w:val="clear" w:color="auto" w:fill="CFF0FC"/>
            <w:tcMar>
              <w:top w:w="15" w:type="dxa"/>
              <w:left w:w="0" w:type="dxa"/>
              <w:bottom w:w="0" w:type="dxa"/>
              <w:right w:w="15" w:type="dxa"/>
            </w:tcMar>
            <w:vAlign w:val="bottom"/>
            <w:hideMark/>
          </w:tcPr>
          <w:p w14:paraId="6D36B00E"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60CFD8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shd w:val="clear" w:color="auto" w:fill="CFF0FC"/>
            <w:noWrap/>
            <w:tcMar>
              <w:top w:w="15" w:type="dxa"/>
              <w:left w:w="0" w:type="dxa"/>
              <w:bottom w:w="0" w:type="dxa"/>
              <w:right w:w="15" w:type="dxa"/>
            </w:tcMar>
            <w:vAlign w:val="bottom"/>
            <w:hideMark/>
          </w:tcPr>
          <w:p w14:paraId="1B66E203"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68.4</w:t>
            </w:r>
          </w:p>
        </w:tc>
        <w:tc>
          <w:tcPr>
            <w:tcW w:w="191" w:type="dxa"/>
            <w:shd w:val="clear" w:color="auto" w:fill="CFF0FC"/>
            <w:noWrap/>
            <w:tcMar>
              <w:top w:w="15" w:type="dxa"/>
              <w:left w:w="0" w:type="dxa"/>
              <w:bottom w:w="0" w:type="dxa"/>
              <w:right w:w="15" w:type="dxa"/>
            </w:tcMar>
            <w:vAlign w:val="bottom"/>
            <w:hideMark/>
          </w:tcPr>
          <w:p w14:paraId="54F948E2"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7A6DDDFD"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3EA359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shd w:val="clear" w:color="auto" w:fill="CFF0FC"/>
            <w:noWrap/>
            <w:tcMar>
              <w:top w:w="15" w:type="dxa"/>
              <w:left w:w="0" w:type="dxa"/>
              <w:bottom w:w="0" w:type="dxa"/>
              <w:right w:w="15" w:type="dxa"/>
            </w:tcMar>
            <w:vAlign w:val="bottom"/>
            <w:hideMark/>
          </w:tcPr>
          <w:p w14:paraId="2B168CF1"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65.9</w:t>
            </w:r>
          </w:p>
        </w:tc>
        <w:tc>
          <w:tcPr>
            <w:tcW w:w="192" w:type="dxa"/>
            <w:shd w:val="clear" w:color="auto" w:fill="CFF0FC"/>
            <w:noWrap/>
            <w:tcMar>
              <w:top w:w="15" w:type="dxa"/>
              <w:left w:w="0" w:type="dxa"/>
              <w:bottom w:w="0" w:type="dxa"/>
              <w:right w:w="15" w:type="dxa"/>
            </w:tcMar>
            <w:vAlign w:val="bottom"/>
            <w:hideMark/>
          </w:tcPr>
          <w:p w14:paraId="1B29BE0A"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25ED724F" w14:textId="77777777" w:rsidTr="00AC4931">
        <w:tc>
          <w:tcPr>
            <w:tcW w:w="13795" w:type="dxa"/>
            <w:shd w:val="clear" w:color="auto" w:fill="FFFFFF"/>
            <w:tcMar>
              <w:top w:w="15" w:type="dxa"/>
              <w:left w:w="0" w:type="dxa"/>
              <w:bottom w:w="0" w:type="dxa"/>
              <w:right w:w="15" w:type="dxa"/>
            </w:tcMar>
            <w:hideMark/>
          </w:tcPr>
          <w:p w14:paraId="71F4778C"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Depreciation and amortization of intangibles</w:t>
            </w:r>
            <w:r w:rsidRPr="00AC4931">
              <w:rPr>
                <w:rFonts w:ascii="Arial" w:eastAsia="宋体" w:hAnsi="Arial" w:cs="Arial"/>
                <w:color w:val="000000"/>
                <w:kern w:val="0"/>
                <w:sz w:val="18"/>
                <w:szCs w:val="18"/>
                <w:vertAlign w:val="superscript"/>
              </w:rPr>
              <w:t>2)</w:t>
            </w:r>
          </w:p>
        </w:tc>
        <w:tc>
          <w:tcPr>
            <w:tcW w:w="319" w:type="dxa"/>
            <w:shd w:val="clear" w:color="auto" w:fill="FFFFFF"/>
            <w:tcMar>
              <w:top w:w="15" w:type="dxa"/>
              <w:left w:w="0" w:type="dxa"/>
              <w:bottom w:w="0" w:type="dxa"/>
              <w:right w:w="15" w:type="dxa"/>
            </w:tcMar>
            <w:vAlign w:val="bottom"/>
            <w:hideMark/>
          </w:tcPr>
          <w:p w14:paraId="4A9B32C4"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EF75B40"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shd w:val="clear" w:color="auto" w:fill="FFFFFF"/>
            <w:noWrap/>
            <w:tcMar>
              <w:top w:w="15" w:type="dxa"/>
              <w:left w:w="0" w:type="dxa"/>
              <w:bottom w:w="0" w:type="dxa"/>
              <w:right w:w="15" w:type="dxa"/>
            </w:tcMar>
            <w:vAlign w:val="bottom"/>
            <w:hideMark/>
          </w:tcPr>
          <w:p w14:paraId="32747C1E"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370.9</w:t>
            </w:r>
          </w:p>
        </w:tc>
        <w:tc>
          <w:tcPr>
            <w:tcW w:w="191" w:type="dxa"/>
            <w:shd w:val="clear" w:color="auto" w:fill="FFFFFF"/>
            <w:noWrap/>
            <w:tcMar>
              <w:top w:w="15" w:type="dxa"/>
              <w:left w:w="0" w:type="dxa"/>
              <w:bottom w:w="0" w:type="dxa"/>
              <w:right w:w="15" w:type="dxa"/>
            </w:tcMar>
            <w:vAlign w:val="bottom"/>
            <w:hideMark/>
          </w:tcPr>
          <w:p w14:paraId="39CA6AE2"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25732DBB"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EAE194D"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shd w:val="clear" w:color="auto" w:fill="FFFFFF"/>
            <w:noWrap/>
            <w:tcMar>
              <w:top w:w="15" w:type="dxa"/>
              <w:left w:w="0" w:type="dxa"/>
              <w:bottom w:w="0" w:type="dxa"/>
              <w:right w:w="15" w:type="dxa"/>
            </w:tcMar>
            <w:vAlign w:val="bottom"/>
            <w:hideMark/>
          </w:tcPr>
          <w:p w14:paraId="080D8BEC"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350.6</w:t>
            </w:r>
          </w:p>
        </w:tc>
        <w:tc>
          <w:tcPr>
            <w:tcW w:w="192" w:type="dxa"/>
            <w:shd w:val="clear" w:color="auto" w:fill="FFFFFF"/>
            <w:noWrap/>
            <w:tcMar>
              <w:top w:w="15" w:type="dxa"/>
              <w:left w:w="0" w:type="dxa"/>
              <w:bottom w:w="0" w:type="dxa"/>
              <w:right w:w="15" w:type="dxa"/>
            </w:tcMar>
            <w:vAlign w:val="bottom"/>
            <w:hideMark/>
          </w:tcPr>
          <w:p w14:paraId="0ABD9443"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25D9F45D" w14:textId="77777777" w:rsidTr="00AC4931">
        <w:tc>
          <w:tcPr>
            <w:tcW w:w="13795" w:type="dxa"/>
            <w:shd w:val="clear" w:color="auto" w:fill="CFF0FC"/>
            <w:tcMar>
              <w:top w:w="15" w:type="dxa"/>
              <w:left w:w="0" w:type="dxa"/>
              <w:bottom w:w="0" w:type="dxa"/>
              <w:right w:w="15" w:type="dxa"/>
            </w:tcMar>
            <w:hideMark/>
          </w:tcPr>
          <w:p w14:paraId="2146FB5F"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Antitrust related matters and capacity alignments and separation costs</w:t>
            </w:r>
            <w:r w:rsidRPr="00AC4931">
              <w:rPr>
                <w:rFonts w:ascii="Arial" w:eastAsia="宋体" w:hAnsi="Arial" w:cs="Arial"/>
                <w:color w:val="000000"/>
                <w:kern w:val="0"/>
                <w:sz w:val="18"/>
                <w:szCs w:val="18"/>
                <w:vertAlign w:val="superscript"/>
              </w:rPr>
              <w:t>2)</w:t>
            </w:r>
          </w:p>
        </w:tc>
        <w:tc>
          <w:tcPr>
            <w:tcW w:w="319" w:type="dxa"/>
            <w:shd w:val="clear" w:color="auto" w:fill="CFF0FC"/>
            <w:tcMar>
              <w:top w:w="15" w:type="dxa"/>
              <w:left w:w="0" w:type="dxa"/>
              <w:bottom w:w="0" w:type="dxa"/>
              <w:right w:w="15" w:type="dxa"/>
            </w:tcMar>
            <w:vAlign w:val="bottom"/>
            <w:hideMark/>
          </w:tcPr>
          <w:p w14:paraId="3B26279B"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1CA32B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tcBorders>
              <w:bottom w:val="single" w:sz="6" w:space="0" w:color="000000"/>
            </w:tcBorders>
            <w:shd w:val="clear" w:color="auto" w:fill="CFF0FC"/>
            <w:noWrap/>
            <w:tcMar>
              <w:top w:w="15" w:type="dxa"/>
              <w:left w:w="0" w:type="dxa"/>
              <w:bottom w:w="0" w:type="dxa"/>
              <w:right w:w="15" w:type="dxa"/>
            </w:tcMar>
            <w:vAlign w:val="bottom"/>
            <w:hideMark/>
          </w:tcPr>
          <w:p w14:paraId="05083BF3"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99.5</w:t>
            </w:r>
          </w:p>
        </w:tc>
        <w:tc>
          <w:tcPr>
            <w:tcW w:w="191" w:type="dxa"/>
            <w:shd w:val="clear" w:color="auto" w:fill="CFF0FC"/>
            <w:noWrap/>
            <w:tcMar>
              <w:top w:w="15" w:type="dxa"/>
              <w:left w:w="0" w:type="dxa"/>
              <w:bottom w:w="0" w:type="dxa"/>
              <w:right w:w="15" w:type="dxa"/>
            </w:tcMar>
            <w:vAlign w:val="bottom"/>
            <w:hideMark/>
          </w:tcPr>
          <w:p w14:paraId="27F085DD"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514C25AF"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14E7F77"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641" w:type="dxa"/>
            <w:tcBorders>
              <w:bottom w:val="single" w:sz="6" w:space="0" w:color="000000"/>
            </w:tcBorders>
            <w:shd w:val="clear" w:color="auto" w:fill="CFF0FC"/>
            <w:noWrap/>
            <w:tcMar>
              <w:top w:w="15" w:type="dxa"/>
              <w:left w:w="0" w:type="dxa"/>
              <w:bottom w:w="0" w:type="dxa"/>
              <w:right w:w="15" w:type="dxa"/>
            </w:tcMar>
            <w:vAlign w:val="bottom"/>
            <w:hideMark/>
          </w:tcPr>
          <w:p w14:paraId="6B7CF0B6" w14:textId="77777777" w:rsidR="00AC4931" w:rsidRPr="00AC4931" w:rsidRDefault="00AC4931" w:rsidP="00AC4931">
            <w:pPr>
              <w:widowControl/>
              <w:jc w:val="right"/>
              <w:rPr>
                <w:rFonts w:ascii="Arial" w:eastAsia="宋体" w:hAnsi="Arial" w:cs="Arial"/>
                <w:color w:val="000000"/>
                <w:kern w:val="0"/>
                <w:sz w:val="20"/>
                <w:szCs w:val="20"/>
              </w:rPr>
            </w:pPr>
            <w:r w:rsidRPr="00AC4931">
              <w:rPr>
                <w:rFonts w:ascii="Arial" w:eastAsia="宋体" w:hAnsi="Arial" w:cs="Arial"/>
                <w:color w:val="000000"/>
                <w:kern w:val="0"/>
                <w:sz w:val="20"/>
                <w:szCs w:val="20"/>
              </w:rPr>
              <w:t>48.6</w:t>
            </w:r>
          </w:p>
        </w:tc>
        <w:tc>
          <w:tcPr>
            <w:tcW w:w="192" w:type="dxa"/>
            <w:shd w:val="clear" w:color="auto" w:fill="CFF0FC"/>
            <w:noWrap/>
            <w:tcMar>
              <w:top w:w="15" w:type="dxa"/>
              <w:left w:w="0" w:type="dxa"/>
              <w:bottom w:w="0" w:type="dxa"/>
              <w:right w:w="15" w:type="dxa"/>
            </w:tcMar>
            <w:vAlign w:val="bottom"/>
            <w:hideMark/>
          </w:tcPr>
          <w:p w14:paraId="332B7951"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01FED0C6" w14:textId="77777777" w:rsidTr="00AC4931">
        <w:tc>
          <w:tcPr>
            <w:tcW w:w="13795" w:type="dxa"/>
            <w:shd w:val="clear" w:color="auto" w:fill="FFFFFF"/>
            <w:tcMar>
              <w:top w:w="15" w:type="dxa"/>
              <w:left w:w="0" w:type="dxa"/>
              <w:bottom w:w="0" w:type="dxa"/>
              <w:right w:w="15" w:type="dxa"/>
            </w:tcMar>
            <w:hideMark/>
          </w:tcPr>
          <w:p w14:paraId="358068C1"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EBITDA per the Policy (Adjusted EBITDA)</w:t>
            </w:r>
          </w:p>
        </w:tc>
        <w:tc>
          <w:tcPr>
            <w:tcW w:w="319" w:type="dxa"/>
            <w:shd w:val="clear" w:color="auto" w:fill="FFFFFF"/>
            <w:tcMar>
              <w:top w:w="15" w:type="dxa"/>
              <w:left w:w="0" w:type="dxa"/>
              <w:bottom w:w="0" w:type="dxa"/>
              <w:right w:w="15" w:type="dxa"/>
            </w:tcMar>
            <w:vAlign w:val="bottom"/>
            <w:hideMark/>
          </w:tcPr>
          <w:p w14:paraId="1A3F8D3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1318DC9C"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w:t>
            </w:r>
          </w:p>
        </w:tc>
        <w:tc>
          <w:tcPr>
            <w:tcW w:w="2641" w:type="dxa"/>
            <w:tcBorders>
              <w:top w:val="single" w:sz="6" w:space="0" w:color="000000"/>
            </w:tcBorders>
            <w:shd w:val="clear" w:color="auto" w:fill="FFFFFF"/>
            <w:noWrap/>
            <w:tcMar>
              <w:top w:w="15" w:type="dxa"/>
              <w:left w:w="0" w:type="dxa"/>
              <w:bottom w:w="0" w:type="dxa"/>
              <w:right w:w="15" w:type="dxa"/>
            </w:tcMar>
            <w:vAlign w:val="bottom"/>
            <w:hideMark/>
          </w:tcPr>
          <w:p w14:paraId="3BD4028C" w14:textId="77777777" w:rsidR="00AC4931" w:rsidRPr="00AC4931" w:rsidRDefault="00AC4931" w:rsidP="00AC4931">
            <w:pPr>
              <w:widowControl/>
              <w:jc w:val="righ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830.0</w:t>
            </w:r>
          </w:p>
        </w:tc>
        <w:tc>
          <w:tcPr>
            <w:tcW w:w="191" w:type="dxa"/>
            <w:shd w:val="clear" w:color="auto" w:fill="FFFFFF"/>
            <w:noWrap/>
            <w:tcMar>
              <w:top w:w="15" w:type="dxa"/>
              <w:left w:w="0" w:type="dxa"/>
              <w:bottom w:w="0" w:type="dxa"/>
              <w:right w:w="15" w:type="dxa"/>
            </w:tcMar>
            <w:vAlign w:val="bottom"/>
            <w:hideMark/>
          </w:tcPr>
          <w:p w14:paraId="4F727F56"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768BF53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24AF2D4"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w:t>
            </w:r>
          </w:p>
        </w:tc>
        <w:tc>
          <w:tcPr>
            <w:tcW w:w="2641" w:type="dxa"/>
            <w:tcBorders>
              <w:top w:val="single" w:sz="6" w:space="0" w:color="000000"/>
            </w:tcBorders>
            <w:shd w:val="clear" w:color="auto" w:fill="FFFFFF"/>
            <w:noWrap/>
            <w:tcMar>
              <w:top w:w="15" w:type="dxa"/>
              <w:left w:w="0" w:type="dxa"/>
              <w:bottom w:w="0" w:type="dxa"/>
              <w:right w:w="15" w:type="dxa"/>
            </w:tcMar>
            <w:vAlign w:val="bottom"/>
            <w:hideMark/>
          </w:tcPr>
          <w:p w14:paraId="4052A388" w14:textId="77777777" w:rsidR="00AC4931" w:rsidRPr="00AC4931" w:rsidRDefault="00AC4931" w:rsidP="00AC4931">
            <w:pPr>
              <w:widowControl/>
              <w:jc w:val="righ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1,113.5</w:t>
            </w:r>
          </w:p>
        </w:tc>
        <w:tc>
          <w:tcPr>
            <w:tcW w:w="192" w:type="dxa"/>
            <w:shd w:val="clear" w:color="auto" w:fill="FFFFFF"/>
            <w:noWrap/>
            <w:tcMar>
              <w:top w:w="15" w:type="dxa"/>
              <w:left w:w="0" w:type="dxa"/>
              <w:bottom w:w="0" w:type="dxa"/>
              <w:right w:w="15" w:type="dxa"/>
            </w:tcMar>
            <w:vAlign w:val="bottom"/>
            <w:hideMark/>
          </w:tcPr>
          <w:p w14:paraId="3D585D44"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r>
      <w:tr w:rsidR="00AC4931" w:rsidRPr="00AC4931" w14:paraId="61DD8203" w14:textId="77777777" w:rsidTr="00AC4931">
        <w:tc>
          <w:tcPr>
            <w:tcW w:w="13795" w:type="dxa"/>
            <w:shd w:val="clear" w:color="auto" w:fill="CFF0FC"/>
            <w:tcMar>
              <w:top w:w="15" w:type="dxa"/>
              <w:left w:w="0" w:type="dxa"/>
              <w:bottom w:w="0" w:type="dxa"/>
              <w:right w:w="15" w:type="dxa"/>
            </w:tcMar>
            <w:hideMark/>
          </w:tcPr>
          <w:p w14:paraId="279BF1F4"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Leverage ratio</w:t>
            </w:r>
          </w:p>
        </w:tc>
        <w:tc>
          <w:tcPr>
            <w:tcW w:w="319" w:type="dxa"/>
            <w:shd w:val="clear" w:color="auto" w:fill="CFF0FC"/>
            <w:tcMar>
              <w:top w:w="15" w:type="dxa"/>
              <w:left w:w="0" w:type="dxa"/>
              <w:bottom w:w="0" w:type="dxa"/>
              <w:right w:w="15" w:type="dxa"/>
            </w:tcMar>
            <w:vAlign w:val="bottom"/>
            <w:hideMark/>
          </w:tcPr>
          <w:p w14:paraId="249DF60F"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AF574D0"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2641" w:type="dxa"/>
            <w:shd w:val="clear" w:color="auto" w:fill="CFF0FC"/>
            <w:noWrap/>
            <w:tcMar>
              <w:top w:w="15" w:type="dxa"/>
              <w:left w:w="0" w:type="dxa"/>
              <w:bottom w:w="0" w:type="dxa"/>
              <w:right w:w="15" w:type="dxa"/>
            </w:tcMar>
            <w:vAlign w:val="bottom"/>
            <w:hideMark/>
          </w:tcPr>
          <w:p w14:paraId="158F47D3" w14:textId="77777777" w:rsidR="00AC4931" w:rsidRPr="00AC4931" w:rsidRDefault="00AC4931" w:rsidP="00AC4931">
            <w:pPr>
              <w:widowControl/>
              <w:jc w:val="righ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1.8</w:t>
            </w:r>
          </w:p>
        </w:tc>
        <w:tc>
          <w:tcPr>
            <w:tcW w:w="191" w:type="dxa"/>
            <w:shd w:val="clear" w:color="auto" w:fill="CFF0FC"/>
            <w:noWrap/>
            <w:tcMar>
              <w:top w:w="15" w:type="dxa"/>
              <w:left w:w="0" w:type="dxa"/>
              <w:bottom w:w="0" w:type="dxa"/>
              <w:right w:w="15" w:type="dxa"/>
            </w:tcMar>
            <w:vAlign w:val="bottom"/>
            <w:hideMark/>
          </w:tcPr>
          <w:p w14:paraId="34C33196"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3F52095B"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93DB4EF" w14:textId="77777777" w:rsidR="00AC4931" w:rsidRPr="00AC4931" w:rsidRDefault="00AC4931" w:rsidP="00AC4931">
            <w:pPr>
              <w:widowControl/>
              <w:jc w:val="lef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 </w:t>
            </w:r>
          </w:p>
        </w:tc>
        <w:tc>
          <w:tcPr>
            <w:tcW w:w="2641" w:type="dxa"/>
            <w:shd w:val="clear" w:color="auto" w:fill="CFF0FC"/>
            <w:noWrap/>
            <w:tcMar>
              <w:top w:w="15" w:type="dxa"/>
              <w:left w:w="0" w:type="dxa"/>
              <w:bottom w:w="0" w:type="dxa"/>
              <w:right w:w="15" w:type="dxa"/>
            </w:tcMar>
            <w:vAlign w:val="bottom"/>
            <w:hideMark/>
          </w:tcPr>
          <w:p w14:paraId="5F531C99" w14:textId="77777777" w:rsidR="00AC4931" w:rsidRPr="00AC4931" w:rsidRDefault="00AC4931" w:rsidP="00AC4931">
            <w:pPr>
              <w:widowControl/>
              <w:jc w:val="right"/>
              <w:rPr>
                <w:rFonts w:ascii="Arial" w:eastAsia="宋体" w:hAnsi="Arial" w:cs="Arial"/>
                <w:b/>
                <w:bCs/>
                <w:color w:val="000000"/>
                <w:kern w:val="0"/>
                <w:sz w:val="20"/>
                <w:szCs w:val="20"/>
              </w:rPr>
            </w:pPr>
            <w:r w:rsidRPr="00AC4931">
              <w:rPr>
                <w:rFonts w:ascii="Arial" w:eastAsia="宋体" w:hAnsi="Arial" w:cs="Arial"/>
                <w:b/>
                <w:bCs/>
                <w:color w:val="000000"/>
                <w:kern w:val="0"/>
                <w:sz w:val="20"/>
                <w:szCs w:val="20"/>
              </w:rPr>
              <w:t>1.7</w:t>
            </w:r>
          </w:p>
        </w:tc>
        <w:tc>
          <w:tcPr>
            <w:tcW w:w="192" w:type="dxa"/>
            <w:shd w:val="clear" w:color="auto" w:fill="CFF0FC"/>
            <w:noWrap/>
            <w:tcMar>
              <w:top w:w="15" w:type="dxa"/>
              <w:left w:w="0" w:type="dxa"/>
              <w:bottom w:w="0" w:type="dxa"/>
              <w:right w:w="15" w:type="dxa"/>
            </w:tcMar>
            <w:vAlign w:val="bottom"/>
            <w:hideMark/>
          </w:tcPr>
          <w:p w14:paraId="127D0961"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09D19AA3"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7A3F3393" w14:textId="77777777" w:rsidTr="00AC4931">
        <w:tc>
          <w:tcPr>
            <w:tcW w:w="919" w:type="dxa"/>
            <w:noWrap/>
            <w:hideMark/>
          </w:tcPr>
          <w:p w14:paraId="4926281F"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57DDFCFC"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Net debt is short- and long-term debt and debt-related derivatives less cash and cash equivalents (non-U.S. GAAP measure).</w:t>
            </w:r>
          </w:p>
        </w:tc>
      </w:tr>
      <w:tr w:rsidR="00AC4931" w:rsidRPr="00AC4931" w14:paraId="12E7BDDB" w14:textId="77777777" w:rsidTr="00AC4931">
        <w:tc>
          <w:tcPr>
            <w:tcW w:w="919" w:type="dxa"/>
            <w:noWrap/>
            <w:hideMark/>
          </w:tcPr>
          <w:p w14:paraId="65AA7B0C"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w:t>
            </w:r>
          </w:p>
        </w:tc>
        <w:tc>
          <w:tcPr>
            <w:tcW w:w="0" w:type="auto"/>
            <w:hideMark/>
          </w:tcPr>
          <w:p w14:paraId="583F63E2"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Latest 12 months.</w:t>
            </w:r>
          </w:p>
        </w:tc>
      </w:tr>
    </w:tbl>
    <w:p w14:paraId="5F6B2B7C"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5C8482E1" w14:textId="77777777" w:rsidTr="00AC4931">
        <w:tc>
          <w:tcPr>
            <w:tcW w:w="919" w:type="dxa"/>
            <w:noWrap/>
            <w:hideMark/>
          </w:tcPr>
          <w:p w14:paraId="2D702557"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3)</w:t>
            </w:r>
          </w:p>
        </w:tc>
        <w:tc>
          <w:tcPr>
            <w:tcW w:w="0" w:type="auto"/>
            <w:hideMark/>
          </w:tcPr>
          <w:p w14:paraId="425546A8"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Interest expense, net is interest expense including cost for extinguishment of debt, if any, less interest income.</w:t>
            </w:r>
          </w:p>
        </w:tc>
      </w:tr>
    </w:tbl>
    <w:p w14:paraId="629DE87F" w14:textId="77777777" w:rsidR="00AC4931" w:rsidRPr="00AC4931" w:rsidRDefault="00AC4931" w:rsidP="00AC4931">
      <w:pPr>
        <w:widowControl/>
        <w:ind w:left="919" w:hanging="546"/>
        <w:rPr>
          <w:rFonts w:ascii="微软雅黑" w:eastAsia="微软雅黑" w:hAnsi="微软雅黑" w:cs="宋体"/>
          <w:color w:val="000000"/>
          <w:kern w:val="0"/>
          <w:sz w:val="16"/>
          <w:szCs w:val="16"/>
        </w:rPr>
      </w:pPr>
      <w:r w:rsidRPr="00AC4931">
        <w:rPr>
          <w:rFonts w:ascii="微软雅黑" w:eastAsia="微软雅黑" w:hAnsi="微软雅黑" w:cs="宋体" w:hint="eastAsia"/>
          <w:color w:val="000000"/>
          <w:kern w:val="0"/>
          <w:sz w:val="16"/>
          <w:szCs w:val="16"/>
        </w:rPr>
        <w:t> </w:t>
      </w:r>
    </w:p>
    <w:p w14:paraId="5EED4C84" w14:textId="77777777" w:rsidR="00AC4931" w:rsidRPr="00AC4931" w:rsidRDefault="00AC4931" w:rsidP="00AC4931">
      <w:pPr>
        <w:widowControl/>
        <w:spacing w:before="18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lastRenderedPageBreak/>
        <w:t>CREDIT RISK IN FINANCIAL MARKETS</w:t>
      </w:r>
    </w:p>
    <w:p w14:paraId="509D51DF"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Credit risk refers to the risk of a financial counterparty being unable to fulfill an agreed-upon obligation.</w:t>
      </w:r>
    </w:p>
    <w:p w14:paraId="3E5AC3C2"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the Company’s financial operations, credit risk arises when cash is deposited with banks and when entering into forward exchange agreements, swap contracts or other financial instruments.</w:t>
      </w:r>
    </w:p>
    <w:p w14:paraId="3B14CAF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policy of the Company is to work with banks that have a high credit rating and that participate in Autoliv’s financing.</w:t>
      </w:r>
    </w:p>
    <w:p w14:paraId="27BAFEE8"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49</w:t>
      </w:r>
    </w:p>
    <w:p w14:paraId="4BD1E55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E5748D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5932A78"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9D0EB72"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1AE86A4">
          <v:rect id="_x0000_i1076" style="width:0;height:1.5pt" o:hralign="center" o:hrstd="t" o:hrnoshade="t" o:hr="t" fillcolor="black" stroked="f"/>
        </w:pict>
      </w:r>
    </w:p>
    <w:p w14:paraId="5EE57AE9"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4A9184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615619E"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D4EAD9B" w14:textId="77777777" w:rsidR="00AC4931" w:rsidRPr="00AC4931" w:rsidRDefault="00AC4931" w:rsidP="00AC4931">
      <w:pPr>
        <w:widowControl/>
        <w:spacing w:before="24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To further reduce credit risk, deposits and financial instruments can only be entered into with core banks up to a calculated risk amount of $150 million per bank for banks rated A- or above and up to $50 million for banks rated BBB+. In addition, deposits can be made in U.S. and Swedish government short-term notes and certain AAA rated money market funds, as approved by the Company’s Board of Directors. At year-end 2020, the Company held $392 million in AAA rated money market funds.</w:t>
      </w:r>
    </w:p>
    <w:p w14:paraId="4E6710E3"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IMPAIRMENT RISK</w:t>
      </w:r>
    </w:p>
    <w:p w14:paraId="62FFBEC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Impairment risk refers to the risk that the Company will write down a material amount of its goodwill of close to $1.4 billion as of December 31, 2020. This risk is assessed at least annually in the fourth quarter each year when the Company performs its impairment testing.</w:t>
      </w:r>
    </w:p>
    <w:p w14:paraId="08471B8F"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 2020 the company performed a quantitative impairment testing by calculating the fair value of its goodwill. The estimated fair market value of goodwill is determined by the discounted cash flow method. The Company discounts projected operating cash flows using its weighted average cost of capital. Estimating the fair value requires the Company to make judgments about appropriate discount rates, growth rates, relevant comparable company earnings multiples and the amount and timing of expected future cash flows.</w:t>
      </w:r>
    </w:p>
    <w:p w14:paraId="2AF8FE10"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It has been concluded that presently the Company is not “at risk” of failing the goodwill impairment test. However, there can be no assurance that goodwill will not be impaired due to future significant declines in LVP, due to our technologies or products becoming obsolete or for any other reason. We could also acquire companies where goodwill could turn out to be less resilient to deteriorations in external conditions. See also discussion under Goodwill and Intangible Assets in Note 2 and Note 11 to the Consolidated Financial Statements included herein.</w:t>
      </w:r>
    </w:p>
    <w:p w14:paraId="2D377FBC" w14:textId="77777777" w:rsidR="00AC4931" w:rsidRPr="00AC4931" w:rsidRDefault="00AC4931" w:rsidP="00AC4931">
      <w:pPr>
        <w:widowControl/>
        <w:spacing w:before="340"/>
        <w:rPr>
          <w:rFonts w:ascii="Arial" w:eastAsia="宋体" w:hAnsi="Arial" w:cs="Arial"/>
          <w:b/>
          <w:bCs/>
          <w:color w:val="000000"/>
          <w:kern w:val="0"/>
          <w:sz w:val="22"/>
        </w:rPr>
      </w:pPr>
      <w:r w:rsidRPr="00AC4931">
        <w:rPr>
          <w:rFonts w:ascii="Arial" w:eastAsia="宋体" w:hAnsi="Arial" w:cs="Arial"/>
          <w:b/>
          <w:bCs/>
          <w:color w:val="000000"/>
          <w:kern w:val="0"/>
          <w:sz w:val="22"/>
        </w:rPr>
        <w:t>Item 8. Financial Statements and Supplementary Data</w:t>
      </w:r>
    </w:p>
    <w:p w14:paraId="452C138E"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The Consolidated Balance Sheets of Autoliv as of December 31, 2020 and 2019 and the Consolidated Statements of Income, Comprehensive Income, Cash Flows and Total Equity for each of the three years in the period ended December 31, 2020, the Notes to the Consolidated Financial Statements, and the Reports of the Independent Registered Public Accounting Firm are included below.</w:t>
      </w:r>
    </w:p>
    <w:p w14:paraId="46F71AA2" w14:textId="77777777" w:rsidR="00AC4931" w:rsidRPr="00AC4931" w:rsidRDefault="00AC4931" w:rsidP="00AC4931">
      <w:pPr>
        <w:widowControl/>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t> </w:t>
      </w:r>
    </w:p>
    <w:p w14:paraId="10C58FD9" w14:textId="77777777" w:rsidR="00AC4931" w:rsidRPr="00AC4931" w:rsidRDefault="00AC4931" w:rsidP="00AC4931">
      <w:pPr>
        <w:widowControl/>
        <w:spacing w:before="40"/>
        <w:rPr>
          <w:rFonts w:ascii="Arial" w:eastAsia="宋体" w:hAnsi="Arial" w:cs="Arial"/>
          <w:color w:val="000000"/>
          <w:kern w:val="0"/>
          <w:sz w:val="18"/>
          <w:szCs w:val="18"/>
        </w:rPr>
      </w:pPr>
      <w:r w:rsidRPr="00AC4931">
        <w:rPr>
          <w:rFonts w:ascii="Arial" w:eastAsia="宋体" w:hAnsi="Arial" w:cs="Arial"/>
          <w:color w:val="000000"/>
          <w:kern w:val="0"/>
          <w:sz w:val="18"/>
          <w:szCs w:val="18"/>
        </w:rPr>
        <w:t>All of the schedules specified under Regulation S-X to be provided by Autoliv have been omitted either because they are not applicable, are not required or the information required is included in the financial statements or notes thereto.</w:t>
      </w:r>
    </w:p>
    <w:p w14:paraId="062C26E4"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50</w:t>
      </w:r>
    </w:p>
    <w:p w14:paraId="66DCAF00"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B32795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A66502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21ED06C"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F702BFA">
          <v:rect id="_x0000_i1077" style="width:0;height:1.5pt" o:hralign="center" o:hrstd="t" o:hrnoshade="t" o:hr="t" fillcolor="black" stroked="f"/>
        </w:pict>
      </w:r>
    </w:p>
    <w:p w14:paraId="532EA5A9"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F9629D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ED0416B"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66AB30A" w14:textId="77777777" w:rsidR="00AC4931" w:rsidRPr="00AC4931" w:rsidRDefault="00AC4931" w:rsidP="00AC4931">
      <w:pPr>
        <w:widowControl/>
        <w:jc w:val="center"/>
        <w:rPr>
          <w:rFonts w:ascii="Arial" w:eastAsia="宋体" w:hAnsi="Arial" w:cs="Arial" w:hint="eastAsia"/>
          <w:b/>
          <w:bCs/>
          <w:color w:val="000000"/>
          <w:kern w:val="0"/>
          <w:sz w:val="22"/>
        </w:rPr>
      </w:pPr>
      <w:r w:rsidRPr="00AC4931">
        <w:rPr>
          <w:rFonts w:ascii="Arial" w:eastAsia="宋体" w:hAnsi="Arial" w:cs="Arial"/>
          <w:b/>
          <w:bCs/>
          <w:color w:val="000000"/>
          <w:kern w:val="0"/>
          <w:sz w:val="22"/>
        </w:rPr>
        <w:t>Report of Independent Registered Public Accounting Firm</w:t>
      </w:r>
    </w:p>
    <w:p w14:paraId="16634234"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 the Shareholders and the Board of Directors of Autoliv, Inc.</w:t>
      </w:r>
    </w:p>
    <w:p w14:paraId="78EF87E0" w14:textId="77777777" w:rsidR="00AC4931" w:rsidRPr="00AC4931" w:rsidRDefault="00AC4931" w:rsidP="00AC4931">
      <w:pPr>
        <w:widowControl/>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p w14:paraId="183C850D" w14:textId="77777777" w:rsidR="00AC4931" w:rsidRPr="00AC4931" w:rsidRDefault="00AC4931" w:rsidP="00AC4931">
      <w:pPr>
        <w:widowControl/>
        <w:rPr>
          <w:rFonts w:ascii="微软雅黑" w:eastAsia="微软雅黑" w:hAnsi="微软雅黑" w:cs="宋体" w:hint="eastAsia"/>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64C9141E" w14:textId="77777777" w:rsidR="00AC4931" w:rsidRPr="00AC4931" w:rsidRDefault="00AC4931" w:rsidP="00AC4931">
      <w:pPr>
        <w:widowControl/>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Opinion on the Financial Statements</w:t>
      </w:r>
    </w:p>
    <w:p w14:paraId="1115BF48"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have audited the accompanying consolidated balance sheets of Autoliv, Inc. (the Company) as of December 31, 2020 and 2019, the related consolidated statements of income, comprehensive income, total equity and cash flows for each of the three years in the period ended December 31, 2020, and the related notes (collectively referred to as the “consolidated financial statements”). In our opinion, the consolidated financial statements present fairly, in all material respects, the financial position of the Company at December 31, 2020 and 2019, and the results of its operations and its cash flows for each of the three years in the period ended December 31, 2020, in conformity with U.S. generally accepted accounting principles.</w:t>
      </w:r>
    </w:p>
    <w:p w14:paraId="0A57F4B7"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also have audited, in accordance with the standards of the Public Company Accounting Oversight Board (United States) (PCAOB), the Company's internal control over financial reporting as of December 31, 2020, based on criteria established in Internal Control-Integrated Framework issued by the Committee of Sponsoring Organizations of the Treadway Commission (2013 framework) and our report dated February 19, 2021 expressed an unqualified opinion thereon.</w:t>
      </w:r>
    </w:p>
    <w:p w14:paraId="6B53D5DD"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Basis for Opinion</w:t>
      </w:r>
    </w:p>
    <w:p w14:paraId="0A4060C5"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62CD252E"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731837B7" w14:textId="77777777" w:rsidR="00AC4931" w:rsidRPr="00AC4931" w:rsidRDefault="00AC4931" w:rsidP="00AC4931">
      <w:pPr>
        <w:widowControl/>
        <w:spacing w:before="120"/>
        <w:rPr>
          <w:rFonts w:ascii="微软雅黑" w:eastAsia="微软雅黑" w:hAnsi="微软雅黑" w:cs="宋体"/>
          <w:color w:val="000000"/>
          <w:kern w:val="0"/>
          <w:sz w:val="22"/>
        </w:rPr>
      </w:pPr>
      <w:r w:rsidRPr="00AC4931">
        <w:rPr>
          <w:rFonts w:ascii="微软雅黑" w:eastAsia="微软雅黑" w:hAnsi="微软雅黑" w:cs="宋体" w:hint="eastAsia"/>
          <w:color w:val="000000"/>
          <w:kern w:val="0"/>
          <w:sz w:val="22"/>
        </w:rPr>
        <w:t> </w:t>
      </w:r>
    </w:p>
    <w:p w14:paraId="031E57CD" w14:textId="77777777" w:rsidR="00AC4931" w:rsidRPr="00AC4931" w:rsidRDefault="00AC4931" w:rsidP="00AC4931">
      <w:pPr>
        <w:widowControl/>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Critical Audit Matters</w:t>
      </w:r>
    </w:p>
    <w:p w14:paraId="3E1B11BD"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critical audit matters communicated below are matters arising from the current period audit of the financial statements that were communicated or required to be communicated to the audit committee and that: (1) relate to accounts or disclosures that are material to the financial statements and (2) involved especially challenging, subjective, or complex judgments. The communication of critical audit matters does not alter in any way our opinion on the financial statements, taken as a whole, and we are not, by communicating the critical audit matters below, providing separate opinions on the critical audit matters or on the accounts or disclosures to which they relate.</w:t>
      </w:r>
    </w:p>
    <w:p w14:paraId="2F845754"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2024"/>
        <w:gridCol w:w="388"/>
        <w:gridCol w:w="18202"/>
      </w:tblGrid>
      <w:tr w:rsidR="00AC4931" w:rsidRPr="00AC4931" w14:paraId="4FAFBFC0" w14:textId="77777777" w:rsidTr="00AC4931">
        <w:tc>
          <w:tcPr>
            <w:tcW w:w="2917" w:type="dxa"/>
            <w:vAlign w:val="center"/>
            <w:hideMark/>
          </w:tcPr>
          <w:p w14:paraId="03170FEE" w14:textId="77777777" w:rsidR="00AC4931" w:rsidRPr="00AC4931" w:rsidRDefault="00AC4931" w:rsidP="00AC4931">
            <w:pPr>
              <w:widowControl/>
              <w:jc w:val="left"/>
              <w:rPr>
                <w:rFonts w:ascii="微软雅黑" w:eastAsia="微软雅黑" w:hAnsi="微软雅黑" w:cs="宋体" w:hint="eastAsia"/>
                <w:color w:val="000000"/>
                <w:kern w:val="0"/>
                <w:sz w:val="18"/>
                <w:szCs w:val="18"/>
              </w:rPr>
            </w:pPr>
          </w:p>
        </w:tc>
        <w:tc>
          <w:tcPr>
            <w:tcW w:w="550" w:type="dxa"/>
            <w:vAlign w:val="center"/>
            <w:hideMark/>
          </w:tcPr>
          <w:p w14:paraId="26CACBD8" w14:textId="77777777" w:rsidR="00AC4931" w:rsidRPr="00AC4931" w:rsidRDefault="00AC4931" w:rsidP="00AC4931">
            <w:pPr>
              <w:widowControl/>
              <w:jc w:val="left"/>
              <w:rPr>
                <w:rFonts w:ascii="Times New Roman" w:eastAsia="Times New Roman" w:hAnsi="Times New Roman" w:cs="Times New Roman"/>
                <w:kern w:val="0"/>
                <w:sz w:val="20"/>
                <w:szCs w:val="20"/>
              </w:rPr>
            </w:pPr>
          </w:p>
        </w:tc>
        <w:tc>
          <w:tcPr>
            <w:tcW w:w="17147" w:type="dxa"/>
            <w:vAlign w:val="center"/>
            <w:hideMark/>
          </w:tcPr>
          <w:p w14:paraId="4CFAE1A8" w14:textId="77777777" w:rsidR="00AC4931" w:rsidRPr="00AC4931" w:rsidRDefault="00AC4931" w:rsidP="00AC4931">
            <w:pPr>
              <w:widowControl/>
              <w:jc w:val="left"/>
              <w:rPr>
                <w:rFonts w:ascii="Times New Roman" w:eastAsia="Times New Roman" w:hAnsi="Times New Roman" w:cs="Times New Roman"/>
                <w:kern w:val="0"/>
                <w:sz w:val="20"/>
                <w:szCs w:val="20"/>
              </w:rPr>
            </w:pPr>
          </w:p>
        </w:tc>
      </w:tr>
      <w:tr w:rsidR="00AC4931" w:rsidRPr="00AC4931" w14:paraId="4D73AB89" w14:textId="77777777" w:rsidTr="00AC4931">
        <w:tc>
          <w:tcPr>
            <w:tcW w:w="0" w:type="auto"/>
            <w:hideMark/>
          </w:tcPr>
          <w:p w14:paraId="245BFACC"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77B139F9" w14:textId="77777777" w:rsidR="00AC4931" w:rsidRPr="00AC4931" w:rsidRDefault="00AC4931" w:rsidP="00AC4931">
            <w:pPr>
              <w:widowControl/>
              <w:spacing w:after="240"/>
              <w:ind w:right="3"/>
              <w:jc w:val="left"/>
              <w:rPr>
                <w:rFonts w:ascii="宋体" w:eastAsia="宋体" w:hAnsi="宋体" w:cs="宋体"/>
                <w:b/>
                <w:bCs/>
                <w:kern w:val="0"/>
                <w:sz w:val="18"/>
                <w:szCs w:val="18"/>
              </w:rPr>
            </w:pPr>
            <w:r w:rsidRPr="00AC4931">
              <w:rPr>
                <w:rFonts w:ascii="宋体" w:eastAsia="宋体" w:hAnsi="宋体" w:cs="宋体"/>
                <w:b/>
                <w:bCs/>
                <w:kern w:val="0"/>
                <w:sz w:val="18"/>
                <w:szCs w:val="18"/>
              </w:rPr>
              <w:t> </w:t>
            </w:r>
          </w:p>
        </w:tc>
        <w:tc>
          <w:tcPr>
            <w:tcW w:w="0" w:type="auto"/>
            <w:hideMark/>
          </w:tcPr>
          <w:p w14:paraId="650A0BCD" w14:textId="77777777" w:rsidR="00AC4931" w:rsidRPr="00AC4931" w:rsidRDefault="00AC4931" w:rsidP="00AC4931">
            <w:pPr>
              <w:widowControl/>
              <w:rPr>
                <w:rFonts w:ascii="Arial" w:eastAsia="宋体" w:hAnsi="Arial" w:cs="Arial"/>
                <w:b/>
                <w:bCs/>
                <w:i/>
                <w:iCs/>
                <w:spacing w:val="-1"/>
                <w:kern w:val="0"/>
                <w:sz w:val="18"/>
                <w:szCs w:val="18"/>
              </w:rPr>
            </w:pPr>
            <w:r w:rsidRPr="00AC4931">
              <w:rPr>
                <w:rFonts w:ascii="Arial" w:eastAsia="宋体" w:hAnsi="Arial" w:cs="Arial"/>
                <w:b/>
                <w:bCs/>
                <w:i/>
                <w:iCs/>
                <w:spacing w:val="-1"/>
                <w:kern w:val="0"/>
                <w:sz w:val="18"/>
                <w:szCs w:val="18"/>
              </w:rPr>
              <w:t>Revenue recognition – Variable consideration</w:t>
            </w:r>
          </w:p>
        </w:tc>
      </w:tr>
      <w:tr w:rsidR="00AC4931" w:rsidRPr="00AC4931" w14:paraId="75B1340E" w14:textId="77777777" w:rsidTr="00AC4931">
        <w:tc>
          <w:tcPr>
            <w:tcW w:w="0" w:type="auto"/>
            <w:hideMark/>
          </w:tcPr>
          <w:p w14:paraId="69888E78" w14:textId="77777777" w:rsidR="00AC4931" w:rsidRPr="00AC4931" w:rsidRDefault="00AC4931" w:rsidP="00AC4931">
            <w:pPr>
              <w:widowControl/>
              <w:jc w:val="left"/>
              <w:rPr>
                <w:rFonts w:ascii="Arial" w:eastAsia="宋体" w:hAnsi="Arial" w:cs="Arial"/>
                <w:i/>
                <w:iCs/>
                <w:kern w:val="0"/>
                <w:sz w:val="18"/>
                <w:szCs w:val="18"/>
              </w:rPr>
            </w:pPr>
            <w:r w:rsidRPr="00AC4931">
              <w:rPr>
                <w:rFonts w:ascii="Arial" w:eastAsia="宋体" w:hAnsi="Arial" w:cs="Arial"/>
                <w:i/>
                <w:iCs/>
                <w:kern w:val="0"/>
                <w:sz w:val="18"/>
                <w:szCs w:val="18"/>
              </w:rPr>
              <w:t>Description of the</w:t>
            </w:r>
            <w:r w:rsidRPr="00AC4931">
              <w:rPr>
                <w:rFonts w:ascii="Arial" w:eastAsia="宋体" w:hAnsi="Arial" w:cs="Arial"/>
                <w:i/>
                <w:iCs/>
                <w:kern w:val="0"/>
                <w:sz w:val="18"/>
                <w:szCs w:val="18"/>
              </w:rPr>
              <w:br/>
              <w:t>Matter</w:t>
            </w:r>
          </w:p>
        </w:tc>
        <w:tc>
          <w:tcPr>
            <w:tcW w:w="0" w:type="auto"/>
            <w:hideMark/>
          </w:tcPr>
          <w:p w14:paraId="36CE7A6B" w14:textId="77777777" w:rsidR="00AC4931" w:rsidRPr="00AC4931" w:rsidRDefault="00AC4931" w:rsidP="00AC4931">
            <w:pPr>
              <w:widowControl/>
              <w:spacing w:after="240"/>
              <w:ind w:right="3"/>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2A3B3922" w14:textId="77777777" w:rsidR="00AC4931" w:rsidRPr="00AC4931" w:rsidRDefault="00AC4931" w:rsidP="00AC4931">
            <w:pPr>
              <w:widowControl/>
              <w:rPr>
                <w:rFonts w:ascii="Arial" w:eastAsia="宋体" w:hAnsi="Arial" w:cs="Arial"/>
                <w:spacing w:val="-1"/>
                <w:kern w:val="0"/>
                <w:sz w:val="18"/>
                <w:szCs w:val="18"/>
              </w:rPr>
            </w:pPr>
            <w:r w:rsidRPr="00AC4931">
              <w:rPr>
                <w:rFonts w:ascii="Arial" w:eastAsia="宋体" w:hAnsi="Arial" w:cs="Arial"/>
                <w:spacing w:val="-1"/>
                <w:kern w:val="0"/>
                <w:sz w:val="18"/>
                <w:szCs w:val="18"/>
              </w:rPr>
              <w:t>As discussed in Note 2 to the consolidated financial statements, the Company measures revenue based on consideration specified in a contract with a customer, adjusted for any variable consideration. Variability in consideration typically results from price concessions. The estimated amount of variable consideration that will be received by the Company is based on assumptions that include historical experience and trends, management’s assessment of the probable outcome of its negotiations with customers and anticipated future pricing strategies. Estimating variable consideration to be received requires significant judgments by management that affect the amount of revenue recorded in the financial statements.</w:t>
            </w:r>
          </w:p>
          <w:p w14:paraId="3D0B9429"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003FB553" w14:textId="77777777" w:rsidR="00AC4931" w:rsidRPr="00AC4931" w:rsidRDefault="00AC4931" w:rsidP="00AC4931">
            <w:pPr>
              <w:widowControl/>
              <w:rPr>
                <w:rFonts w:ascii="Arial" w:eastAsia="宋体" w:hAnsi="Arial" w:cs="Arial"/>
                <w:spacing w:val="-1"/>
                <w:kern w:val="0"/>
                <w:sz w:val="18"/>
                <w:szCs w:val="18"/>
              </w:rPr>
            </w:pPr>
            <w:r w:rsidRPr="00AC4931">
              <w:rPr>
                <w:rFonts w:ascii="Arial" w:eastAsia="宋体" w:hAnsi="Arial" w:cs="Arial"/>
                <w:spacing w:val="-1"/>
                <w:kern w:val="0"/>
                <w:sz w:val="18"/>
                <w:szCs w:val="18"/>
              </w:rPr>
              <w:t>Auditing the amount of variable consideration expected to be received was complex because of the uncertainty inherent in the factors discussed above that management uses in its calculations.</w:t>
            </w:r>
          </w:p>
          <w:p w14:paraId="271BEF1F"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r>
      <w:tr w:rsidR="00AC4931" w:rsidRPr="00AC4931" w14:paraId="753A71EF" w14:textId="77777777" w:rsidTr="00AC4931">
        <w:tc>
          <w:tcPr>
            <w:tcW w:w="0" w:type="auto"/>
            <w:hideMark/>
          </w:tcPr>
          <w:p w14:paraId="2A26E35D"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p w14:paraId="30ED3E61" w14:textId="77777777" w:rsidR="00AC4931" w:rsidRPr="00AC4931" w:rsidRDefault="00AC4931" w:rsidP="00AC4931">
            <w:pPr>
              <w:widowControl/>
              <w:jc w:val="left"/>
              <w:rPr>
                <w:rFonts w:ascii="Arial" w:eastAsia="宋体" w:hAnsi="Arial" w:cs="Arial"/>
                <w:i/>
                <w:iCs/>
                <w:kern w:val="0"/>
                <w:sz w:val="18"/>
                <w:szCs w:val="18"/>
              </w:rPr>
            </w:pPr>
            <w:r w:rsidRPr="00AC4931">
              <w:rPr>
                <w:rFonts w:ascii="Arial" w:eastAsia="宋体" w:hAnsi="Arial" w:cs="Arial"/>
                <w:i/>
                <w:iCs/>
                <w:kern w:val="0"/>
                <w:sz w:val="18"/>
                <w:szCs w:val="18"/>
              </w:rPr>
              <w:t>How We</w:t>
            </w:r>
            <w:r w:rsidRPr="00AC4931">
              <w:rPr>
                <w:rFonts w:ascii="Arial" w:eastAsia="宋体" w:hAnsi="Arial" w:cs="Arial"/>
                <w:i/>
                <w:iCs/>
                <w:kern w:val="0"/>
                <w:sz w:val="18"/>
                <w:szCs w:val="18"/>
              </w:rPr>
              <w:br/>
              <w:t>Addressed the</w:t>
            </w:r>
            <w:r w:rsidRPr="00AC4931">
              <w:rPr>
                <w:rFonts w:ascii="Arial" w:eastAsia="宋体" w:hAnsi="Arial" w:cs="Arial"/>
                <w:i/>
                <w:iCs/>
                <w:kern w:val="0"/>
                <w:sz w:val="18"/>
                <w:szCs w:val="18"/>
              </w:rPr>
              <w:br/>
              <w:t>Matter in Our Audit</w:t>
            </w:r>
          </w:p>
        </w:tc>
        <w:tc>
          <w:tcPr>
            <w:tcW w:w="0" w:type="auto"/>
            <w:hideMark/>
          </w:tcPr>
          <w:p w14:paraId="187ECFAE" w14:textId="77777777" w:rsidR="00AC4931" w:rsidRPr="00AC4931" w:rsidRDefault="00AC4931" w:rsidP="00AC4931">
            <w:pPr>
              <w:widowControl/>
              <w:spacing w:after="240"/>
              <w:ind w:right="3"/>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53F201C7" w14:textId="77777777" w:rsidR="00AC4931" w:rsidRPr="00AC4931" w:rsidRDefault="00AC4931" w:rsidP="00AC4931">
            <w:pPr>
              <w:widowControl/>
              <w:spacing w:before="120"/>
              <w:rPr>
                <w:rFonts w:ascii="Arial" w:eastAsia="宋体" w:hAnsi="Arial" w:cs="Arial"/>
                <w:spacing w:val="-1"/>
                <w:kern w:val="0"/>
                <w:sz w:val="18"/>
                <w:szCs w:val="18"/>
              </w:rPr>
            </w:pPr>
            <w:r w:rsidRPr="00AC4931">
              <w:rPr>
                <w:rFonts w:ascii="Arial" w:eastAsia="宋体" w:hAnsi="Arial" w:cs="Arial"/>
                <w:spacing w:val="-1"/>
                <w:kern w:val="0"/>
                <w:sz w:val="18"/>
                <w:szCs w:val="18"/>
              </w:rPr>
              <w:t>We obtained an understanding, evaluated the design, and tested the operating effectiveness of internal controls related to variable consideration, including controls related to management’s review of ongoing negotiations with customers.</w:t>
            </w:r>
          </w:p>
          <w:p w14:paraId="063B18A5"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242D3441" w14:textId="77777777" w:rsidR="00AC4931" w:rsidRPr="00AC4931" w:rsidRDefault="00AC4931" w:rsidP="00AC4931">
            <w:pPr>
              <w:widowControl/>
              <w:rPr>
                <w:rFonts w:ascii="Arial" w:eastAsia="宋体" w:hAnsi="Arial" w:cs="Arial"/>
                <w:spacing w:val="-1"/>
                <w:kern w:val="0"/>
                <w:sz w:val="18"/>
                <w:szCs w:val="18"/>
              </w:rPr>
            </w:pPr>
            <w:r w:rsidRPr="00AC4931">
              <w:rPr>
                <w:rFonts w:ascii="Arial" w:eastAsia="宋体" w:hAnsi="Arial" w:cs="Arial"/>
                <w:spacing w:val="-1"/>
                <w:kern w:val="0"/>
                <w:sz w:val="18"/>
                <w:szCs w:val="18"/>
              </w:rPr>
              <w:t>To test the estimated amount of variable consideration expected to be received, our audit procedures included, among others, evaluating the Company’s estimation methodology and testing the significant factors used in the calculations, as discussed above. These procedures included obtaining information from management and sales department representatives who were responsible for negotiations with customers to assess the reasonableness of assumptions related to variable considerations relative to current negotiations. We evaluated the Company’s ability to estimate by comparing actual results to previous estimates and judgments made by management. We also performed journal entry testing focused on unusual and manual entries affecting revenue and on entries that could be indicative of price concessions that may not have been considered in the Company’s assumptions and calculations.</w:t>
            </w:r>
          </w:p>
        </w:tc>
      </w:tr>
    </w:tbl>
    <w:p w14:paraId="5E31D33C"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51</w:t>
      </w:r>
    </w:p>
    <w:p w14:paraId="388196EA"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E875AF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9BA566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C928E7B"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7D53ECF5">
          <v:rect id="_x0000_i1078" style="width:0;height:1.5pt" o:hralign="center" o:hrstd="t" o:hrnoshade="t" o:hr="t" fillcolor="black" stroked="f"/>
        </w:pict>
      </w:r>
    </w:p>
    <w:p w14:paraId="2D70DA5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D749398"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C4F083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lastRenderedPageBreak/>
        <w:t> </w:t>
      </w:r>
    </w:p>
    <w:p w14:paraId="5EFAB8DC"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5392C76E" w14:textId="77777777" w:rsidR="00AC4931" w:rsidRPr="00AC4931" w:rsidRDefault="00AC4931" w:rsidP="00AC4931">
      <w:pPr>
        <w:widowControl/>
        <w:jc w:val="left"/>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t> </w:t>
      </w:r>
    </w:p>
    <w:tbl>
      <w:tblPr>
        <w:tblW w:w="20614" w:type="dxa"/>
        <w:tblCellMar>
          <w:left w:w="0" w:type="dxa"/>
          <w:right w:w="0" w:type="dxa"/>
        </w:tblCellMar>
        <w:tblLook w:val="04A0" w:firstRow="1" w:lastRow="0" w:firstColumn="1" w:lastColumn="0" w:noHBand="0" w:noVBand="1"/>
      </w:tblPr>
      <w:tblGrid>
        <w:gridCol w:w="2024"/>
        <w:gridCol w:w="387"/>
        <w:gridCol w:w="18203"/>
      </w:tblGrid>
      <w:tr w:rsidR="00AC4931" w:rsidRPr="00AC4931" w14:paraId="000B8206" w14:textId="77777777" w:rsidTr="00AC4931">
        <w:tc>
          <w:tcPr>
            <w:tcW w:w="2917" w:type="dxa"/>
            <w:vAlign w:val="center"/>
            <w:hideMark/>
          </w:tcPr>
          <w:p w14:paraId="40F9BC4D" w14:textId="77777777" w:rsidR="00AC4931" w:rsidRPr="00AC4931" w:rsidRDefault="00AC4931" w:rsidP="00AC4931">
            <w:pPr>
              <w:widowControl/>
              <w:jc w:val="left"/>
              <w:rPr>
                <w:rFonts w:ascii="Times New Roman" w:eastAsia="宋体" w:hAnsi="Times New Roman" w:cs="Times New Roman"/>
                <w:color w:val="000000"/>
                <w:kern w:val="0"/>
                <w:sz w:val="22"/>
              </w:rPr>
            </w:pPr>
          </w:p>
        </w:tc>
        <w:tc>
          <w:tcPr>
            <w:tcW w:w="550" w:type="dxa"/>
            <w:vAlign w:val="center"/>
            <w:hideMark/>
          </w:tcPr>
          <w:p w14:paraId="47B99AAF" w14:textId="77777777" w:rsidR="00AC4931" w:rsidRPr="00AC4931" w:rsidRDefault="00AC4931" w:rsidP="00AC4931">
            <w:pPr>
              <w:widowControl/>
              <w:spacing w:before="100" w:beforeAutospacing="1" w:after="100" w:afterAutospacing="1"/>
              <w:jc w:val="left"/>
              <w:rPr>
                <w:rFonts w:ascii="Times New Roman" w:eastAsia="Times New Roman" w:hAnsi="Times New Roman" w:cs="Times New Roman"/>
                <w:kern w:val="0"/>
                <w:sz w:val="20"/>
                <w:szCs w:val="20"/>
              </w:rPr>
            </w:pPr>
          </w:p>
        </w:tc>
        <w:tc>
          <w:tcPr>
            <w:tcW w:w="17147" w:type="dxa"/>
            <w:vAlign w:val="center"/>
            <w:hideMark/>
          </w:tcPr>
          <w:p w14:paraId="366FF4B5" w14:textId="77777777" w:rsidR="00AC4931" w:rsidRPr="00AC4931" w:rsidRDefault="00AC4931" w:rsidP="00AC4931">
            <w:pPr>
              <w:widowControl/>
              <w:spacing w:before="100" w:beforeAutospacing="1" w:after="100" w:afterAutospacing="1"/>
              <w:jc w:val="left"/>
              <w:rPr>
                <w:rFonts w:ascii="Times New Roman" w:eastAsia="Times New Roman" w:hAnsi="Times New Roman" w:cs="Times New Roman"/>
                <w:kern w:val="0"/>
                <w:sz w:val="20"/>
                <w:szCs w:val="20"/>
              </w:rPr>
            </w:pPr>
          </w:p>
        </w:tc>
      </w:tr>
      <w:tr w:rsidR="00AC4931" w:rsidRPr="00AC4931" w14:paraId="783D54FE" w14:textId="77777777" w:rsidTr="00AC4931">
        <w:tc>
          <w:tcPr>
            <w:tcW w:w="0" w:type="auto"/>
            <w:hideMark/>
          </w:tcPr>
          <w:p w14:paraId="5487D17B"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797C4974" w14:textId="77777777" w:rsidR="00AC4931" w:rsidRPr="00AC4931" w:rsidRDefault="00AC4931" w:rsidP="00AC4931">
            <w:pPr>
              <w:widowControl/>
              <w:spacing w:after="240"/>
              <w:ind w:right="3"/>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301AD297" w14:textId="77777777" w:rsidR="00AC4931" w:rsidRPr="00AC4931" w:rsidRDefault="00AC4931" w:rsidP="00AC4931">
            <w:pPr>
              <w:widowControl/>
              <w:rPr>
                <w:rFonts w:ascii="宋体" w:eastAsia="宋体" w:hAnsi="宋体" w:cs="宋体"/>
                <w:b/>
                <w:bCs/>
                <w:kern w:val="0"/>
                <w:sz w:val="18"/>
                <w:szCs w:val="18"/>
              </w:rPr>
            </w:pPr>
            <w:r w:rsidRPr="00AC4931">
              <w:rPr>
                <w:rFonts w:ascii="宋体" w:eastAsia="宋体" w:hAnsi="宋体" w:cs="宋体"/>
                <w:b/>
                <w:bCs/>
                <w:kern w:val="0"/>
                <w:sz w:val="18"/>
                <w:szCs w:val="18"/>
              </w:rPr>
              <w:t> </w:t>
            </w:r>
          </w:p>
          <w:p w14:paraId="100DB09E" w14:textId="77777777" w:rsidR="00AC4931" w:rsidRPr="00AC4931" w:rsidRDefault="00AC4931" w:rsidP="00AC4931">
            <w:pPr>
              <w:widowControl/>
              <w:rPr>
                <w:rFonts w:ascii="Arial" w:eastAsia="宋体" w:hAnsi="Arial" w:cs="Arial"/>
                <w:b/>
                <w:bCs/>
                <w:i/>
                <w:iCs/>
                <w:spacing w:val="-1"/>
                <w:kern w:val="0"/>
                <w:sz w:val="18"/>
                <w:szCs w:val="18"/>
              </w:rPr>
            </w:pPr>
            <w:r w:rsidRPr="00AC4931">
              <w:rPr>
                <w:rFonts w:ascii="Arial" w:eastAsia="宋体" w:hAnsi="Arial" w:cs="Arial"/>
                <w:b/>
                <w:bCs/>
                <w:i/>
                <w:iCs/>
                <w:spacing w:val="-1"/>
                <w:kern w:val="0"/>
                <w:sz w:val="18"/>
                <w:szCs w:val="18"/>
              </w:rPr>
              <w:t>Product recalls</w:t>
            </w:r>
          </w:p>
        </w:tc>
      </w:tr>
      <w:tr w:rsidR="00AC4931" w:rsidRPr="00AC4931" w14:paraId="410E108A" w14:textId="77777777" w:rsidTr="00AC4931">
        <w:tc>
          <w:tcPr>
            <w:tcW w:w="0" w:type="auto"/>
            <w:hideMark/>
          </w:tcPr>
          <w:p w14:paraId="63F28BEF"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p w14:paraId="6AEF2CCF" w14:textId="77777777" w:rsidR="00AC4931" w:rsidRPr="00AC4931" w:rsidRDefault="00AC4931" w:rsidP="00AC4931">
            <w:pPr>
              <w:widowControl/>
              <w:jc w:val="left"/>
              <w:rPr>
                <w:rFonts w:ascii="Arial" w:eastAsia="宋体" w:hAnsi="Arial" w:cs="Arial"/>
                <w:i/>
                <w:iCs/>
                <w:kern w:val="0"/>
                <w:sz w:val="18"/>
                <w:szCs w:val="18"/>
              </w:rPr>
            </w:pPr>
            <w:r w:rsidRPr="00AC4931">
              <w:rPr>
                <w:rFonts w:ascii="Arial" w:eastAsia="宋体" w:hAnsi="Arial" w:cs="Arial"/>
                <w:i/>
                <w:iCs/>
                <w:kern w:val="0"/>
                <w:sz w:val="18"/>
                <w:szCs w:val="18"/>
              </w:rPr>
              <w:t>Description of the</w:t>
            </w:r>
            <w:r w:rsidRPr="00AC4931">
              <w:rPr>
                <w:rFonts w:ascii="Arial" w:eastAsia="宋体" w:hAnsi="Arial" w:cs="Arial"/>
                <w:i/>
                <w:iCs/>
                <w:kern w:val="0"/>
                <w:sz w:val="18"/>
                <w:szCs w:val="18"/>
              </w:rPr>
              <w:br/>
              <w:t>Matter</w:t>
            </w:r>
          </w:p>
        </w:tc>
        <w:tc>
          <w:tcPr>
            <w:tcW w:w="0" w:type="auto"/>
            <w:hideMark/>
          </w:tcPr>
          <w:p w14:paraId="7496EAFF" w14:textId="77777777" w:rsidR="00AC4931" w:rsidRPr="00AC4931" w:rsidRDefault="00AC4931" w:rsidP="00AC4931">
            <w:pPr>
              <w:widowControl/>
              <w:spacing w:after="240"/>
              <w:ind w:right="3"/>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5CC224C2" w14:textId="77777777" w:rsidR="00AC4931" w:rsidRPr="00AC4931" w:rsidRDefault="00AC4931" w:rsidP="00AC4931">
            <w:pPr>
              <w:widowControl/>
              <w:ind w:right="94"/>
              <w:rPr>
                <w:rFonts w:ascii="宋体" w:eastAsia="宋体" w:hAnsi="宋体" w:cs="宋体"/>
                <w:kern w:val="0"/>
                <w:sz w:val="18"/>
                <w:szCs w:val="18"/>
              </w:rPr>
            </w:pPr>
            <w:r w:rsidRPr="00AC4931">
              <w:rPr>
                <w:rFonts w:ascii="宋体" w:eastAsia="宋体" w:hAnsi="宋体" w:cs="宋体"/>
                <w:kern w:val="0"/>
                <w:sz w:val="18"/>
                <w:szCs w:val="18"/>
              </w:rPr>
              <w:t> </w:t>
            </w:r>
          </w:p>
          <w:p w14:paraId="1F090484" w14:textId="77777777" w:rsidR="00AC4931" w:rsidRPr="00AC4931" w:rsidRDefault="00AC4931" w:rsidP="00AC4931">
            <w:pPr>
              <w:widowControl/>
              <w:ind w:right="94"/>
              <w:rPr>
                <w:rFonts w:ascii="Arial" w:eastAsia="宋体" w:hAnsi="Arial" w:cs="Arial"/>
                <w:spacing w:val="-1"/>
                <w:kern w:val="0"/>
                <w:sz w:val="18"/>
                <w:szCs w:val="18"/>
              </w:rPr>
            </w:pPr>
            <w:r w:rsidRPr="00AC4931">
              <w:rPr>
                <w:rFonts w:ascii="Arial" w:eastAsia="宋体" w:hAnsi="Arial" w:cs="Arial"/>
                <w:spacing w:val="-1"/>
                <w:kern w:val="0"/>
                <w:sz w:val="18"/>
                <w:szCs w:val="18"/>
              </w:rPr>
              <w:t>As discussed in Notes 2 and 13 to the consolidated financial statements, the Company is exposed to product liability claims in the event its products fail to perform as represented and such failure results, or is alleged to result, in bodily injury, and/or property damage or other loss. The Company records liabilities for product recalls when probable claims are identified and when it is possible to reasonably estimate costs. Actual costs incurred could differ from the amounts estimated, requiring adjustments to these reserves in future periods. Provisions for product recalls are estimated based on the expected cost of replacing the product and the customer’s cost of carrying out the recall, which is affected by the number of vehicles subject to recall and the cost of labor and materials to remove and replace the defective product.</w:t>
            </w:r>
          </w:p>
          <w:p w14:paraId="37FEEDDB"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49F7C359" w14:textId="77777777" w:rsidR="00AC4931" w:rsidRPr="00AC4931" w:rsidRDefault="00AC4931" w:rsidP="00AC4931">
            <w:pPr>
              <w:widowControl/>
              <w:rPr>
                <w:rFonts w:ascii="Arial" w:eastAsia="宋体" w:hAnsi="Arial" w:cs="Arial"/>
                <w:spacing w:val="-1"/>
                <w:kern w:val="0"/>
                <w:sz w:val="18"/>
                <w:szCs w:val="18"/>
              </w:rPr>
            </w:pPr>
            <w:r w:rsidRPr="00AC4931">
              <w:rPr>
                <w:rFonts w:ascii="Arial" w:eastAsia="宋体" w:hAnsi="Arial" w:cs="Arial"/>
                <w:spacing w:val="-1"/>
                <w:kern w:val="0"/>
                <w:sz w:val="18"/>
                <w:szCs w:val="18"/>
              </w:rPr>
              <w:t>Auditing the product recall liabilities was complex due to the uncertainty inherent in the assumptions and estimates management uses to calculate these liability balances. These significant assumptions and estimates include the nature, likelihood, timing, and anticipated cost of known and potential claims.</w:t>
            </w:r>
          </w:p>
        </w:tc>
      </w:tr>
      <w:tr w:rsidR="00AC4931" w:rsidRPr="00AC4931" w14:paraId="65929BD3" w14:textId="77777777" w:rsidTr="00AC4931">
        <w:tc>
          <w:tcPr>
            <w:tcW w:w="0" w:type="auto"/>
            <w:hideMark/>
          </w:tcPr>
          <w:p w14:paraId="539D447D"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p w14:paraId="53595EC1" w14:textId="77777777" w:rsidR="00AC4931" w:rsidRPr="00AC4931" w:rsidRDefault="00AC4931" w:rsidP="00AC4931">
            <w:pPr>
              <w:widowControl/>
              <w:jc w:val="left"/>
              <w:rPr>
                <w:rFonts w:ascii="Arial" w:eastAsia="宋体" w:hAnsi="Arial" w:cs="Arial"/>
                <w:i/>
                <w:iCs/>
                <w:kern w:val="0"/>
                <w:sz w:val="18"/>
                <w:szCs w:val="18"/>
              </w:rPr>
            </w:pPr>
            <w:r w:rsidRPr="00AC4931">
              <w:rPr>
                <w:rFonts w:ascii="Arial" w:eastAsia="宋体" w:hAnsi="Arial" w:cs="Arial"/>
                <w:i/>
                <w:iCs/>
                <w:kern w:val="0"/>
                <w:sz w:val="18"/>
                <w:szCs w:val="18"/>
              </w:rPr>
              <w:t>How We</w:t>
            </w:r>
            <w:r w:rsidRPr="00AC4931">
              <w:rPr>
                <w:rFonts w:ascii="Arial" w:eastAsia="宋体" w:hAnsi="Arial" w:cs="Arial"/>
                <w:i/>
                <w:iCs/>
                <w:kern w:val="0"/>
                <w:sz w:val="18"/>
                <w:szCs w:val="18"/>
              </w:rPr>
              <w:br/>
              <w:t>Addressed the</w:t>
            </w:r>
            <w:r w:rsidRPr="00AC4931">
              <w:rPr>
                <w:rFonts w:ascii="Arial" w:eastAsia="宋体" w:hAnsi="Arial" w:cs="Arial"/>
                <w:i/>
                <w:iCs/>
                <w:kern w:val="0"/>
                <w:sz w:val="18"/>
                <w:szCs w:val="18"/>
              </w:rPr>
              <w:br/>
              <w:t>Matter in Our Audit</w:t>
            </w:r>
          </w:p>
        </w:tc>
        <w:tc>
          <w:tcPr>
            <w:tcW w:w="0" w:type="auto"/>
            <w:hideMark/>
          </w:tcPr>
          <w:p w14:paraId="2694E8CF" w14:textId="77777777" w:rsidR="00AC4931" w:rsidRPr="00AC4931" w:rsidRDefault="00AC4931" w:rsidP="00AC4931">
            <w:pPr>
              <w:widowControl/>
              <w:spacing w:after="240"/>
              <w:ind w:right="3"/>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39B406BF"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4A73940B" w14:textId="77777777" w:rsidR="00AC4931" w:rsidRPr="00AC4931" w:rsidRDefault="00AC4931" w:rsidP="00AC4931">
            <w:pPr>
              <w:widowControl/>
              <w:rPr>
                <w:rFonts w:ascii="Arial" w:eastAsia="宋体" w:hAnsi="Arial" w:cs="Arial"/>
                <w:spacing w:val="-1"/>
                <w:kern w:val="0"/>
                <w:sz w:val="18"/>
                <w:szCs w:val="18"/>
              </w:rPr>
            </w:pPr>
            <w:r w:rsidRPr="00AC4931">
              <w:rPr>
                <w:rFonts w:ascii="Arial" w:eastAsia="宋体" w:hAnsi="Arial" w:cs="Arial"/>
                <w:spacing w:val="-1"/>
                <w:kern w:val="0"/>
                <w:sz w:val="18"/>
                <w:szCs w:val="18"/>
              </w:rPr>
              <w:t>We obtained an understanding, evaluated the design, and tested the operating effectiveness of internal controls over the Company’s product recall process, including controls related to management’s review of the estimation calculations and significant assumptions discussed above.</w:t>
            </w:r>
          </w:p>
          <w:p w14:paraId="4F034ED9"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4CF4C767" w14:textId="77777777" w:rsidR="00AC4931" w:rsidRPr="00AC4931" w:rsidRDefault="00AC4931" w:rsidP="00AC4931">
            <w:pPr>
              <w:widowControl/>
              <w:rPr>
                <w:rFonts w:ascii="Arial" w:eastAsia="宋体" w:hAnsi="Arial" w:cs="Arial"/>
                <w:spacing w:val="-1"/>
                <w:kern w:val="0"/>
                <w:sz w:val="18"/>
                <w:szCs w:val="18"/>
              </w:rPr>
            </w:pPr>
            <w:r w:rsidRPr="00AC4931">
              <w:rPr>
                <w:rFonts w:ascii="Arial" w:eastAsia="宋体" w:hAnsi="Arial" w:cs="Arial"/>
                <w:spacing w:val="-1"/>
                <w:kern w:val="0"/>
                <w:sz w:val="18"/>
                <w:szCs w:val="18"/>
              </w:rPr>
              <w:t>To test product recall liabilities, our audit procedures included, among others, evaluating the Company’s estimation methodology and testing the significant assumptions discussed above. We obtained information from Company personnel who are responsible for monitoring the status of product recalls with customers to assess the reasonableness of assumptions used. We evaluated the Company’s ability to estimate by comparing actual results to previous estimates and judgments made by management. We also obtained letters from the Company’s external legal counsel addressing material claims against the Company, if any, and examined relevant third-party automotive safety regulatory information to identify potential unrecorded product recall liabilities.</w:t>
            </w:r>
          </w:p>
        </w:tc>
      </w:tr>
    </w:tbl>
    <w:p w14:paraId="4470CC96" w14:textId="77777777" w:rsidR="00AC4931" w:rsidRPr="00AC4931" w:rsidRDefault="00AC4931" w:rsidP="00AC4931">
      <w:pPr>
        <w:widowControl/>
        <w:rPr>
          <w:rFonts w:ascii="微软雅黑" w:eastAsia="微软雅黑" w:hAnsi="微软雅黑" w:cs="宋体"/>
          <w:color w:val="000000"/>
          <w:kern w:val="0"/>
          <w:sz w:val="8"/>
          <w:szCs w:val="8"/>
        </w:rPr>
      </w:pPr>
      <w:r w:rsidRPr="00AC4931">
        <w:rPr>
          <w:rFonts w:ascii="微软雅黑" w:eastAsia="微软雅黑" w:hAnsi="微软雅黑" w:cs="宋体" w:hint="eastAsia"/>
          <w:color w:val="000000"/>
          <w:kern w:val="0"/>
          <w:sz w:val="8"/>
          <w:szCs w:val="8"/>
        </w:rPr>
        <w:t> </w:t>
      </w:r>
    </w:p>
    <w:p w14:paraId="366575A7" w14:textId="77777777" w:rsidR="00AC4931" w:rsidRPr="00AC4931" w:rsidRDefault="00AC4931" w:rsidP="00AC4931">
      <w:pPr>
        <w:widowControl/>
        <w:rPr>
          <w:rFonts w:ascii="微软雅黑" w:eastAsia="微软雅黑" w:hAnsi="微软雅黑" w:cs="宋体" w:hint="eastAsia"/>
          <w:color w:val="000000"/>
          <w:kern w:val="0"/>
          <w:sz w:val="10"/>
          <w:szCs w:val="10"/>
        </w:rPr>
      </w:pPr>
      <w:r w:rsidRPr="00AC4931">
        <w:rPr>
          <w:rFonts w:ascii="微软雅黑" w:eastAsia="微软雅黑" w:hAnsi="微软雅黑" w:cs="宋体" w:hint="eastAsia"/>
          <w:color w:val="000000"/>
          <w:kern w:val="0"/>
          <w:sz w:val="10"/>
          <w:szCs w:val="10"/>
        </w:rPr>
        <w:t> </w:t>
      </w:r>
    </w:p>
    <w:tbl>
      <w:tblPr>
        <w:tblW w:w="10645" w:type="dxa"/>
        <w:tblCellMar>
          <w:left w:w="0" w:type="dxa"/>
          <w:right w:w="0" w:type="dxa"/>
        </w:tblCellMar>
        <w:tblLook w:val="04A0" w:firstRow="1" w:lastRow="0" w:firstColumn="1" w:lastColumn="0" w:noHBand="0" w:noVBand="1"/>
      </w:tblPr>
      <w:tblGrid>
        <w:gridCol w:w="10645"/>
      </w:tblGrid>
      <w:tr w:rsidR="00AC4931" w:rsidRPr="00AC4931" w14:paraId="7D5ADED9" w14:textId="77777777" w:rsidTr="00AC4931">
        <w:trPr>
          <w:trHeight w:val="388"/>
        </w:trPr>
        <w:tc>
          <w:tcPr>
            <w:tcW w:w="10645" w:type="dxa"/>
            <w:hideMark/>
          </w:tcPr>
          <w:p w14:paraId="6D5F555E" w14:textId="77777777" w:rsidR="00AC4931" w:rsidRPr="00AC4931" w:rsidRDefault="00AC4931" w:rsidP="00AC4931">
            <w:pPr>
              <w:widowControl/>
              <w:jc w:val="left"/>
              <w:rPr>
                <w:rFonts w:ascii="Arial" w:eastAsia="宋体" w:hAnsi="Arial" w:cs="Arial" w:hint="eastAsia"/>
                <w:kern w:val="0"/>
                <w:sz w:val="18"/>
                <w:szCs w:val="18"/>
              </w:rPr>
            </w:pPr>
            <w:r w:rsidRPr="00AC4931">
              <w:rPr>
                <w:rFonts w:ascii="Arial" w:eastAsia="宋体" w:hAnsi="Arial" w:cs="Arial"/>
                <w:kern w:val="0"/>
                <w:sz w:val="18"/>
                <w:szCs w:val="18"/>
              </w:rPr>
              <w:t>/s/ Ernst &amp; Young AB</w:t>
            </w:r>
          </w:p>
        </w:tc>
      </w:tr>
      <w:tr w:rsidR="00AC4931" w:rsidRPr="00AC4931" w14:paraId="3A11E51F" w14:textId="77777777" w:rsidTr="00AC4931">
        <w:trPr>
          <w:trHeight w:val="594"/>
        </w:trPr>
        <w:tc>
          <w:tcPr>
            <w:tcW w:w="10645" w:type="dxa"/>
            <w:hideMark/>
          </w:tcPr>
          <w:p w14:paraId="222413A9"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5D12F25D"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We have served as the Company´s auditor since 1984.</w:t>
            </w:r>
          </w:p>
          <w:p w14:paraId="3AE8CDED"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1030C568"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Stockholm, Sweden</w:t>
            </w:r>
          </w:p>
        </w:tc>
      </w:tr>
      <w:tr w:rsidR="00AC4931" w:rsidRPr="00AC4931" w14:paraId="331B9ED7" w14:textId="77777777" w:rsidTr="00AC4931">
        <w:trPr>
          <w:trHeight w:val="217"/>
        </w:trPr>
        <w:tc>
          <w:tcPr>
            <w:tcW w:w="10645" w:type="dxa"/>
            <w:hideMark/>
          </w:tcPr>
          <w:p w14:paraId="5B8FB4E5"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February 19, 2021</w:t>
            </w:r>
          </w:p>
        </w:tc>
      </w:tr>
    </w:tbl>
    <w:p w14:paraId="45A97C4A"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p w14:paraId="12120917"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52</w:t>
      </w:r>
    </w:p>
    <w:p w14:paraId="58F3618A"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BF1CF17"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6A264AB"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EFCE09E"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17B67CBA">
          <v:rect id="_x0000_i1079" style="width:0;height:1.5pt" o:hralign="center" o:hrstd="t" o:hrnoshade="t" o:hr="t" fillcolor="black" stroked="f"/>
        </w:pict>
      </w:r>
    </w:p>
    <w:p w14:paraId="3641E7D6"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967DFC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10173E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FC7E969"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63525D73" w14:textId="77777777" w:rsidR="00AC4931" w:rsidRPr="00AC4931" w:rsidRDefault="00AC4931" w:rsidP="00AC4931">
      <w:pPr>
        <w:widowControl/>
        <w:jc w:val="center"/>
        <w:rPr>
          <w:rFonts w:ascii="Arial" w:eastAsia="宋体" w:hAnsi="Arial" w:cs="Arial"/>
          <w:b/>
          <w:bCs/>
          <w:color w:val="000000"/>
          <w:kern w:val="0"/>
          <w:sz w:val="22"/>
        </w:rPr>
      </w:pPr>
      <w:r w:rsidRPr="00AC4931">
        <w:rPr>
          <w:rFonts w:ascii="Arial" w:eastAsia="宋体" w:hAnsi="Arial" w:cs="Arial"/>
          <w:b/>
          <w:bCs/>
          <w:color w:val="000000"/>
          <w:kern w:val="0"/>
          <w:sz w:val="22"/>
        </w:rPr>
        <w:t>Report of Independent Registered Public Accounting Firm</w:t>
      </w:r>
    </w:p>
    <w:p w14:paraId="69D7EBCD" w14:textId="77777777" w:rsidR="00AC4931" w:rsidRPr="00AC4931" w:rsidRDefault="00AC4931" w:rsidP="00AC4931">
      <w:pPr>
        <w:widowControl/>
        <w:spacing w:before="2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 the Shareholders and the Board of Directors of Autoliv, Inc.</w:t>
      </w:r>
    </w:p>
    <w:p w14:paraId="1B7E0E50" w14:textId="77777777" w:rsidR="00AC4931" w:rsidRPr="00AC4931" w:rsidRDefault="00AC4931" w:rsidP="00AC4931">
      <w:pPr>
        <w:widowControl/>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p w14:paraId="4DF7C9AF" w14:textId="77777777" w:rsidR="00AC4931" w:rsidRPr="00AC4931" w:rsidRDefault="00AC4931" w:rsidP="00AC4931">
      <w:pPr>
        <w:widowControl/>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lastRenderedPageBreak/>
        <w:t>Opinion on Internal Control over Financial Reporting</w:t>
      </w:r>
    </w:p>
    <w:p w14:paraId="36012860"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We have audited Autoliv, Inc.’s internal control over financial reporting as of December 31, 2020, based on criteria established in Internal Control—Integrated Framework issued by the Committee of Sponsoring Organizations of the Treadway Commission (2013 framework) (the COSO criteria). In our opinion, Autoliv, Inc. (the Company) maintained, in all material respects, effective internal control over financial reporting as of December 31, 2020, based on the COSO criteria.</w:t>
      </w:r>
    </w:p>
    <w:p w14:paraId="6576B0A2"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We also have audited, in accordance with the standards of the Public Company Accounting Oversight Board (United States) (PCAOB), the consolidated balance sheets of the Company as of December 31, 2020 and 2019, the related consolidated statements of income, comprehensive income, total equity and cash flows for each of the three years in the period ended December 31, 2020, and the related notes and our report dated February 19, 2021 expressed an unqualified opinion thereon.</w:t>
      </w:r>
    </w:p>
    <w:p w14:paraId="156314D1"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Basis for Opinion</w:t>
      </w:r>
    </w:p>
    <w:p w14:paraId="152240DD"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5E1F14D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14:paraId="696F1235"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651A6B7F"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Definition and Limitations of Internal Control Over Financial Reporting</w:t>
      </w:r>
    </w:p>
    <w:p w14:paraId="419AC4B9"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6979C206"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7F1551B1"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FEBFA9E" w14:textId="77777777" w:rsidR="00AC4931" w:rsidRPr="00AC4931" w:rsidRDefault="00AC4931" w:rsidP="00AC4931">
      <w:pPr>
        <w:widowControl/>
        <w:jc w:val="left"/>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/s/ Ernst &amp; Young AB</w:t>
      </w:r>
    </w:p>
    <w:tbl>
      <w:tblPr>
        <w:tblW w:w="9276" w:type="dxa"/>
        <w:tblCellMar>
          <w:left w:w="0" w:type="dxa"/>
          <w:right w:w="0" w:type="dxa"/>
        </w:tblCellMar>
        <w:tblLook w:val="04A0" w:firstRow="1" w:lastRow="0" w:firstColumn="1" w:lastColumn="0" w:noHBand="0" w:noVBand="1"/>
      </w:tblPr>
      <w:tblGrid>
        <w:gridCol w:w="4557"/>
        <w:gridCol w:w="180"/>
        <w:gridCol w:w="4539"/>
      </w:tblGrid>
      <w:tr w:rsidR="00AC4931" w:rsidRPr="00AC4931" w14:paraId="72CDF27B" w14:textId="77777777" w:rsidTr="00AC4931">
        <w:tc>
          <w:tcPr>
            <w:tcW w:w="4577" w:type="dxa"/>
            <w:hideMark/>
          </w:tcPr>
          <w:p w14:paraId="4AFA8166"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07430598"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Stockholm, Sweden</w:t>
            </w:r>
          </w:p>
        </w:tc>
        <w:tc>
          <w:tcPr>
            <w:tcW w:w="137" w:type="dxa"/>
            <w:hideMark/>
          </w:tcPr>
          <w:p w14:paraId="313A3C09"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4563" w:type="dxa"/>
            <w:hideMark/>
          </w:tcPr>
          <w:p w14:paraId="221DF85E"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r>
      <w:tr w:rsidR="00AC4931" w:rsidRPr="00AC4931" w14:paraId="75D4963C" w14:textId="77777777" w:rsidTr="00AC4931">
        <w:tc>
          <w:tcPr>
            <w:tcW w:w="4577" w:type="dxa"/>
            <w:hideMark/>
          </w:tcPr>
          <w:p w14:paraId="61DC4BB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February 19, 2021</w:t>
            </w:r>
          </w:p>
        </w:tc>
        <w:tc>
          <w:tcPr>
            <w:tcW w:w="137" w:type="dxa"/>
            <w:hideMark/>
          </w:tcPr>
          <w:p w14:paraId="5B50E4F9"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4563" w:type="dxa"/>
            <w:hideMark/>
          </w:tcPr>
          <w:p w14:paraId="496D0138"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r>
    </w:tbl>
    <w:p w14:paraId="77947447"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53DCAFF"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53</w:t>
      </w:r>
    </w:p>
    <w:p w14:paraId="7EA14E3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D424297"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2014DBB"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70FE596"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4EDB99A7">
          <v:rect id="_x0000_i1080" style="width:0;height:1.5pt" o:hralign="center" o:hrstd="t" o:hrnoshade="t" o:hr="t" fillcolor="black" stroked="f"/>
        </w:pict>
      </w:r>
    </w:p>
    <w:p w14:paraId="47E77F7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712A9A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202BA2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DABCE71"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431BBD50" w14:textId="77777777" w:rsidR="00AC4931" w:rsidRPr="00AC4931" w:rsidRDefault="00AC4931" w:rsidP="00AC4931">
      <w:pPr>
        <w:widowControl/>
        <w:rPr>
          <w:rFonts w:ascii="Arial" w:eastAsia="宋体" w:hAnsi="Arial" w:cs="Arial"/>
          <w:b/>
          <w:bCs/>
          <w:color w:val="000000"/>
          <w:kern w:val="0"/>
          <w:sz w:val="22"/>
        </w:rPr>
      </w:pPr>
      <w:r w:rsidRPr="00AC4931">
        <w:rPr>
          <w:rFonts w:ascii="Arial" w:eastAsia="宋体" w:hAnsi="Arial" w:cs="Arial"/>
          <w:b/>
          <w:bCs/>
          <w:color w:val="000000"/>
          <w:kern w:val="0"/>
          <w:sz w:val="22"/>
        </w:rPr>
        <w:t>Consolidated Statements of Income</w:t>
      </w:r>
    </w:p>
    <w:p w14:paraId="1A3A6E12" w14:textId="77777777" w:rsidR="00AC4931" w:rsidRPr="00AC4931" w:rsidRDefault="00AC4931" w:rsidP="00AC4931">
      <w:pPr>
        <w:widowControl/>
        <w:jc w:val="left"/>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2123"/>
        <w:gridCol w:w="279"/>
        <w:gridCol w:w="1821"/>
        <w:gridCol w:w="279"/>
        <w:gridCol w:w="199"/>
        <w:gridCol w:w="1423"/>
        <w:gridCol w:w="199"/>
        <w:gridCol w:w="279"/>
        <w:gridCol w:w="199"/>
        <w:gridCol w:w="1423"/>
        <w:gridCol w:w="199"/>
        <w:gridCol w:w="279"/>
        <w:gridCol w:w="199"/>
        <w:gridCol w:w="1513"/>
        <w:gridCol w:w="200"/>
      </w:tblGrid>
      <w:tr w:rsidR="00AC4931" w:rsidRPr="00AC4931" w14:paraId="382247A9" w14:textId="77777777" w:rsidTr="00AC4931">
        <w:tc>
          <w:tcPr>
            <w:tcW w:w="12098" w:type="dxa"/>
            <w:shd w:val="clear" w:color="auto" w:fill="FFFFFF"/>
            <w:tcMar>
              <w:top w:w="15" w:type="dxa"/>
              <w:left w:w="0" w:type="dxa"/>
              <w:bottom w:w="0" w:type="dxa"/>
              <w:right w:w="15" w:type="dxa"/>
            </w:tcMar>
            <w:vAlign w:val="bottom"/>
            <w:hideMark/>
          </w:tcPr>
          <w:p w14:paraId="4E9D715E" w14:textId="77777777" w:rsidR="00AC4931" w:rsidRPr="00AC4931" w:rsidRDefault="00AC4931" w:rsidP="00AC4931">
            <w:pPr>
              <w:widowControl/>
              <w:jc w:val="center"/>
              <w:rPr>
                <w:rFonts w:ascii="Arial" w:eastAsia="宋体" w:hAnsi="Arial" w:cs="Arial" w:hint="eastAsia"/>
                <w:kern w:val="0"/>
                <w:sz w:val="20"/>
                <w:szCs w:val="20"/>
              </w:rPr>
            </w:pPr>
            <w:r w:rsidRPr="00AC4931">
              <w:rPr>
                <w:rFonts w:ascii="Arial" w:eastAsia="宋体" w:hAnsi="Arial" w:cs="Arial"/>
                <w:kern w:val="0"/>
                <w:sz w:val="20"/>
                <w:szCs w:val="20"/>
              </w:rPr>
              <w:t> </w:t>
            </w:r>
          </w:p>
        </w:tc>
        <w:tc>
          <w:tcPr>
            <w:tcW w:w="278" w:type="dxa"/>
            <w:shd w:val="clear" w:color="auto" w:fill="FFFFFF"/>
            <w:tcMar>
              <w:top w:w="15" w:type="dxa"/>
              <w:left w:w="0" w:type="dxa"/>
              <w:bottom w:w="0" w:type="dxa"/>
              <w:right w:w="15" w:type="dxa"/>
            </w:tcMar>
            <w:vAlign w:val="bottom"/>
            <w:hideMark/>
          </w:tcPr>
          <w:p w14:paraId="0913124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17" w:type="dxa"/>
            <w:shd w:val="clear" w:color="auto" w:fill="FFFFFF"/>
            <w:tcMar>
              <w:top w:w="15" w:type="dxa"/>
              <w:left w:w="0" w:type="dxa"/>
              <w:bottom w:w="0" w:type="dxa"/>
              <w:right w:w="15" w:type="dxa"/>
            </w:tcMar>
            <w:vAlign w:val="bottom"/>
            <w:hideMark/>
          </w:tcPr>
          <w:p w14:paraId="3BB0A2D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8" w:type="dxa"/>
            <w:shd w:val="clear" w:color="auto" w:fill="FFFFFF"/>
            <w:tcMar>
              <w:top w:w="15" w:type="dxa"/>
              <w:left w:w="0" w:type="dxa"/>
              <w:bottom w:w="0" w:type="dxa"/>
              <w:right w:w="15" w:type="dxa"/>
            </w:tcMar>
            <w:vAlign w:val="bottom"/>
            <w:hideMark/>
          </w:tcPr>
          <w:p w14:paraId="0264717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5861" w:type="dxa"/>
            <w:gridSpan w:val="10"/>
            <w:tcBorders>
              <w:bottom w:val="single" w:sz="6" w:space="0" w:color="000000"/>
            </w:tcBorders>
            <w:shd w:val="clear" w:color="auto" w:fill="FFFFFF"/>
            <w:tcMar>
              <w:top w:w="15" w:type="dxa"/>
              <w:left w:w="0" w:type="dxa"/>
              <w:bottom w:w="0" w:type="dxa"/>
              <w:right w:w="15" w:type="dxa"/>
            </w:tcMar>
            <w:vAlign w:val="bottom"/>
            <w:hideMark/>
          </w:tcPr>
          <w:p w14:paraId="6261CE2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Years ended December 31</w:t>
            </w:r>
          </w:p>
        </w:tc>
        <w:tc>
          <w:tcPr>
            <w:tcW w:w="192" w:type="dxa"/>
            <w:shd w:val="clear" w:color="auto" w:fill="FFFFFF"/>
            <w:noWrap/>
            <w:tcMar>
              <w:top w:w="15" w:type="dxa"/>
              <w:left w:w="0" w:type="dxa"/>
              <w:bottom w:w="0" w:type="dxa"/>
              <w:right w:w="15" w:type="dxa"/>
            </w:tcMar>
            <w:vAlign w:val="bottom"/>
            <w:hideMark/>
          </w:tcPr>
          <w:p w14:paraId="5D2D910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57E45BA0" w14:textId="77777777" w:rsidTr="00AC4931">
        <w:tc>
          <w:tcPr>
            <w:tcW w:w="12098" w:type="dxa"/>
            <w:shd w:val="clear" w:color="auto" w:fill="FFFFFF"/>
            <w:tcMar>
              <w:top w:w="15" w:type="dxa"/>
              <w:left w:w="0" w:type="dxa"/>
              <w:bottom w:w="0" w:type="dxa"/>
              <w:right w:w="15" w:type="dxa"/>
            </w:tcMar>
            <w:vAlign w:val="bottom"/>
            <w:hideMark/>
          </w:tcPr>
          <w:p w14:paraId="1623F11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(DOLLARS AND SHARES IN MILLIONS, EXCEPT PER SHARE DATA)</w:t>
            </w:r>
          </w:p>
        </w:tc>
        <w:tc>
          <w:tcPr>
            <w:tcW w:w="278" w:type="dxa"/>
            <w:shd w:val="clear" w:color="auto" w:fill="FFFFFF"/>
            <w:tcMar>
              <w:top w:w="15" w:type="dxa"/>
              <w:left w:w="0" w:type="dxa"/>
              <w:bottom w:w="0" w:type="dxa"/>
              <w:right w:w="15" w:type="dxa"/>
            </w:tcMar>
            <w:vAlign w:val="bottom"/>
            <w:hideMark/>
          </w:tcPr>
          <w:p w14:paraId="7BE5D3C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17" w:type="dxa"/>
            <w:shd w:val="clear" w:color="auto" w:fill="FFFFFF"/>
            <w:tcMar>
              <w:top w:w="15" w:type="dxa"/>
              <w:left w:w="0" w:type="dxa"/>
              <w:bottom w:w="0" w:type="dxa"/>
              <w:right w:w="15" w:type="dxa"/>
            </w:tcMar>
            <w:vAlign w:val="bottom"/>
            <w:hideMark/>
          </w:tcPr>
          <w:p w14:paraId="3AF9745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8" w:type="dxa"/>
            <w:shd w:val="clear" w:color="auto" w:fill="FFFFFF"/>
            <w:tcMar>
              <w:top w:w="15" w:type="dxa"/>
              <w:left w:w="0" w:type="dxa"/>
              <w:bottom w:w="0" w:type="dxa"/>
              <w:right w:w="15" w:type="dxa"/>
            </w:tcMar>
            <w:vAlign w:val="bottom"/>
            <w:hideMark/>
          </w:tcPr>
          <w:p w14:paraId="0EF231A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1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67EF5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3A56D43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301857E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1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F1713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1" w:type="dxa"/>
            <w:shd w:val="clear" w:color="auto" w:fill="FFFFFF"/>
            <w:noWrap/>
            <w:tcMar>
              <w:top w:w="15" w:type="dxa"/>
              <w:left w:w="0" w:type="dxa"/>
              <w:bottom w:w="0" w:type="dxa"/>
              <w:right w:w="15" w:type="dxa"/>
            </w:tcMar>
            <w:vAlign w:val="bottom"/>
            <w:hideMark/>
          </w:tcPr>
          <w:p w14:paraId="39922B1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378B195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1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57391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92" w:type="dxa"/>
            <w:shd w:val="clear" w:color="auto" w:fill="FFFFFF"/>
            <w:noWrap/>
            <w:tcMar>
              <w:top w:w="15" w:type="dxa"/>
              <w:left w:w="0" w:type="dxa"/>
              <w:bottom w:w="0" w:type="dxa"/>
              <w:right w:w="15" w:type="dxa"/>
            </w:tcMar>
            <w:vAlign w:val="bottom"/>
            <w:hideMark/>
          </w:tcPr>
          <w:p w14:paraId="2335896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97878C2" w14:textId="77777777" w:rsidTr="00AC4931">
        <w:tc>
          <w:tcPr>
            <w:tcW w:w="12098" w:type="dxa"/>
            <w:shd w:val="clear" w:color="auto" w:fill="CFF0FC"/>
            <w:tcMar>
              <w:top w:w="15" w:type="dxa"/>
              <w:left w:w="0" w:type="dxa"/>
              <w:bottom w:w="0" w:type="dxa"/>
              <w:right w:w="15" w:type="dxa"/>
            </w:tcMar>
            <w:hideMark/>
          </w:tcPr>
          <w:p w14:paraId="6E9BFFF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sales</w:t>
            </w:r>
          </w:p>
        </w:tc>
        <w:tc>
          <w:tcPr>
            <w:tcW w:w="278" w:type="dxa"/>
            <w:shd w:val="clear" w:color="auto" w:fill="CFF0FC"/>
            <w:tcMar>
              <w:top w:w="15" w:type="dxa"/>
              <w:left w:w="0" w:type="dxa"/>
              <w:bottom w:w="0" w:type="dxa"/>
              <w:right w:w="15" w:type="dxa"/>
            </w:tcMar>
            <w:vAlign w:val="bottom"/>
            <w:hideMark/>
          </w:tcPr>
          <w:p w14:paraId="71B75D5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22852F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21</w:t>
            </w:r>
          </w:p>
        </w:tc>
        <w:tc>
          <w:tcPr>
            <w:tcW w:w="278" w:type="dxa"/>
            <w:shd w:val="clear" w:color="auto" w:fill="CFF0FC"/>
            <w:tcMar>
              <w:top w:w="15" w:type="dxa"/>
              <w:left w:w="0" w:type="dxa"/>
              <w:bottom w:w="0" w:type="dxa"/>
              <w:right w:w="15" w:type="dxa"/>
            </w:tcMar>
            <w:vAlign w:val="bottom"/>
            <w:hideMark/>
          </w:tcPr>
          <w:p w14:paraId="6A7EC0D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BB8D8E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1D66569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7,447.4</w:t>
            </w:r>
          </w:p>
        </w:tc>
        <w:tc>
          <w:tcPr>
            <w:tcW w:w="191" w:type="dxa"/>
            <w:shd w:val="clear" w:color="auto" w:fill="CFF0FC"/>
            <w:noWrap/>
            <w:tcMar>
              <w:top w:w="15" w:type="dxa"/>
              <w:left w:w="0" w:type="dxa"/>
              <w:bottom w:w="0" w:type="dxa"/>
              <w:right w:w="15" w:type="dxa"/>
            </w:tcMar>
            <w:vAlign w:val="bottom"/>
            <w:hideMark/>
          </w:tcPr>
          <w:p w14:paraId="7A1385B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9FD882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E5E50A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3349383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8,547.6</w:t>
            </w:r>
          </w:p>
        </w:tc>
        <w:tc>
          <w:tcPr>
            <w:tcW w:w="191" w:type="dxa"/>
            <w:shd w:val="clear" w:color="auto" w:fill="CFF0FC"/>
            <w:noWrap/>
            <w:tcMar>
              <w:top w:w="15" w:type="dxa"/>
              <w:left w:w="0" w:type="dxa"/>
              <w:bottom w:w="0" w:type="dxa"/>
              <w:right w:w="15" w:type="dxa"/>
            </w:tcMar>
            <w:vAlign w:val="bottom"/>
            <w:hideMark/>
          </w:tcPr>
          <w:p w14:paraId="1AFE612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2BE1364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9ED502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202A12F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8,678.2</w:t>
            </w:r>
          </w:p>
        </w:tc>
        <w:tc>
          <w:tcPr>
            <w:tcW w:w="192" w:type="dxa"/>
            <w:shd w:val="clear" w:color="auto" w:fill="CFF0FC"/>
            <w:noWrap/>
            <w:tcMar>
              <w:top w:w="15" w:type="dxa"/>
              <w:left w:w="0" w:type="dxa"/>
              <w:bottom w:w="0" w:type="dxa"/>
              <w:right w:w="15" w:type="dxa"/>
            </w:tcMar>
            <w:vAlign w:val="bottom"/>
            <w:hideMark/>
          </w:tcPr>
          <w:p w14:paraId="092632D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0532A77" w14:textId="77777777" w:rsidTr="00AC4931">
        <w:tc>
          <w:tcPr>
            <w:tcW w:w="12098" w:type="dxa"/>
            <w:shd w:val="clear" w:color="auto" w:fill="FFFFFF"/>
            <w:tcMar>
              <w:top w:w="15" w:type="dxa"/>
              <w:left w:w="0" w:type="dxa"/>
              <w:bottom w:w="0" w:type="dxa"/>
              <w:right w:w="15" w:type="dxa"/>
            </w:tcMar>
            <w:hideMark/>
          </w:tcPr>
          <w:p w14:paraId="3DBD75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Cost of sales</w:t>
            </w:r>
          </w:p>
        </w:tc>
        <w:tc>
          <w:tcPr>
            <w:tcW w:w="278" w:type="dxa"/>
            <w:shd w:val="clear" w:color="auto" w:fill="FFFFFF"/>
            <w:tcMar>
              <w:top w:w="15" w:type="dxa"/>
              <w:left w:w="0" w:type="dxa"/>
              <w:bottom w:w="0" w:type="dxa"/>
              <w:right w:w="15" w:type="dxa"/>
            </w:tcMar>
            <w:vAlign w:val="bottom"/>
            <w:hideMark/>
          </w:tcPr>
          <w:p w14:paraId="2850C2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3D4A571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67FD11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28358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33F1308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(6,200.5</w:t>
            </w:r>
          </w:p>
        </w:tc>
        <w:tc>
          <w:tcPr>
            <w:tcW w:w="191" w:type="dxa"/>
            <w:shd w:val="clear" w:color="auto" w:fill="FFFFFF"/>
            <w:noWrap/>
            <w:tcMar>
              <w:top w:w="15" w:type="dxa"/>
              <w:left w:w="0" w:type="dxa"/>
              <w:bottom w:w="0" w:type="dxa"/>
              <w:right w:w="15" w:type="dxa"/>
            </w:tcMar>
            <w:vAlign w:val="bottom"/>
            <w:hideMark/>
          </w:tcPr>
          <w:p w14:paraId="46DF25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FFFFFF"/>
            <w:tcMar>
              <w:top w:w="15" w:type="dxa"/>
              <w:left w:w="0" w:type="dxa"/>
              <w:bottom w:w="0" w:type="dxa"/>
              <w:right w:w="15" w:type="dxa"/>
            </w:tcMar>
            <w:vAlign w:val="bottom"/>
            <w:hideMark/>
          </w:tcPr>
          <w:p w14:paraId="79B148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12E97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1372E22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(6,963.2</w:t>
            </w:r>
          </w:p>
        </w:tc>
        <w:tc>
          <w:tcPr>
            <w:tcW w:w="191" w:type="dxa"/>
            <w:shd w:val="clear" w:color="auto" w:fill="FFFFFF"/>
            <w:noWrap/>
            <w:tcMar>
              <w:top w:w="15" w:type="dxa"/>
              <w:left w:w="0" w:type="dxa"/>
              <w:bottom w:w="0" w:type="dxa"/>
              <w:right w:w="15" w:type="dxa"/>
            </w:tcMar>
            <w:vAlign w:val="bottom"/>
            <w:hideMark/>
          </w:tcPr>
          <w:p w14:paraId="395B7B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FFFFFF"/>
            <w:tcMar>
              <w:top w:w="15" w:type="dxa"/>
              <w:left w:w="0" w:type="dxa"/>
              <w:bottom w:w="0" w:type="dxa"/>
              <w:right w:w="15" w:type="dxa"/>
            </w:tcMar>
            <w:vAlign w:val="bottom"/>
            <w:hideMark/>
          </w:tcPr>
          <w:p w14:paraId="05A5EB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93A2E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5805732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(6,966.9</w:t>
            </w:r>
          </w:p>
        </w:tc>
        <w:tc>
          <w:tcPr>
            <w:tcW w:w="192" w:type="dxa"/>
            <w:shd w:val="clear" w:color="auto" w:fill="FFFFFF"/>
            <w:noWrap/>
            <w:tcMar>
              <w:top w:w="15" w:type="dxa"/>
              <w:left w:w="0" w:type="dxa"/>
              <w:bottom w:w="0" w:type="dxa"/>
              <w:right w:w="15" w:type="dxa"/>
            </w:tcMar>
            <w:vAlign w:val="bottom"/>
            <w:hideMark/>
          </w:tcPr>
          <w:p w14:paraId="641E7A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1E87458" w14:textId="77777777" w:rsidTr="00AC4931">
        <w:tc>
          <w:tcPr>
            <w:tcW w:w="12098" w:type="dxa"/>
            <w:shd w:val="clear" w:color="auto" w:fill="CFF0FC"/>
            <w:tcMar>
              <w:top w:w="15" w:type="dxa"/>
              <w:left w:w="0" w:type="dxa"/>
              <w:bottom w:w="0" w:type="dxa"/>
              <w:right w:w="15" w:type="dxa"/>
            </w:tcMar>
            <w:hideMark/>
          </w:tcPr>
          <w:p w14:paraId="1190BEA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Gross profit</w:t>
            </w:r>
          </w:p>
        </w:tc>
        <w:tc>
          <w:tcPr>
            <w:tcW w:w="278" w:type="dxa"/>
            <w:shd w:val="clear" w:color="auto" w:fill="CFF0FC"/>
            <w:tcMar>
              <w:top w:w="15" w:type="dxa"/>
              <w:left w:w="0" w:type="dxa"/>
              <w:bottom w:w="0" w:type="dxa"/>
              <w:right w:w="15" w:type="dxa"/>
            </w:tcMar>
            <w:vAlign w:val="bottom"/>
            <w:hideMark/>
          </w:tcPr>
          <w:p w14:paraId="78EE88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71EDCBF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4AB657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052958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0B3E6DC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1,246.9</w:t>
            </w:r>
          </w:p>
        </w:tc>
        <w:tc>
          <w:tcPr>
            <w:tcW w:w="191" w:type="dxa"/>
            <w:shd w:val="clear" w:color="auto" w:fill="CFF0FC"/>
            <w:noWrap/>
            <w:tcMar>
              <w:top w:w="15" w:type="dxa"/>
              <w:left w:w="0" w:type="dxa"/>
              <w:bottom w:w="0" w:type="dxa"/>
              <w:right w:w="15" w:type="dxa"/>
            </w:tcMar>
            <w:vAlign w:val="bottom"/>
            <w:hideMark/>
          </w:tcPr>
          <w:p w14:paraId="75052A3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6230E3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88F0B9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72BBE75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1,584.4</w:t>
            </w:r>
          </w:p>
        </w:tc>
        <w:tc>
          <w:tcPr>
            <w:tcW w:w="191" w:type="dxa"/>
            <w:shd w:val="clear" w:color="auto" w:fill="CFF0FC"/>
            <w:noWrap/>
            <w:tcMar>
              <w:top w:w="15" w:type="dxa"/>
              <w:left w:w="0" w:type="dxa"/>
              <w:bottom w:w="0" w:type="dxa"/>
              <w:right w:w="15" w:type="dxa"/>
            </w:tcMar>
            <w:vAlign w:val="bottom"/>
            <w:hideMark/>
          </w:tcPr>
          <w:p w14:paraId="2DA78FE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1048AF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F77AFF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3DA5A94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1,711.3</w:t>
            </w:r>
          </w:p>
        </w:tc>
        <w:tc>
          <w:tcPr>
            <w:tcW w:w="192" w:type="dxa"/>
            <w:shd w:val="clear" w:color="auto" w:fill="CFF0FC"/>
            <w:noWrap/>
            <w:tcMar>
              <w:top w:w="15" w:type="dxa"/>
              <w:left w:w="0" w:type="dxa"/>
              <w:bottom w:w="0" w:type="dxa"/>
              <w:right w:w="15" w:type="dxa"/>
            </w:tcMar>
            <w:vAlign w:val="bottom"/>
            <w:hideMark/>
          </w:tcPr>
          <w:p w14:paraId="175B3AB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73AA0563" w14:textId="77777777" w:rsidTr="00AC4931">
        <w:tc>
          <w:tcPr>
            <w:tcW w:w="12098" w:type="dxa"/>
            <w:shd w:val="clear" w:color="auto" w:fill="FFFFFF"/>
            <w:tcMar>
              <w:top w:w="15" w:type="dxa"/>
              <w:left w:w="0" w:type="dxa"/>
              <w:bottom w:w="0" w:type="dxa"/>
              <w:right w:w="15" w:type="dxa"/>
            </w:tcMar>
            <w:hideMark/>
          </w:tcPr>
          <w:p w14:paraId="6DC423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Selling, general and administrative expenses</w:t>
            </w:r>
          </w:p>
        </w:tc>
        <w:tc>
          <w:tcPr>
            <w:tcW w:w="278" w:type="dxa"/>
            <w:shd w:val="clear" w:color="auto" w:fill="FFFFFF"/>
            <w:tcMar>
              <w:top w:w="15" w:type="dxa"/>
              <w:left w:w="0" w:type="dxa"/>
              <w:bottom w:w="0" w:type="dxa"/>
              <w:right w:w="15" w:type="dxa"/>
            </w:tcMar>
            <w:vAlign w:val="bottom"/>
            <w:hideMark/>
          </w:tcPr>
          <w:p w14:paraId="188322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79CA311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5CCAEB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FBA19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518311F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(389.2</w:t>
            </w:r>
          </w:p>
        </w:tc>
        <w:tc>
          <w:tcPr>
            <w:tcW w:w="191" w:type="dxa"/>
            <w:shd w:val="clear" w:color="auto" w:fill="FFFFFF"/>
            <w:noWrap/>
            <w:tcMar>
              <w:top w:w="15" w:type="dxa"/>
              <w:left w:w="0" w:type="dxa"/>
              <w:bottom w:w="0" w:type="dxa"/>
              <w:right w:w="15" w:type="dxa"/>
            </w:tcMar>
            <w:vAlign w:val="bottom"/>
            <w:hideMark/>
          </w:tcPr>
          <w:p w14:paraId="2C5506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FFFFFF"/>
            <w:tcMar>
              <w:top w:w="15" w:type="dxa"/>
              <w:left w:w="0" w:type="dxa"/>
              <w:bottom w:w="0" w:type="dxa"/>
              <w:right w:w="15" w:type="dxa"/>
            </w:tcMar>
            <w:vAlign w:val="bottom"/>
            <w:hideMark/>
          </w:tcPr>
          <w:p w14:paraId="54EDDB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40821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06EE35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(398.9</w:t>
            </w:r>
          </w:p>
        </w:tc>
        <w:tc>
          <w:tcPr>
            <w:tcW w:w="191" w:type="dxa"/>
            <w:shd w:val="clear" w:color="auto" w:fill="FFFFFF"/>
            <w:noWrap/>
            <w:tcMar>
              <w:top w:w="15" w:type="dxa"/>
              <w:left w:w="0" w:type="dxa"/>
              <w:bottom w:w="0" w:type="dxa"/>
              <w:right w:w="15" w:type="dxa"/>
            </w:tcMar>
            <w:vAlign w:val="bottom"/>
            <w:hideMark/>
          </w:tcPr>
          <w:p w14:paraId="7B96EE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FFFFFF"/>
            <w:tcMar>
              <w:top w:w="15" w:type="dxa"/>
              <w:left w:w="0" w:type="dxa"/>
              <w:bottom w:w="0" w:type="dxa"/>
              <w:right w:w="15" w:type="dxa"/>
            </w:tcMar>
            <w:vAlign w:val="bottom"/>
            <w:hideMark/>
          </w:tcPr>
          <w:p w14:paraId="68505F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E5AA8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2703B92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(390.3</w:t>
            </w:r>
          </w:p>
        </w:tc>
        <w:tc>
          <w:tcPr>
            <w:tcW w:w="192" w:type="dxa"/>
            <w:shd w:val="clear" w:color="auto" w:fill="FFFFFF"/>
            <w:noWrap/>
            <w:tcMar>
              <w:top w:w="15" w:type="dxa"/>
              <w:left w:w="0" w:type="dxa"/>
              <w:bottom w:w="0" w:type="dxa"/>
              <w:right w:w="15" w:type="dxa"/>
            </w:tcMar>
            <w:vAlign w:val="bottom"/>
            <w:hideMark/>
          </w:tcPr>
          <w:p w14:paraId="54E1C0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138F75D" w14:textId="77777777" w:rsidTr="00AC4931">
        <w:tc>
          <w:tcPr>
            <w:tcW w:w="12098" w:type="dxa"/>
            <w:shd w:val="clear" w:color="auto" w:fill="CFF0FC"/>
            <w:tcMar>
              <w:top w:w="15" w:type="dxa"/>
              <w:left w:w="0" w:type="dxa"/>
              <w:bottom w:w="0" w:type="dxa"/>
              <w:right w:w="15" w:type="dxa"/>
            </w:tcMar>
            <w:hideMark/>
          </w:tcPr>
          <w:p w14:paraId="5C9DA4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Research, development and engineering expenses, net</w:t>
            </w:r>
          </w:p>
        </w:tc>
        <w:tc>
          <w:tcPr>
            <w:tcW w:w="278" w:type="dxa"/>
            <w:shd w:val="clear" w:color="auto" w:fill="CFF0FC"/>
            <w:tcMar>
              <w:top w:w="15" w:type="dxa"/>
              <w:left w:w="0" w:type="dxa"/>
              <w:bottom w:w="0" w:type="dxa"/>
              <w:right w:w="15" w:type="dxa"/>
            </w:tcMar>
            <w:vAlign w:val="bottom"/>
            <w:hideMark/>
          </w:tcPr>
          <w:p w14:paraId="26CCB2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15DF03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27A11B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A9F28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76F24BF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(375.5</w:t>
            </w:r>
          </w:p>
        </w:tc>
        <w:tc>
          <w:tcPr>
            <w:tcW w:w="191" w:type="dxa"/>
            <w:shd w:val="clear" w:color="auto" w:fill="CFF0FC"/>
            <w:noWrap/>
            <w:tcMar>
              <w:top w:w="15" w:type="dxa"/>
              <w:left w:w="0" w:type="dxa"/>
              <w:bottom w:w="0" w:type="dxa"/>
              <w:right w:w="15" w:type="dxa"/>
            </w:tcMar>
            <w:vAlign w:val="bottom"/>
            <w:hideMark/>
          </w:tcPr>
          <w:p w14:paraId="485A09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CFF0FC"/>
            <w:tcMar>
              <w:top w:w="15" w:type="dxa"/>
              <w:left w:w="0" w:type="dxa"/>
              <w:bottom w:w="0" w:type="dxa"/>
              <w:right w:w="15" w:type="dxa"/>
            </w:tcMar>
            <w:vAlign w:val="bottom"/>
            <w:hideMark/>
          </w:tcPr>
          <w:p w14:paraId="4133A5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55CED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090E6C3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(405.5</w:t>
            </w:r>
          </w:p>
        </w:tc>
        <w:tc>
          <w:tcPr>
            <w:tcW w:w="191" w:type="dxa"/>
            <w:shd w:val="clear" w:color="auto" w:fill="CFF0FC"/>
            <w:noWrap/>
            <w:tcMar>
              <w:top w:w="15" w:type="dxa"/>
              <w:left w:w="0" w:type="dxa"/>
              <w:bottom w:w="0" w:type="dxa"/>
              <w:right w:w="15" w:type="dxa"/>
            </w:tcMar>
            <w:vAlign w:val="bottom"/>
            <w:hideMark/>
          </w:tcPr>
          <w:p w14:paraId="095A0A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CFF0FC"/>
            <w:tcMar>
              <w:top w:w="15" w:type="dxa"/>
              <w:left w:w="0" w:type="dxa"/>
              <w:bottom w:w="0" w:type="dxa"/>
              <w:right w:w="15" w:type="dxa"/>
            </w:tcMar>
            <w:vAlign w:val="bottom"/>
            <w:hideMark/>
          </w:tcPr>
          <w:p w14:paraId="5E5EAE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16985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7829C93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(412.6</w:t>
            </w:r>
          </w:p>
        </w:tc>
        <w:tc>
          <w:tcPr>
            <w:tcW w:w="192" w:type="dxa"/>
            <w:shd w:val="clear" w:color="auto" w:fill="CFF0FC"/>
            <w:noWrap/>
            <w:tcMar>
              <w:top w:w="15" w:type="dxa"/>
              <w:left w:w="0" w:type="dxa"/>
              <w:bottom w:w="0" w:type="dxa"/>
              <w:right w:w="15" w:type="dxa"/>
            </w:tcMar>
            <w:vAlign w:val="bottom"/>
            <w:hideMark/>
          </w:tcPr>
          <w:p w14:paraId="7618D1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0A049DF" w14:textId="77777777" w:rsidTr="00AC4931">
        <w:tc>
          <w:tcPr>
            <w:tcW w:w="12098" w:type="dxa"/>
            <w:shd w:val="clear" w:color="auto" w:fill="FFFFFF"/>
            <w:tcMar>
              <w:top w:w="15" w:type="dxa"/>
              <w:left w:w="0" w:type="dxa"/>
              <w:bottom w:w="0" w:type="dxa"/>
              <w:right w:w="15" w:type="dxa"/>
            </w:tcMar>
            <w:hideMark/>
          </w:tcPr>
          <w:p w14:paraId="717675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Amortization of intangibles</w:t>
            </w:r>
          </w:p>
        </w:tc>
        <w:tc>
          <w:tcPr>
            <w:tcW w:w="278" w:type="dxa"/>
            <w:shd w:val="clear" w:color="auto" w:fill="FFFFFF"/>
            <w:tcMar>
              <w:top w:w="15" w:type="dxa"/>
              <w:left w:w="0" w:type="dxa"/>
              <w:bottom w:w="0" w:type="dxa"/>
              <w:right w:w="15" w:type="dxa"/>
            </w:tcMar>
            <w:vAlign w:val="bottom"/>
            <w:hideMark/>
          </w:tcPr>
          <w:p w14:paraId="6874DA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65F6C5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11</w:t>
            </w:r>
          </w:p>
        </w:tc>
        <w:tc>
          <w:tcPr>
            <w:tcW w:w="278" w:type="dxa"/>
            <w:shd w:val="clear" w:color="auto" w:fill="FFFFFF"/>
            <w:tcMar>
              <w:top w:w="15" w:type="dxa"/>
              <w:left w:w="0" w:type="dxa"/>
              <w:bottom w:w="0" w:type="dxa"/>
              <w:right w:w="15" w:type="dxa"/>
            </w:tcMar>
            <w:vAlign w:val="bottom"/>
            <w:hideMark/>
          </w:tcPr>
          <w:p w14:paraId="46FF68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F50CC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69BC80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(10.0</w:t>
            </w:r>
          </w:p>
        </w:tc>
        <w:tc>
          <w:tcPr>
            <w:tcW w:w="191" w:type="dxa"/>
            <w:shd w:val="clear" w:color="auto" w:fill="FFFFFF"/>
            <w:noWrap/>
            <w:tcMar>
              <w:top w:w="15" w:type="dxa"/>
              <w:left w:w="0" w:type="dxa"/>
              <w:bottom w:w="0" w:type="dxa"/>
              <w:right w:w="15" w:type="dxa"/>
            </w:tcMar>
            <w:vAlign w:val="bottom"/>
            <w:hideMark/>
          </w:tcPr>
          <w:p w14:paraId="7FAD8A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FFFFFF"/>
            <w:tcMar>
              <w:top w:w="15" w:type="dxa"/>
              <w:left w:w="0" w:type="dxa"/>
              <w:bottom w:w="0" w:type="dxa"/>
              <w:right w:w="15" w:type="dxa"/>
            </w:tcMar>
            <w:vAlign w:val="bottom"/>
            <w:hideMark/>
          </w:tcPr>
          <w:p w14:paraId="3FA674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FC9F7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322B0D8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(11.5</w:t>
            </w:r>
          </w:p>
        </w:tc>
        <w:tc>
          <w:tcPr>
            <w:tcW w:w="191" w:type="dxa"/>
            <w:shd w:val="clear" w:color="auto" w:fill="FFFFFF"/>
            <w:noWrap/>
            <w:tcMar>
              <w:top w:w="15" w:type="dxa"/>
              <w:left w:w="0" w:type="dxa"/>
              <w:bottom w:w="0" w:type="dxa"/>
              <w:right w:w="15" w:type="dxa"/>
            </w:tcMar>
            <w:vAlign w:val="bottom"/>
            <w:hideMark/>
          </w:tcPr>
          <w:p w14:paraId="38B1DE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FFFFFF"/>
            <w:tcMar>
              <w:top w:w="15" w:type="dxa"/>
              <w:left w:w="0" w:type="dxa"/>
              <w:bottom w:w="0" w:type="dxa"/>
              <w:right w:w="15" w:type="dxa"/>
            </w:tcMar>
            <w:vAlign w:val="bottom"/>
            <w:hideMark/>
          </w:tcPr>
          <w:p w14:paraId="1AB9C5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3DDBA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4C41C9C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(11.3</w:t>
            </w:r>
          </w:p>
        </w:tc>
        <w:tc>
          <w:tcPr>
            <w:tcW w:w="192" w:type="dxa"/>
            <w:shd w:val="clear" w:color="auto" w:fill="FFFFFF"/>
            <w:noWrap/>
            <w:tcMar>
              <w:top w:w="15" w:type="dxa"/>
              <w:left w:w="0" w:type="dxa"/>
              <w:bottom w:w="0" w:type="dxa"/>
              <w:right w:w="15" w:type="dxa"/>
            </w:tcMar>
            <w:vAlign w:val="bottom"/>
            <w:hideMark/>
          </w:tcPr>
          <w:p w14:paraId="12E6F0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5DBE4B6" w14:textId="77777777" w:rsidTr="00AC4931">
        <w:tc>
          <w:tcPr>
            <w:tcW w:w="12098" w:type="dxa"/>
            <w:shd w:val="clear" w:color="auto" w:fill="CFF0FC"/>
            <w:tcMar>
              <w:top w:w="15" w:type="dxa"/>
              <w:left w:w="0" w:type="dxa"/>
              <w:bottom w:w="0" w:type="dxa"/>
              <w:right w:w="15" w:type="dxa"/>
            </w:tcMar>
            <w:hideMark/>
          </w:tcPr>
          <w:p w14:paraId="603ED6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income (expense), net</w:t>
            </w:r>
          </w:p>
        </w:tc>
        <w:tc>
          <w:tcPr>
            <w:tcW w:w="278" w:type="dxa"/>
            <w:shd w:val="clear" w:color="auto" w:fill="CFF0FC"/>
            <w:tcMar>
              <w:top w:w="15" w:type="dxa"/>
              <w:left w:w="0" w:type="dxa"/>
              <w:bottom w:w="0" w:type="dxa"/>
              <w:right w:w="15" w:type="dxa"/>
            </w:tcMar>
            <w:vAlign w:val="bottom"/>
            <w:hideMark/>
          </w:tcPr>
          <w:p w14:paraId="65AFAC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1F75A4E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Notes 12, 18</w:t>
            </w:r>
          </w:p>
        </w:tc>
        <w:tc>
          <w:tcPr>
            <w:tcW w:w="278" w:type="dxa"/>
            <w:shd w:val="clear" w:color="auto" w:fill="CFF0FC"/>
            <w:tcMar>
              <w:top w:w="15" w:type="dxa"/>
              <w:left w:w="0" w:type="dxa"/>
              <w:bottom w:w="0" w:type="dxa"/>
              <w:right w:w="15" w:type="dxa"/>
            </w:tcMar>
            <w:vAlign w:val="bottom"/>
            <w:hideMark/>
          </w:tcPr>
          <w:p w14:paraId="7F437E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B5976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12344E5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(90.1</w:t>
            </w:r>
          </w:p>
        </w:tc>
        <w:tc>
          <w:tcPr>
            <w:tcW w:w="191" w:type="dxa"/>
            <w:shd w:val="clear" w:color="auto" w:fill="CFF0FC"/>
            <w:noWrap/>
            <w:tcMar>
              <w:top w:w="15" w:type="dxa"/>
              <w:left w:w="0" w:type="dxa"/>
              <w:bottom w:w="0" w:type="dxa"/>
              <w:right w:w="15" w:type="dxa"/>
            </w:tcMar>
            <w:vAlign w:val="bottom"/>
            <w:hideMark/>
          </w:tcPr>
          <w:p w14:paraId="7BAF58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CFF0FC"/>
            <w:tcMar>
              <w:top w:w="15" w:type="dxa"/>
              <w:left w:w="0" w:type="dxa"/>
              <w:bottom w:w="0" w:type="dxa"/>
              <w:right w:w="15" w:type="dxa"/>
            </w:tcMar>
            <w:vAlign w:val="bottom"/>
            <w:hideMark/>
          </w:tcPr>
          <w:p w14:paraId="10D18D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22AF9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55A8A24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(42.7</w:t>
            </w:r>
          </w:p>
        </w:tc>
        <w:tc>
          <w:tcPr>
            <w:tcW w:w="191" w:type="dxa"/>
            <w:shd w:val="clear" w:color="auto" w:fill="CFF0FC"/>
            <w:noWrap/>
            <w:tcMar>
              <w:top w:w="15" w:type="dxa"/>
              <w:left w:w="0" w:type="dxa"/>
              <w:bottom w:w="0" w:type="dxa"/>
              <w:right w:w="15" w:type="dxa"/>
            </w:tcMar>
            <w:vAlign w:val="bottom"/>
            <w:hideMark/>
          </w:tcPr>
          <w:p w14:paraId="416667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CFF0FC"/>
            <w:tcMar>
              <w:top w:w="15" w:type="dxa"/>
              <w:left w:w="0" w:type="dxa"/>
              <w:bottom w:w="0" w:type="dxa"/>
              <w:right w:w="15" w:type="dxa"/>
            </w:tcMar>
            <w:vAlign w:val="bottom"/>
            <w:hideMark/>
          </w:tcPr>
          <w:p w14:paraId="108CD8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6692A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0B920B8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(211.1</w:t>
            </w:r>
          </w:p>
        </w:tc>
        <w:tc>
          <w:tcPr>
            <w:tcW w:w="192" w:type="dxa"/>
            <w:shd w:val="clear" w:color="auto" w:fill="CFF0FC"/>
            <w:noWrap/>
            <w:tcMar>
              <w:top w:w="15" w:type="dxa"/>
              <w:left w:w="0" w:type="dxa"/>
              <w:bottom w:w="0" w:type="dxa"/>
              <w:right w:w="15" w:type="dxa"/>
            </w:tcMar>
            <w:vAlign w:val="bottom"/>
            <w:hideMark/>
          </w:tcPr>
          <w:p w14:paraId="7CD155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6AC2A44" w14:textId="77777777" w:rsidTr="00AC4931">
        <w:tc>
          <w:tcPr>
            <w:tcW w:w="12098" w:type="dxa"/>
            <w:shd w:val="clear" w:color="auto" w:fill="FFFFFF"/>
            <w:tcMar>
              <w:top w:w="15" w:type="dxa"/>
              <w:left w:w="0" w:type="dxa"/>
              <w:bottom w:w="0" w:type="dxa"/>
              <w:right w:w="15" w:type="dxa"/>
            </w:tcMar>
            <w:hideMark/>
          </w:tcPr>
          <w:p w14:paraId="5FE1D6E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Operating income</w:t>
            </w:r>
          </w:p>
        </w:tc>
        <w:tc>
          <w:tcPr>
            <w:tcW w:w="278" w:type="dxa"/>
            <w:shd w:val="clear" w:color="auto" w:fill="FFFFFF"/>
            <w:tcMar>
              <w:top w:w="15" w:type="dxa"/>
              <w:left w:w="0" w:type="dxa"/>
              <w:bottom w:w="0" w:type="dxa"/>
              <w:right w:w="15" w:type="dxa"/>
            </w:tcMar>
            <w:vAlign w:val="bottom"/>
            <w:hideMark/>
          </w:tcPr>
          <w:p w14:paraId="75FD81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196B7BA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4B73D8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650816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FFFFFF"/>
            <w:noWrap/>
            <w:tcMar>
              <w:top w:w="15" w:type="dxa"/>
              <w:left w:w="0" w:type="dxa"/>
              <w:bottom w:w="0" w:type="dxa"/>
              <w:right w:w="15" w:type="dxa"/>
            </w:tcMar>
            <w:vAlign w:val="bottom"/>
            <w:hideMark/>
          </w:tcPr>
          <w:p w14:paraId="4981BD0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382.1</w:t>
            </w:r>
          </w:p>
        </w:tc>
        <w:tc>
          <w:tcPr>
            <w:tcW w:w="191" w:type="dxa"/>
            <w:shd w:val="clear" w:color="auto" w:fill="FFFFFF"/>
            <w:noWrap/>
            <w:tcMar>
              <w:top w:w="15" w:type="dxa"/>
              <w:left w:w="0" w:type="dxa"/>
              <w:bottom w:w="0" w:type="dxa"/>
              <w:right w:w="15" w:type="dxa"/>
            </w:tcMar>
            <w:vAlign w:val="bottom"/>
            <w:hideMark/>
          </w:tcPr>
          <w:p w14:paraId="113CFF7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6C208C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7C2E2D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FFFFFF"/>
            <w:noWrap/>
            <w:tcMar>
              <w:top w:w="15" w:type="dxa"/>
              <w:left w:w="0" w:type="dxa"/>
              <w:bottom w:w="0" w:type="dxa"/>
              <w:right w:w="15" w:type="dxa"/>
            </w:tcMar>
            <w:vAlign w:val="bottom"/>
            <w:hideMark/>
          </w:tcPr>
          <w:p w14:paraId="4A85C30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725.8</w:t>
            </w:r>
          </w:p>
        </w:tc>
        <w:tc>
          <w:tcPr>
            <w:tcW w:w="191" w:type="dxa"/>
            <w:shd w:val="clear" w:color="auto" w:fill="FFFFFF"/>
            <w:noWrap/>
            <w:tcMar>
              <w:top w:w="15" w:type="dxa"/>
              <w:left w:w="0" w:type="dxa"/>
              <w:bottom w:w="0" w:type="dxa"/>
              <w:right w:w="15" w:type="dxa"/>
            </w:tcMar>
            <w:vAlign w:val="bottom"/>
            <w:hideMark/>
          </w:tcPr>
          <w:p w14:paraId="0896AFD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17E59B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5E89C01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FFFFFF"/>
            <w:noWrap/>
            <w:tcMar>
              <w:top w:w="15" w:type="dxa"/>
              <w:left w:w="0" w:type="dxa"/>
              <w:bottom w:w="0" w:type="dxa"/>
              <w:right w:w="15" w:type="dxa"/>
            </w:tcMar>
            <w:vAlign w:val="bottom"/>
            <w:hideMark/>
          </w:tcPr>
          <w:p w14:paraId="659B952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686.0</w:t>
            </w:r>
          </w:p>
        </w:tc>
        <w:tc>
          <w:tcPr>
            <w:tcW w:w="192" w:type="dxa"/>
            <w:shd w:val="clear" w:color="auto" w:fill="FFFFFF"/>
            <w:noWrap/>
            <w:tcMar>
              <w:top w:w="15" w:type="dxa"/>
              <w:left w:w="0" w:type="dxa"/>
              <w:bottom w:w="0" w:type="dxa"/>
              <w:right w:w="15" w:type="dxa"/>
            </w:tcMar>
            <w:vAlign w:val="bottom"/>
            <w:hideMark/>
          </w:tcPr>
          <w:p w14:paraId="1CB63F6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6F7363F1" w14:textId="77777777" w:rsidTr="00AC4931">
        <w:tc>
          <w:tcPr>
            <w:tcW w:w="12098" w:type="dxa"/>
            <w:shd w:val="clear" w:color="auto" w:fill="CFF0FC"/>
            <w:tcMar>
              <w:top w:w="15" w:type="dxa"/>
              <w:left w:w="0" w:type="dxa"/>
              <w:bottom w:w="0" w:type="dxa"/>
              <w:right w:w="15" w:type="dxa"/>
            </w:tcMar>
            <w:hideMark/>
          </w:tcPr>
          <w:p w14:paraId="65DE3B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from equity method investment</w:t>
            </w:r>
          </w:p>
        </w:tc>
        <w:tc>
          <w:tcPr>
            <w:tcW w:w="278" w:type="dxa"/>
            <w:shd w:val="clear" w:color="auto" w:fill="CFF0FC"/>
            <w:tcMar>
              <w:top w:w="15" w:type="dxa"/>
              <w:left w:w="0" w:type="dxa"/>
              <w:bottom w:w="0" w:type="dxa"/>
              <w:right w:w="15" w:type="dxa"/>
            </w:tcMar>
            <w:vAlign w:val="bottom"/>
            <w:hideMark/>
          </w:tcPr>
          <w:p w14:paraId="199340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410CB84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9</w:t>
            </w:r>
          </w:p>
        </w:tc>
        <w:tc>
          <w:tcPr>
            <w:tcW w:w="278" w:type="dxa"/>
            <w:shd w:val="clear" w:color="auto" w:fill="CFF0FC"/>
            <w:tcMar>
              <w:top w:w="15" w:type="dxa"/>
              <w:left w:w="0" w:type="dxa"/>
              <w:bottom w:w="0" w:type="dxa"/>
              <w:right w:w="15" w:type="dxa"/>
            </w:tcMar>
            <w:vAlign w:val="bottom"/>
            <w:hideMark/>
          </w:tcPr>
          <w:p w14:paraId="2005F3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F5A62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699286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91" w:type="dxa"/>
            <w:shd w:val="clear" w:color="auto" w:fill="CFF0FC"/>
            <w:noWrap/>
            <w:tcMar>
              <w:top w:w="15" w:type="dxa"/>
              <w:left w:w="0" w:type="dxa"/>
              <w:bottom w:w="0" w:type="dxa"/>
              <w:right w:w="15" w:type="dxa"/>
            </w:tcMar>
            <w:vAlign w:val="bottom"/>
            <w:hideMark/>
          </w:tcPr>
          <w:p w14:paraId="35370E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1C2650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4EDD4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32FFBAB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91" w:type="dxa"/>
            <w:shd w:val="clear" w:color="auto" w:fill="CFF0FC"/>
            <w:noWrap/>
            <w:tcMar>
              <w:top w:w="15" w:type="dxa"/>
              <w:left w:w="0" w:type="dxa"/>
              <w:bottom w:w="0" w:type="dxa"/>
              <w:right w:w="15" w:type="dxa"/>
            </w:tcMar>
            <w:vAlign w:val="bottom"/>
            <w:hideMark/>
          </w:tcPr>
          <w:p w14:paraId="17AB50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223964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EC3FD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0FF3BA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w:t>
            </w:r>
          </w:p>
        </w:tc>
        <w:tc>
          <w:tcPr>
            <w:tcW w:w="192" w:type="dxa"/>
            <w:shd w:val="clear" w:color="auto" w:fill="CFF0FC"/>
            <w:noWrap/>
            <w:tcMar>
              <w:top w:w="15" w:type="dxa"/>
              <w:left w:w="0" w:type="dxa"/>
              <w:bottom w:w="0" w:type="dxa"/>
              <w:right w:w="15" w:type="dxa"/>
            </w:tcMar>
            <w:vAlign w:val="bottom"/>
            <w:hideMark/>
          </w:tcPr>
          <w:p w14:paraId="143C7C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016A8AE" w14:textId="77777777" w:rsidTr="00AC4931">
        <w:tc>
          <w:tcPr>
            <w:tcW w:w="12098" w:type="dxa"/>
            <w:shd w:val="clear" w:color="auto" w:fill="FFFFFF"/>
            <w:tcMar>
              <w:top w:w="15" w:type="dxa"/>
              <w:left w:w="0" w:type="dxa"/>
              <w:bottom w:w="0" w:type="dxa"/>
              <w:right w:w="15" w:type="dxa"/>
            </w:tcMar>
            <w:hideMark/>
          </w:tcPr>
          <w:p w14:paraId="38CDFF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Interest income</w:t>
            </w:r>
          </w:p>
        </w:tc>
        <w:tc>
          <w:tcPr>
            <w:tcW w:w="278" w:type="dxa"/>
            <w:shd w:val="clear" w:color="auto" w:fill="FFFFFF"/>
            <w:tcMar>
              <w:top w:w="15" w:type="dxa"/>
              <w:left w:w="0" w:type="dxa"/>
              <w:bottom w:w="0" w:type="dxa"/>
              <w:right w:w="15" w:type="dxa"/>
            </w:tcMar>
            <w:vAlign w:val="bottom"/>
            <w:hideMark/>
          </w:tcPr>
          <w:p w14:paraId="51DD05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2736EDE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015202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2422F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001DFC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w:t>
            </w:r>
          </w:p>
        </w:tc>
        <w:tc>
          <w:tcPr>
            <w:tcW w:w="191" w:type="dxa"/>
            <w:shd w:val="clear" w:color="auto" w:fill="FFFFFF"/>
            <w:noWrap/>
            <w:tcMar>
              <w:top w:w="15" w:type="dxa"/>
              <w:left w:w="0" w:type="dxa"/>
              <w:bottom w:w="0" w:type="dxa"/>
              <w:right w:w="15" w:type="dxa"/>
            </w:tcMar>
            <w:vAlign w:val="bottom"/>
            <w:hideMark/>
          </w:tcPr>
          <w:p w14:paraId="19777F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1861C6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A188F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1B53548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w:t>
            </w:r>
          </w:p>
        </w:tc>
        <w:tc>
          <w:tcPr>
            <w:tcW w:w="191" w:type="dxa"/>
            <w:shd w:val="clear" w:color="auto" w:fill="FFFFFF"/>
            <w:noWrap/>
            <w:tcMar>
              <w:top w:w="15" w:type="dxa"/>
              <w:left w:w="0" w:type="dxa"/>
              <w:bottom w:w="0" w:type="dxa"/>
              <w:right w:w="15" w:type="dxa"/>
            </w:tcMar>
            <w:vAlign w:val="bottom"/>
            <w:hideMark/>
          </w:tcPr>
          <w:p w14:paraId="66DD88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5BC27E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F72A2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7BC1065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6.9</w:t>
            </w:r>
          </w:p>
        </w:tc>
        <w:tc>
          <w:tcPr>
            <w:tcW w:w="192" w:type="dxa"/>
            <w:shd w:val="clear" w:color="auto" w:fill="FFFFFF"/>
            <w:noWrap/>
            <w:tcMar>
              <w:top w:w="15" w:type="dxa"/>
              <w:left w:w="0" w:type="dxa"/>
              <w:bottom w:w="0" w:type="dxa"/>
              <w:right w:w="15" w:type="dxa"/>
            </w:tcMar>
            <w:vAlign w:val="bottom"/>
            <w:hideMark/>
          </w:tcPr>
          <w:p w14:paraId="371D74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27944F9" w14:textId="77777777" w:rsidTr="00AC4931">
        <w:tc>
          <w:tcPr>
            <w:tcW w:w="12098" w:type="dxa"/>
            <w:shd w:val="clear" w:color="auto" w:fill="CFF0FC"/>
            <w:tcMar>
              <w:top w:w="15" w:type="dxa"/>
              <w:left w:w="0" w:type="dxa"/>
              <w:bottom w:w="0" w:type="dxa"/>
              <w:right w:w="15" w:type="dxa"/>
            </w:tcMar>
            <w:hideMark/>
          </w:tcPr>
          <w:p w14:paraId="0051C4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Interest expense</w:t>
            </w:r>
          </w:p>
        </w:tc>
        <w:tc>
          <w:tcPr>
            <w:tcW w:w="278" w:type="dxa"/>
            <w:shd w:val="clear" w:color="auto" w:fill="CFF0FC"/>
            <w:tcMar>
              <w:top w:w="15" w:type="dxa"/>
              <w:left w:w="0" w:type="dxa"/>
              <w:bottom w:w="0" w:type="dxa"/>
              <w:right w:w="15" w:type="dxa"/>
            </w:tcMar>
            <w:vAlign w:val="bottom"/>
            <w:hideMark/>
          </w:tcPr>
          <w:p w14:paraId="5BE379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40BC53E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14</w:t>
            </w:r>
          </w:p>
        </w:tc>
        <w:tc>
          <w:tcPr>
            <w:tcW w:w="278" w:type="dxa"/>
            <w:shd w:val="clear" w:color="auto" w:fill="CFF0FC"/>
            <w:tcMar>
              <w:top w:w="15" w:type="dxa"/>
              <w:left w:w="0" w:type="dxa"/>
              <w:bottom w:w="0" w:type="dxa"/>
              <w:right w:w="15" w:type="dxa"/>
            </w:tcMar>
            <w:vAlign w:val="bottom"/>
            <w:hideMark/>
          </w:tcPr>
          <w:p w14:paraId="13EC16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324DB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180A009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(73.0</w:t>
            </w:r>
          </w:p>
        </w:tc>
        <w:tc>
          <w:tcPr>
            <w:tcW w:w="191" w:type="dxa"/>
            <w:shd w:val="clear" w:color="auto" w:fill="CFF0FC"/>
            <w:noWrap/>
            <w:tcMar>
              <w:top w:w="15" w:type="dxa"/>
              <w:left w:w="0" w:type="dxa"/>
              <w:bottom w:w="0" w:type="dxa"/>
              <w:right w:w="15" w:type="dxa"/>
            </w:tcMar>
            <w:vAlign w:val="bottom"/>
            <w:hideMark/>
          </w:tcPr>
          <w:p w14:paraId="52C539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CFF0FC"/>
            <w:tcMar>
              <w:top w:w="15" w:type="dxa"/>
              <w:left w:w="0" w:type="dxa"/>
              <w:bottom w:w="0" w:type="dxa"/>
              <w:right w:w="15" w:type="dxa"/>
            </w:tcMar>
            <w:vAlign w:val="bottom"/>
            <w:hideMark/>
          </w:tcPr>
          <w:p w14:paraId="733081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6DFC8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720FDF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(69.5</w:t>
            </w:r>
          </w:p>
        </w:tc>
        <w:tc>
          <w:tcPr>
            <w:tcW w:w="191" w:type="dxa"/>
            <w:shd w:val="clear" w:color="auto" w:fill="CFF0FC"/>
            <w:noWrap/>
            <w:tcMar>
              <w:top w:w="15" w:type="dxa"/>
              <w:left w:w="0" w:type="dxa"/>
              <w:bottom w:w="0" w:type="dxa"/>
              <w:right w:w="15" w:type="dxa"/>
            </w:tcMar>
            <w:vAlign w:val="bottom"/>
            <w:hideMark/>
          </w:tcPr>
          <w:p w14:paraId="660EAF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CFF0FC"/>
            <w:tcMar>
              <w:top w:w="15" w:type="dxa"/>
              <w:left w:w="0" w:type="dxa"/>
              <w:bottom w:w="0" w:type="dxa"/>
              <w:right w:w="15" w:type="dxa"/>
            </w:tcMar>
            <w:vAlign w:val="bottom"/>
            <w:hideMark/>
          </w:tcPr>
          <w:p w14:paraId="5C6B41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9C0AC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0FA9785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(66.1</w:t>
            </w:r>
          </w:p>
        </w:tc>
        <w:tc>
          <w:tcPr>
            <w:tcW w:w="192" w:type="dxa"/>
            <w:shd w:val="clear" w:color="auto" w:fill="CFF0FC"/>
            <w:noWrap/>
            <w:tcMar>
              <w:top w:w="15" w:type="dxa"/>
              <w:left w:w="0" w:type="dxa"/>
              <w:bottom w:w="0" w:type="dxa"/>
              <w:right w:w="15" w:type="dxa"/>
            </w:tcMar>
            <w:vAlign w:val="bottom"/>
            <w:hideMark/>
          </w:tcPr>
          <w:p w14:paraId="737B76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D69929F" w14:textId="77777777" w:rsidTr="00AC4931">
        <w:tc>
          <w:tcPr>
            <w:tcW w:w="12098" w:type="dxa"/>
            <w:shd w:val="clear" w:color="auto" w:fill="FFFFFF"/>
            <w:tcMar>
              <w:top w:w="15" w:type="dxa"/>
              <w:left w:w="0" w:type="dxa"/>
              <w:bottom w:w="0" w:type="dxa"/>
              <w:right w:w="15" w:type="dxa"/>
            </w:tcMar>
            <w:hideMark/>
          </w:tcPr>
          <w:p w14:paraId="6157E7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non-operating items, net</w:t>
            </w:r>
          </w:p>
        </w:tc>
        <w:tc>
          <w:tcPr>
            <w:tcW w:w="278" w:type="dxa"/>
            <w:shd w:val="clear" w:color="auto" w:fill="FFFFFF"/>
            <w:tcMar>
              <w:top w:w="15" w:type="dxa"/>
              <w:left w:w="0" w:type="dxa"/>
              <w:bottom w:w="0" w:type="dxa"/>
              <w:right w:w="15" w:type="dxa"/>
            </w:tcMar>
            <w:vAlign w:val="bottom"/>
            <w:hideMark/>
          </w:tcPr>
          <w:p w14:paraId="0450CB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2AA5D56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36F98B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E6653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568BEE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(24.8</w:t>
            </w:r>
          </w:p>
        </w:tc>
        <w:tc>
          <w:tcPr>
            <w:tcW w:w="191" w:type="dxa"/>
            <w:shd w:val="clear" w:color="auto" w:fill="FFFFFF"/>
            <w:noWrap/>
            <w:tcMar>
              <w:top w:w="15" w:type="dxa"/>
              <w:left w:w="0" w:type="dxa"/>
              <w:bottom w:w="0" w:type="dxa"/>
              <w:right w:w="15" w:type="dxa"/>
            </w:tcMar>
            <w:vAlign w:val="bottom"/>
            <w:hideMark/>
          </w:tcPr>
          <w:p w14:paraId="513B90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FFFFFF"/>
            <w:tcMar>
              <w:top w:w="15" w:type="dxa"/>
              <w:left w:w="0" w:type="dxa"/>
              <w:bottom w:w="0" w:type="dxa"/>
              <w:right w:w="15" w:type="dxa"/>
            </w:tcMar>
            <w:vAlign w:val="bottom"/>
            <w:hideMark/>
          </w:tcPr>
          <w:p w14:paraId="7517EC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1D569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634ED8E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(13.5</w:t>
            </w:r>
          </w:p>
        </w:tc>
        <w:tc>
          <w:tcPr>
            <w:tcW w:w="191" w:type="dxa"/>
            <w:shd w:val="clear" w:color="auto" w:fill="FFFFFF"/>
            <w:noWrap/>
            <w:tcMar>
              <w:top w:w="15" w:type="dxa"/>
              <w:left w:w="0" w:type="dxa"/>
              <w:bottom w:w="0" w:type="dxa"/>
              <w:right w:w="15" w:type="dxa"/>
            </w:tcMar>
            <w:vAlign w:val="bottom"/>
            <w:hideMark/>
          </w:tcPr>
          <w:p w14:paraId="62E434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FFFFFF"/>
            <w:tcMar>
              <w:top w:w="15" w:type="dxa"/>
              <w:left w:w="0" w:type="dxa"/>
              <w:bottom w:w="0" w:type="dxa"/>
              <w:right w:w="15" w:type="dxa"/>
            </w:tcMar>
            <w:vAlign w:val="bottom"/>
            <w:hideMark/>
          </w:tcPr>
          <w:p w14:paraId="67C360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D5227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63CA64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(18.0</w:t>
            </w:r>
          </w:p>
        </w:tc>
        <w:tc>
          <w:tcPr>
            <w:tcW w:w="192" w:type="dxa"/>
            <w:shd w:val="clear" w:color="auto" w:fill="FFFFFF"/>
            <w:noWrap/>
            <w:tcMar>
              <w:top w:w="15" w:type="dxa"/>
              <w:left w:w="0" w:type="dxa"/>
              <w:bottom w:w="0" w:type="dxa"/>
              <w:right w:w="15" w:type="dxa"/>
            </w:tcMar>
            <w:vAlign w:val="bottom"/>
            <w:hideMark/>
          </w:tcPr>
          <w:p w14:paraId="66873E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41DFE18" w14:textId="77777777" w:rsidTr="00AC4931">
        <w:tc>
          <w:tcPr>
            <w:tcW w:w="12098" w:type="dxa"/>
            <w:shd w:val="clear" w:color="auto" w:fill="CFF0FC"/>
            <w:tcMar>
              <w:top w:w="15" w:type="dxa"/>
              <w:left w:w="0" w:type="dxa"/>
              <w:bottom w:w="0" w:type="dxa"/>
              <w:right w:w="15" w:type="dxa"/>
            </w:tcMar>
            <w:hideMark/>
          </w:tcPr>
          <w:p w14:paraId="062AE02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Income from continuing operations before income taxes</w:t>
            </w:r>
          </w:p>
        </w:tc>
        <w:tc>
          <w:tcPr>
            <w:tcW w:w="278" w:type="dxa"/>
            <w:shd w:val="clear" w:color="auto" w:fill="CFF0FC"/>
            <w:tcMar>
              <w:top w:w="15" w:type="dxa"/>
              <w:left w:w="0" w:type="dxa"/>
              <w:bottom w:w="0" w:type="dxa"/>
              <w:right w:w="15" w:type="dxa"/>
            </w:tcMar>
            <w:vAlign w:val="bottom"/>
            <w:hideMark/>
          </w:tcPr>
          <w:p w14:paraId="35E57A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3F9F2DA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8A69F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B3A4C0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56846AF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291.2</w:t>
            </w:r>
          </w:p>
        </w:tc>
        <w:tc>
          <w:tcPr>
            <w:tcW w:w="191" w:type="dxa"/>
            <w:shd w:val="clear" w:color="auto" w:fill="CFF0FC"/>
            <w:noWrap/>
            <w:tcMar>
              <w:top w:w="15" w:type="dxa"/>
              <w:left w:w="0" w:type="dxa"/>
              <w:bottom w:w="0" w:type="dxa"/>
              <w:right w:w="15" w:type="dxa"/>
            </w:tcMar>
            <w:vAlign w:val="bottom"/>
            <w:hideMark/>
          </w:tcPr>
          <w:p w14:paraId="310829D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213A327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0ADCCE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369A881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648.4</w:t>
            </w:r>
          </w:p>
        </w:tc>
        <w:tc>
          <w:tcPr>
            <w:tcW w:w="191" w:type="dxa"/>
            <w:shd w:val="clear" w:color="auto" w:fill="CFF0FC"/>
            <w:noWrap/>
            <w:tcMar>
              <w:top w:w="15" w:type="dxa"/>
              <w:left w:w="0" w:type="dxa"/>
              <w:bottom w:w="0" w:type="dxa"/>
              <w:right w:w="15" w:type="dxa"/>
            </w:tcMar>
            <w:vAlign w:val="bottom"/>
            <w:hideMark/>
          </w:tcPr>
          <w:p w14:paraId="6162DF5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291E43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906CEC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6536C08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612.4</w:t>
            </w:r>
          </w:p>
        </w:tc>
        <w:tc>
          <w:tcPr>
            <w:tcW w:w="192" w:type="dxa"/>
            <w:shd w:val="clear" w:color="auto" w:fill="CFF0FC"/>
            <w:noWrap/>
            <w:tcMar>
              <w:top w:w="15" w:type="dxa"/>
              <w:left w:w="0" w:type="dxa"/>
              <w:bottom w:w="0" w:type="dxa"/>
              <w:right w:w="15" w:type="dxa"/>
            </w:tcMar>
            <w:vAlign w:val="bottom"/>
            <w:hideMark/>
          </w:tcPr>
          <w:p w14:paraId="0084723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5E0DE03A" w14:textId="77777777" w:rsidTr="00AC4931">
        <w:tc>
          <w:tcPr>
            <w:tcW w:w="12098" w:type="dxa"/>
            <w:shd w:val="clear" w:color="auto" w:fill="FFFFFF"/>
            <w:tcMar>
              <w:top w:w="15" w:type="dxa"/>
              <w:left w:w="0" w:type="dxa"/>
              <w:bottom w:w="0" w:type="dxa"/>
              <w:right w:w="15" w:type="dxa"/>
            </w:tcMar>
            <w:hideMark/>
          </w:tcPr>
          <w:p w14:paraId="3DA9CA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tax expense</w:t>
            </w:r>
          </w:p>
        </w:tc>
        <w:tc>
          <w:tcPr>
            <w:tcW w:w="278" w:type="dxa"/>
            <w:shd w:val="clear" w:color="auto" w:fill="FFFFFF"/>
            <w:tcMar>
              <w:top w:w="15" w:type="dxa"/>
              <w:left w:w="0" w:type="dxa"/>
              <w:bottom w:w="0" w:type="dxa"/>
              <w:right w:w="15" w:type="dxa"/>
            </w:tcMar>
            <w:vAlign w:val="bottom"/>
            <w:hideMark/>
          </w:tcPr>
          <w:p w14:paraId="35C364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23F3BC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6</w:t>
            </w:r>
          </w:p>
        </w:tc>
        <w:tc>
          <w:tcPr>
            <w:tcW w:w="278" w:type="dxa"/>
            <w:shd w:val="clear" w:color="auto" w:fill="FFFFFF"/>
            <w:tcMar>
              <w:top w:w="15" w:type="dxa"/>
              <w:left w:w="0" w:type="dxa"/>
              <w:bottom w:w="0" w:type="dxa"/>
              <w:right w:w="15" w:type="dxa"/>
            </w:tcMar>
            <w:vAlign w:val="bottom"/>
            <w:hideMark/>
          </w:tcPr>
          <w:p w14:paraId="588C81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15526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5AA4550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(102.9</w:t>
            </w:r>
          </w:p>
        </w:tc>
        <w:tc>
          <w:tcPr>
            <w:tcW w:w="191" w:type="dxa"/>
            <w:shd w:val="clear" w:color="auto" w:fill="FFFFFF"/>
            <w:noWrap/>
            <w:tcMar>
              <w:top w:w="15" w:type="dxa"/>
              <w:left w:w="0" w:type="dxa"/>
              <w:bottom w:w="0" w:type="dxa"/>
              <w:right w:w="15" w:type="dxa"/>
            </w:tcMar>
            <w:vAlign w:val="bottom"/>
            <w:hideMark/>
          </w:tcPr>
          <w:p w14:paraId="6D5F62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FFFFFF"/>
            <w:tcMar>
              <w:top w:w="15" w:type="dxa"/>
              <w:left w:w="0" w:type="dxa"/>
              <w:bottom w:w="0" w:type="dxa"/>
              <w:right w:w="15" w:type="dxa"/>
            </w:tcMar>
            <w:vAlign w:val="bottom"/>
            <w:hideMark/>
          </w:tcPr>
          <w:p w14:paraId="7F4F20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9A642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1A58C3F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(185.6</w:t>
            </w:r>
          </w:p>
        </w:tc>
        <w:tc>
          <w:tcPr>
            <w:tcW w:w="191" w:type="dxa"/>
            <w:shd w:val="clear" w:color="auto" w:fill="FFFFFF"/>
            <w:noWrap/>
            <w:tcMar>
              <w:top w:w="15" w:type="dxa"/>
              <w:left w:w="0" w:type="dxa"/>
              <w:bottom w:w="0" w:type="dxa"/>
              <w:right w:w="15" w:type="dxa"/>
            </w:tcMar>
            <w:vAlign w:val="bottom"/>
            <w:hideMark/>
          </w:tcPr>
          <w:p w14:paraId="5A636B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78" w:type="dxa"/>
            <w:shd w:val="clear" w:color="auto" w:fill="FFFFFF"/>
            <w:tcMar>
              <w:top w:w="15" w:type="dxa"/>
              <w:left w:w="0" w:type="dxa"/>
              <w:bottom w:w="0" w:type="dxa"/>
              <w:right w:w="15" w:type="dxa"/>
            </w:tcMar>
            <w:vAlign w:val="bottom"/>
            <w:hideMark/>
          </w:tcPr>
          <w:p w14:paraId="332FFA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2A047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69F5729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(234.9</w:t>
            </w:r>
          </w:p>
        </w:tc>
        <w:tc>
          <w:tcPr>
            <w:tcW w:w="192" w:type="dxa"/>
            <w:shd w:val="clear" w:color="auto" w:fill="FFFFFF"/>
            <w:noWrap/>
            <w:tcMar>
              <w:top w:w="15" w:type="dxa"/>
              <w:left w:w="0" w:type="dxa"/>
              <w:bottom w:w="0" w:type="dxa"/>
              <w:right w:w="15" w:type="dxa"/>
            </w:tcMar>
            <w:vAlign w:val="bottom"/>
            <w:hideMark/>
          </w:tcPr>
          <w:p w14:paraId="083B17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3DB9927" w14:textId="77777777" w:rsidTr="00AC4931">
        <w:tc>
          <w:tcPr>
            <w:tcW w:w="12098" w:type="dxa"/>
            <w:shd w:val="clear" w:color="auto" w:fill="CFF0FC"/>
            <w:tcMar>
              <w:top w:w="15" w:type="dxa"/>
              <w:left w:w="0" w:type="dxa"/>
              <w:bottom w:w="0" w:type="dxa"/>
              <w:right w:w="15" w:type="dxa"/>
            </w:tcMar>
            <w:hideMark/>
          </w:tcPr>
          <w:p w14:paraId="5560047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Income from continuing operations</w:t>
            </w:r>
          </w:p>
        </w:tc>
        <w:tc>
          <w:tcPr>
            <w:tcW w:w="278" w:type="dxa"/>
            <w:shd w:val="clear" w:color="auto" w:fill="CFF0FC"/>
            <w:tcMar>
              <w:top w:w="15" w:type="dxa"/>
              <w:left w:w="0" w:type="dxa"/>
              <w:bottom w:w="0" w:type="dxa"/>
              <w:right w:w="15" w:type="dxa"/>
            </w:tcMar>
            <w:vAlign w:val="bottom"/>
            <w:hideMark/>
          </w:tcPr>
          <w:p w14:paraId="5F97F2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63340F8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F44AF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905B6B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1B40A9C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188.3</w:t>
            </w:r>
          </w:p>
        </w:tc>
        <w:tc>
          <w:tcPr>
            <w:tcW w:w="191" w:type="dxa"/>
            <w:shd w:val="clear" w:color="auto" w:fill="CFF0FC"/>
            <w:noWrap/>
            <w:tcMar>
              <w:top w:w="15" w:type="dxa"/>
              <w:left w:w="0" w:type="dxa"/>
              <w:bottom w:w="0" w:type="dxa"/>
              <w:right w:w="15" w:type="dxa"/>
            </w:tcMar>
            <w:vAlign w:val="bottom"/>
            <w:hideMark/>
          </w:tcPr>
          <w:p w14:paraId="1ABF3DA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35ADB0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351320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3CF8BE9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462.8</w:t>
            </w:r>
          </w:p>
        </w:tc>
        <w:tc>
          <w:tcPr>
            <w:tcW w:w="191" w:type="dxa"/>
            <w:shd w:val="clear" w:color="auto" w:fill="CFF0FC"/>
            <w:noWrap/>
            <w:tcMar>
              <w:top w:w="15" w:type="dxa"/>
              <w:left w:w="0" w:type="dxa"/>
              <w:bottom w:w="0" w:type="dxa"/>
              <w:right w:w="15" w:type="dxa"/>
            </w:tcMar>
            <w:vAlign w:val="bottom"/>
            <w:hideMark/>
          </w:tcPr>
          <w:p w14:paraId="2DB35E8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53D13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317001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446B6DC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377.5</w:t>
            </w:r>
          </w:p>
        </w:tc>
        <w:tc>
          <w:tcPr>
            <w:tcW w:w="192" w:type="dxa"/>
            <w:shd w:val="clear" w:color="auto" w:fill="CFF0FC"/>
            <w:noWrap/>
            <w:tcMar>
              <w:top w:w="15" w:type="dxa"/>
              <w:left w:w="0" w:type="dxa"/>
              <w:bottom w:w="0" w:type="dxa"/>
              <w:right w:w="15" w:type="dxa"/>
            </w:tcMar>
            <w:vAlign w:val="bottom"/>
            <w:hideMark/>
          </w:tcPr>
          <w:p w14:paraId="685EB1E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6A501548" w14:textId="77777777" w:rsidTr="00AC4931">
        <w:tc>
          <w:tcPr>
            <w:tcW w:w="12098" w:type="dxa"/>
            <w:shd w:val="clear" w:color="auto" w:fill="FFFFFF"/>
            <w:tcMar>
              <w:top w:w="15" w:type="dxa"/>
              <w:left w:w="0" w:type="dxa"/>
              <w:bottom w:w="0" w:type="dxa"/>
              <w:right w:w="15" w:type="dxa"/>
            </w:tcMar>
            <w:hideMark/>
          </w:tcPr>
          <w:p w14:paraId="6A8F23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Loss from discontinued operations, net of income taxes</w:t>
            </w:r>
          </w:p>
        </w:tc>
        <w:tc>
          <w:tcPr>
            <w:tcW w:w="278" w:type="dxa"/>
            <w:shd w:val="clear" w:color="auto" w:fill="FFFFFF"/>
            <w:tcMar>
              <w:top w:w="15" w:type="dxa"/>
              <w:left w:w="0" w:type="dxa"/>
              <w:bottom w:w="0" w:type="dxa"/>
              <w:right w:w="15" w:type="dxa"/>
            </w:tcMar>
            <w:vAlign w:val="bottom"/>
            <w:hideMark/>
          </w:tcPr>
          <w:p w14:paraId="104E86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2F974D6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3</w:t>
            </w:r>
          </w:p>
        </w:tc>
        <w:tc>
          <w:tcPr>
            <w:tcW w:w="278" w:type="dxa"/>
            <w:shd w:val="clear" w:color="auto" w:fill="FFFFFF"/>
            <w:tcMar>
              <w:top w:w="15" w:type="dxa"/>
              <w:left w:w="0" w:type="dxa"/>
              <w:bottom w:w="0" w:type="dxa"/>
              <w:right w:w="15" w:type="dxa"/>
            </w:tcMar>
            <w:vAlign w:val="bottom"/>
            <w:hideMark/>
          </w:tcPr>
          <w:p w14:paraId="5A805E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9AF79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2BC405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1A0C0E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5B84C4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F63BA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7FFECAD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6CB82A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704C7B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11AE0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3F242CF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(193.8</w:t>
            </w:r>
          </w:p>
        </w:tc>
        <w:tc>
          <w:tcPr>
            <w:tcW w:w="192" w:type="dxa"/>
            <w:shd w:val="clear" w:color="auto" w:fill="FFFFFF"/>
            <w:noWrap/>
            <w:tcMar>
              <w:top w:w="15" w:type="dxa"/>
              <w:left w:w="0" w:type="dxa"/>
              <w:bottom w:w="0" w:type="dxa"/>
              <w:right w:w="15" w:type="dxa"/>
            </w:tcMar>
            <w:vAlign w:val="bottom"/>
            <w:hideMark/>
          </w:tcPr>
          <w:p w14:paraId="69DD4F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A3011B6" w14:textId="77777777" w:rsidTr="00AC4931">
        <w:tc>
          <w:tcPr>
            <w:tcW w:w="12098" w:type="dxa"/>
            <w:shd w:val="clear" w:color="auto" w:fill="CFF0FC"/>
            <w:tcMar>
              <w:top w:w="15" w:type="dxa"/>
              <w:left w:w="0" w:type="dxa"/>
              <w:bottom w:w="0" w:type="dxa"/>
              <w:right w:w="15" w:type="dxa"/>
            </w:tcMar>
            <w:hideMark/>
          </w:tcPr>
          <w:p w14:paraId="1D4D515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income</w:t>
            </w:r>
          </w:p>
        </w:tc>
        <w:tc>
          <w:tcPr>
            <w:tcW w:w="278" w:type="dxa"/>
            <w:shd w:val="clear" w:color="auto" w:fill="CFF0FC"/>
            <w:tcMar>
              <w:top w:w="15" w:type="dxa"/>
              <w:left w:w="0" w:type="dxa"/>
              <w:bottom w:w="0" w:type="dxa"/>
              <w:right w:w="15" w:type="dxa"/>
            </w:tcMar>
            <w:vAlign w:val="bottom"/>
            <w:hideMark/>
          </w:tcPr>
          <w:p w14:paraId="3A3706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6C133C0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38F37E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0370BD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0ACE188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188.3</w:t>
            </w:r>
          </w:p>
        </w:tc>
        <w:tc>
          <w:tcPr>
            <w:tcW w:w="191" w:type="dxa"/>
            <w:shd w:val="clear" w:color="auto" w:fill="CFF0FC"/>
            <w:noWrap/>
            <w:tcMar>
              <w:top w:w="15" w:type="dxa"/>
              <w:left w:w="0" w:type="dxa"/>
              <w:bottom w:w="0" w:type="dxa"/>
              <w:right w:w="15" w:type="dxa"/>
            </w:tcMar>
            <w:vAlign w:val="bottom"/>
            <w:hideMark/>
          </w:tcPr>
          <w:p w14:paraId="1F8F388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4784B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60244C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40167A8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462.8</w:t>
            </w:r>
          </w:p>
        </w:tc>
        <w:tc>
          <w:tcPr>
            <w:tcW w:w="191" w:type="dxa"/>
            <w:shd w:val="clear" w:color="auto" w:fill="CFF0FC"/>
            <w:noWrap/>
            <w:tcMar>
              <w:top w:w="15" w:type="dxa"/>
              <w:left w:w="0" w:type="dxa"/>
              <w:bottom w:w="0" w:type="dxa"/>
              <w:right w:w="15" w:type="dxa"/>
            </w:tcMar>
            <w:vAlign w:val="bottom"/>
            <w:hideMark/>
          </w:tcPr>
          <w:p w14:paraId="3967C29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CA11F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C41787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66B8463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183.7</w:t>
            </w:r>
          </w:p>
        </w:tc>
        <w:tc>
          <w:tcPr>
            <w:tcW w:w="192" w:type="dxa"/>
            <w:shd w:val="clear" w:color="auto" w:fill="CFF0FC"/>
            <w:noWrap/>
            <w:tcMar>
              <w:top w:w="15" w:type="dxa"/>
              <w:left w:w="0" w:type="dxa"/>
              <w:bottom w:w="0" w:type="dxa"/>
              <w:right w:w="15" w:type="dxa"/>
            </w:tcMar>
            <w:vAlign w:val="bottom"/>
            <w:hideMark/>
          </w:tcPr>
          <w:p w14:paraId="4669F6D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1BCA7B2D" w14:textId="77777777" w:rsidTr="00AC4931">
        <w:tc>
          <w:tcPr>
            <w:tcW w:w="12098" w:type="dxa"/>
            <w:shd w:val="clear" w:color="auto" w:fill="FFFFFF"/>
            <w:tcMar>
              <w:top w:w="15" w:type="dxa"/>
              <w:left w:w="0" w:type="dxa"/>
              <w:bottom w:w="0" w:type="dxa"/>
              <w:right w:w="15" w:type="dxa"/>
            </w:tcMar>
            <w:hideMark/>
          </w:tcPr>
          <w:p w14:paraId="512471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Less: Net income from continuing operations attributable to</w:t>
            </w:r>
          </w:p>
          <w:p w14:paraId="7E1E25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non-controlling interest</w:t>
            </w:r>
          </w:p>
        </w:tc>
        <w:tc>
          <w:tcPr>
            <w:tcW w:w="278" w:type="dxa"/>
            <w:shd w:val="clear" w:color="auto" w:fill="FFFFFF"/>
            <w:tcMar>
              <w:top w:w="15" w:type="dxa"/>
              <w:left w:w="0" w:type="dxa"/>
              <w:bottom w:w="0" w:type="dxa"/>
              <w:right w:w="15" w:type="dxa"/>
            </w:tcMar>
            <w:vAlign w:val="bottom"/>
            <w:hideMark/>
          </w:tcPr>
          <w:p w14:paraId="659DE1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74D1670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206972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86A8E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7AE5772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w:t>
            </w:r>
          </w:p>
        </w:tc>
        <w:tc>
          <w:tcPr>
            <w:tcW w:w="191" w:type="dxa"/>
            <w:shd w:val="clear" w:color="auto" w:fill="FFFFFF"/>
            <w:noWrap/>
            <w:tcMar>
              <w:top w:w="15" w:type="dxa"/>
              <w:left w:w="0" w:type="dxa"/>
              <w:bottom w:w="0" w:type="dxa"/>
              <w:right w:w="15" w:type="dxa"/>
            </w:tcMar>
            <w:vAlign w:val="bottom"/>
            <w:hideMark/>
          </w:tcPr>
          <w:p w14:paraId="501A0C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125607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96FDE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23A8FFF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w:t>
            </w:r>
          </w:p>
        </w:tc>
        <w:tc>
          <w:tcPr>
            <w:tcW w:w="191" w:type="dxa"/>
            <w:shd w:val="clear" w:color="auto" w:fill="FFFFFF"/>
            <w:noWrap/>
            <w:tcMar>
              <w:top w:w="15" w:type="dxa"/>
              <w:left w:w="0" w:type="dxa"/>
              <w:bottom w:w="0" w:type="dxa"/>
              <w:right w:w="15" w:type="dxa"/>
            </w:tcMar>
            <w:vAlign w:val="bottom"/>
            <w:hideMark/>
          </w:tcPr>
          <w:p w14:paraId="256F68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3DFFB6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609E0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13F7C7E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w:t>
            </w:r>
          </w:p>
        </w:tc>
        <w:tc>
          <w:tcPr>
            <w:tcW w:w="192" w:type="dxa"/>
            <w:shd w:val="clear" w:color="auto" w:fill="FFFFFF"/>
            <w:noWrap/>
            <w:tcMar>
              <w:top w:w="15" w:type="dxa"/>
              <w:left w:w="0" w:type="dxa"/>
              <w:bottom w:w="0" w:type="dxa"/>
              <w:right w:w="15" w:type="dxa"/>
            </w:tcMar>
            <w:vAlign w:val="bottom"/>
            <w:hideMark/>
          </w:tcPr>
          <w:p w14:paraId="23BCC4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3B3271F" w14:textId="77777777" w:rsidTr="00AC4931">
        <w:tc>
          <w:tcPr>
            <w:tcW w:w="12098" w:type="dxa"/>
            <w:shd w:val="clear" w:color="auto" w:fill="CFF0FC"/>
            <w:tcMar>
              <w:top w:w="15" w:type="dxa"/>
              <w:left w:w="0" w:type="dxa"/>
              <w:bottom w:w="0" w:type="dxa"/>
              <w:right w:w="15" w:type="dxa"/>
            </w:tcMar>
            <w:hideMark/>
          </w:tcPr>
          <w:p w14:paraId="41E434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Less: Net loss from discontinued operations attributable to</w:t>
            </w:r>
          </w:p>
          <w:p w14:paraId="6AC5CE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non-controlling interest</w:t>
            </w:r>
          </w:p>
        </w:tc>
        <w:tc>
          <w:tcPr>
            <w:tcW w:w="278" w:type="dxa"/>
            <w:shd w:val="clear" w:color="auto" w:fill="CFF0FC"/>
            <w:tcMar>
              <w:top w:w="15" w:type="dxa"/>
              <w:left w:w="0" w:type="dxa"/>
              <w:bottom w:w="0" w:type="dxa"/>
              <w:right w:w="15" w:type="dxa"/>
            </w:tcMar>
            <w:vAlign w:val="bottom"/>
            <w:hideMark/>
          </w:tcPr>
          <w:p w14:paraId="417EB6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352EBD9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D2CB0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67B62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1678363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1CC3AB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1986D7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500CD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6AEB86D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68A143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0DA815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45023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1178994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(8.3</w:t>
            </w:r>
          </w:p>
        </w:tc>
        <w:tc>
          <w:tcPr>
            <w:tcW w:w="192" w:type="dxa"/>
            <w:shd w:val="clear" w:color="auto" w:fill="CFF0FC"/>
            <w:noWrap/>
            <w:tcMar>
              <w:top w:w="15" w:type="dxa"/>
              <w:left w:w="0" w:type="dxa"/>
              <w:bottom w:w="0" w:type="dxa"/>
              <w:right w:w="15" w:type="dxa"/>
            </w:tcMar>
            <w:vAlign w:val="bottom"/>
            <w:hideMark/>
          </w:tcPr>
          <w:p w14:paraId="5A9CFD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D080E66" w14:textId="77777777" w:rsidTr="00AC4931">
        <w:tc>
          <w:tcPr>
            <w:tcW w:w="12098" w:type="dxa"/>
            <w:shd w:val="clear" w:color="auto" w:fill="FFFFFF"/>
            <w:tcMar>
              <w:top w:w="15" w:type="dxa"/>
              <w:left w:w="0" w:type="dxa"/>
              <w:bottom w:w="0" w:type="dxa"/>
              <w:right w:w="15" w:type="dxa"/>
            </w:tcMar>
            <w:hideMark/>
          </w:tcPr>
          <w:p w14:paraId="1AF0B90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income attributable to controlling interest</w:t>
            </w:r>
          </w:p>
        </w:tc>
        <w:tc>
          <w:tcPr>
            <w:tcW w:w="278" w:type="dxa"/>
            <w:shd w:val="clear" w:color="auto" w:fill="FFFFFF"/>
            <w:tcMar>
              <w:top w:w="15" w:type="dxa"/>
              <w:left w:w="0" w:type="dxa"/>
              <w:bottom w:w="0" w:type="dxa"/>
              <w:right w:w="15" w:type="dxa"/>
            </w:tcMar>
            <w:vAlign w:val="bottom"/>
            <w:hideMark/>
          </w:tcPr>
          <w:p w14:paraId="1FF67F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4E819D8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5D8536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5A870E5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FFFFFF"/>
            <w:noWrap/>
            <w:tcMar>
              <w:top w:w="15" w:type="dxa"/>
              <w:left w:w="0" w:type="dxa"/>
              <w:bottom w:w="0" w:type="dxa"/>
              <w:right w:w="15" w:type="dxa"/>
            </w:tcMar>
            <w:vAlign w:val="bottom"/>
            <w:hideMark/>
          </w:tcPr>
          <w:p w14:paraId="0A3E897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186.9</w:t>
            </w:r>
          </w:p>
        </w:tc>
        <w:tc>
          <w:tcPr>
            <w:tcW w:w="191" w:type="dxa"/>
            <w:shd w:val="clear" w:color="auto" w:fill="FFFFFF"/>
            <w:noWrap/>
            <w:tcMar>
              <w:top w:w="15" w:type="dxa"/>
              <w:left w:w="0" w:type="dxa"/>
              <w:bottom w:w="0" w:type="dxa"/>
              <w:right w:w="15" w:type="dxa"/>
            </w:tcMar>
            <w:vAlign w:val="bottom"/>
            <w:hideMark/>
          </w:tcPr>
          <w:p w14:paraId="1C2C238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645B93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82C508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FFFFFF"/>
            <w:noWrap/>
            <w:tcMar>
              <w:top w:w="15" w:type="dxa"/>
              <w:left w:w="0" w:type="dxa"/>
              <w:bottom w:w="0" w:type="dxa"/>
              <w:right w:w="15" w:type="dxa"/>
            </w:tcMar>
            <w:vAlign w:val="bottom"/>
            <w:hideMark/>
          </w:tcPr>
          <w:p w14:paraId="471AC5F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461.5</w:t>
            </w:r>
          </w:p>
        </w:tc>
        <w:tc>
          <w:tcPr>
            <w:tcW w:w="191" w:type="dxa"/>
            <w:shd w:val="clear" w:color="auto" w:fill="FFFFFF"/>
            <w:noWrap/>
            <w:tcMar>
              <w:top w:w="15" w:type="dxa"/>
              <w:left w:w="0" w:type="dxa"/>
              <w:bottom w:w="0" w:type="dxa"/>
              <w:right w:w="15" w:type="dxa"/>
            </w:tcMar>
            <w:vAlign w:val="bottom"/>
            <w:hideMark/>
          </w:tcPr>
          <w:p w14:paraId="6929EDB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0891AD4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57B017F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FFFFFF"/>
            <w:noWrap/>
            <w:tcMar>
              <w:top w:w="15" w:type="dxa"/>
              <w:left w:w="0" w:type="dxa"/>
              <w:bottom w:w="0" w:type="dxa"/>
              <w:right w:w="15" w:type="dxa"/>
            </w:tcMar>
            <w:vAlign w:val="bottom"/>
            <w:hideMark/>
          </w:tcPr>
          <w:p w14:paraId="19941C8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190.4</w:t>
            </w:r>
          </w:p>
        </w:tc>
        <w:tc>
          <w:tcPr>
            <w:tcW w:w="192" w:type="dxa"/>
            <w:shd w:val="clear" w:color="auto" w:fill="FFFFFF"/>
            <w:noWrap/>
            <w:tcMar>
              <w:top w:w="15" w:type="dxa"/>
              <w:left w:w="0" w:type="dxa"/>
              <w:bottom w:w="0" w:type="dxa"/>
              <w:right w:w="15" w:type="dxa"/>
            </w:tcMar>
            <w:vAlign w:val="bottom"/>
            <w:hideMark/>
          </w:tcPr>
          <w:p w14:paraId="6217FB1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3E4FD294" w14:textId="77777777" w:rsidTr="00AC4931">
        <w:tc>
          <w:tcPr>
            <w:tcW w:w="12098" w:type="dxa"/>
            <w:shd w:val="clear" w:color="auto" w:fill="CFF0FC"/>
            <w:tcMar>
              <w:top w:w="15" w:type="dxa"/>
              <w:left w:w="0" w:type="dxa"/>
              <w:bottom w:w="0" w:type="dxa"/>
              <w:right w:w="15" w:type="dxa"/>
            </w:tcMar>
            <w:hideMark/>
          </w:tcPr>
          <w:p w14:paraId="491D3A9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015E97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24F5CD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04CC74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2A749A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56C10C0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6F6686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760F23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DD21D0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40AF5CB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283EE6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3A5CF7A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B95712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4F2384F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20B0EBB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792B0219" w14:textId="77777777" w:rsidTr="00AC4931">
        <w:tc>
          <w:tcPr>
            <w:tcW w:w="12098" w:type="dxa"/>
            <w:shd w:val="clear" w:color="auto" w:fill="FFFFFF"/>
            <w:tcMar>
              <w:top w:w="15" w:type="dxa"/>
              <w:left w:w="0" w:type="dxa"/>
              <w:bottom w:w="0" w:type="dxa"/>
              <w:right w:w="15" w:type="dxa"/>
            </w:tcMar>
            <w:hideMark/>
          </w:tcPr>
          <w:p w14:paraId="174E3E5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Amounts attributable to controlling interest:</w:t>
            </w:r>
          </w:p>
        </w:tc>
        <w:tc>
          <w:tcPr>
            <w:tcW w:w="278" w:type="dxa"/>
            <w:shd w:val="clear" w:color="auto" w:fill="FFFFFF"/>
            <w:tcMar>
              <w:top w:w="15" w:type="dxa"/>
              <w:left w:w="0" w:type="dxa"/>
              <w:bottom w:w="0" w:type="dxa"/>
              <w:right w:w="15" w:type="dxa"/>
            </w:tcMar>
            <w:vAlign w:val="bottom"/>
            <w:hideMark/>
          </w:tcPr>
          <w:p w14:paraId="2FBABA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2986C0A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319A67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B82156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187C2A8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E7908A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344F1A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9C72CF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4913CF0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7FAF3B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1164DD6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58F2A3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4053396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53CCF6F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5354F622" w14:textId="77777777" w:rsidTr="00AC4931">
        <w:tc>
          <w:tcPr>
            <w:tcW w:w="12098" w:type="dxa"/>
            <w:shd w:val="clear" w:color="auto" w:fill="CFF0FC"/>
            <w:tcMar>
              <w:top w:w="15" w:type="dxa"/>
              <w:left w:w="0" w:type="dxa"/>
              <w:bottom w:w="0" w:type="dxa"/>
              <w:right w:w="15" w:type="dxa"/>
            </w:tcMar>
            <w:hideMark/>
          </w:tcPr>
          <w:p w14:paraId="01FC64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 from continuing operations</w:t>
            </w:r>
          </w:p>
        </w:tc>
        <w:tc>
          <w:tcPr>
            <w:tcW w:w="278" w:type="dxa"/>
            <w:shd w:val="clear" w:color="auto" w:fill="CFF0FC"/>
            <w:tcMar>
              <w:top w:w="15" w:type="dxa"/>
              <w:left w:w="0" w:type="dxa"/>
              <w:bottom w:w="0" w:type="dxa"/>
              <w:right w:w="15" w:type="dxa"/>
            </w:tcMar>
            <w:vAlign w:val="bottom"/>
            <w:hideMark/>
          </w:tcPr>
          <w:p w14:paraId="4AB7DA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0A4409C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6F38EB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5B9A6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6E3296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186.9</w:t>
            </w:r>
          </w:p>
        </w:tc>
        <w:tc>
          <w:tcPr>
            <w:tcW w:w="191" w:type="dxa"/>
            <w:shd w:val="clear" w:color="auto" w:fill="CFF0FC"/>
            <w:noWrap/>
            <w:tcMar>
              <w:top w:w="15" w:type="dxa"/>
              <w:left w:w="0" w:type="dxa"/>
              <w:bottom w:w="0" w:type="dxa"/>
              <w:right w:w="15" w:type="dxa"/>
            </w:tcMar>
            <w:vAlign w:val="bottom"/>
            <w:hideMark/>
          </w:tcPr>
          <w:p w14:paraId="25D457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E2C3C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21CFD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0D358AB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461.5</w:t>
            </w:r>
          </w:p>
        </w:tc>
        <w:tc>
          <w:tcPr>
            <w:tcW w:w="191" w:type="dxa"/>
            <w:shd w:val="clear" w:color="auto" w:fill="CFF0FC"/>
            <w:noWrap/>
            <w:tcMar>
              <w:top w:w="15" w:type="dxa"/>
              <w:left w:w="0" w:type="dxa"/>
              <w:bottom w:w="0" w:type="dxa"/>
              <w:right w:w="15" w:type="dxa"/>
            </w:tcMar>
            <w:vAlign w:val="bottom"/>
            <w:hideMark/>
          </w:tcPr>
          <w:p w14:paraId="5A1659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267296F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516B4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2317C83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375.9</w:t>
            </w:r>
          </w:p>
        </w:tc>
        <w:tc>
          <w:tcPr>
            <w:tcW w:w="192" w:type="dxa"/>
            <w:shd w:val="clear" w:color="auto" w:fill="CFF0FC"/>
            <w:noWrap/>
            <w:tcMar>
              <w:top w:w="15" w:type="dxa"/>
              <w:left w:w="0" w:type="dxa"/>
              <w:bottom w:w="0" w:type="dxa"/>
              <w:right w:w="15" w:type="dxa"/>
            </w:tcMar>
            <w:vAlign w:val="bottom"/>
            <w:hideMark/>
          </w:tcPr>
          <w:p w14:paraId="626838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E939D38" w14:textId="77777777" w:rsidTr="00AC4931">
        <w:tc>
          <w:tcPr>
            <w:tcW w:w="12098" w:type="dxa"/>
            <w:shd w:val="clear" w:color="auto" w:fill="FFFFFF"/>
            <w:tcMar>
              <w:top w:w="15" w:type="dxa"/>
              <w:left w:w="0" w:type="dxa"/>
              <w:bottom w:w="0" w:type="dxa"/>
              <w:right w:w="15" w:type="dxa"/>
            </w:tcMar>
            <w:hideMark/>
          </w:tcPr>
          <w:p w14:paraId="7D7369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loss from discontinued operations</w:t>
            </w:r>
          </w:p>
        </w:tc>
        <w:tc>
          <w:tcPr>
            <w:tcW w:w="278" w:type="dxa"/>
            <w:shd w:val="clear" w:color="auto" w:fill="FFFFFF"/>
            <w:tcMar>
              <w:top w:w="15" w:type="dxa"/>
              <w:left w:w="0" w:type="dxa"/>
              <w:bottom w:w="0" w:type="dxa"/>
              <w:right w:w="15" w:type="dxa"/>
            </w:tcMar>
            <w:vAlign w:val="bottom"/>
            <w:hideMark/>
          </w:tcPr>
          <w:p w14:paraId="4FB22D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017990E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2FB969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72377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269F2EF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43DA35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2545C2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0347C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788A83D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74F062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4505E55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E3CA6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47CE6EE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(185.5</w:t>
            </w:r>
          </w:p>
        </w:tc>
        <w:tc>
          <w:tcPr>
            <w:tcW w:w="192" w:type="dxa"/>
            <w:shd w:val="clear" w:color="auto" w:fill="FFFFFF"/>
            <w:noWrap/>
            <w:tcMar>
              <w:top w:w="15" w:type="dxa"/>
              <w:left w:w="0" w:type="dxa"/>
              <w:bottom w:w="0" w:type="dxa"/>
              <w:right w:w="15" w:type="dxa"/>
            </w:tcMar>
            <w:vAlign w:val="bottom"/>
            <w:hideMark/>
          </w:tcPr>
          <w:p w14:paraId="55815B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6AB7281" w14:textId="77777777" w:rsidTr="00AC4931">
        <w:tc>
          <w:tcPr>
            <w:tcW w:w="12098" w:type="dxa"/>
            <w:shd w:val="clear" w:color="auto" w:fill="CFF0FC"/>
            <w:tcMar>
              <w:top w:w="15" w:type="dxa"/>
              <w:left w:w="0" w:type="dxa"/>
              <w:bottom w:w="0" w:type="dxa"/>
              <w:right w:w="15" w:type="dxa"/>
            </w:tcMar>
            <w:hideMark/>
          </w:tcPr>
          <w:p w14:paraId="60035F4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income attributable to controlling interest</w:t>
            </w:r>
          </w:p>
        </w:tc>
        <w:tc>
          <w:tcPr>
            <w:tcW w:w="278" w:type="dxa"/>
            <w:shd w:val="clear" w:color="auto" w:fill="CFF0FC"/>
            <w:tcMar>
              <w:top w:w="15" w:type="dxa"/>
              <w:left w:w="0" w:type="dxa"/>
              <w:bottom w:w="0" w:type="dxa"/>
              <w:right w:w="15" w:type="dxa"/>
            </w:tcMar>
            <w:vAlign w:val="bottom"/>
            <w:hideMark/>
          </w:tcPr>
          <w:p w14:paraId="7C6C3E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5F9754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4B9438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05719C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7883F14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186.9</w:t>
            </w:r>
          </w:p>
        </w:tc>
        <w:tc>
          <w:tcPr>
            <w:tcW w:w="191" w:type="dxa"/>
            <w:shd w:val="clear" w:color="auto" w:fill="CFF0FC"/>
            <w:noWrap/>
            <w:tcMar>
              <w:top w:w="15" w:type="dxa"/>
              <w:left w:w="0" w:type="dxa"/>
              <w:bottom w:w="0" w:type="dxa"/>
              <w:right w:w="15" w:type="dxa"/>
            </w:tcMar>
            <w:vAlign w:val="bottom"/>
            <w:hideMark/>
          </w:tcPr>
          <w:p w14:paraId="78CC2DC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4C04DD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1C07ED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00CFCFB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461.5</w:t>
            </w:r>
          </w:p>
        </w:tc>
        <w:tc>
          <w:tcPr>
            <w:tcW w:w="191" w:type="dxa"/>
            <w:shd w:val="clear" w:color="auto" w:fill="CFF0FC"/>
            <w:noWrap/>
            <w:tcMar>
              <w:top w:w="15" w:type="dxa"/>
              <w:left w:w="0" w:type="dxa"/>
              <w:bottom w:w="0" w:type="dxa"/>
              <w:right w:w="15" w:type="dxa"/>
            </w:tcMar>
            <w:vAlign w:val="bottom"/>
            <w:hideMark/>
          </w:tcPr>
          <w:p w14:paraId="3F61250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0CD7680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EBF711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5163872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190.4</w:t>
            </w:r>
          </w:p>
        </w:tc>
        <w:tc>
          <w:tcPr>
            <w:tcW w:w="192" w:type="dxa"/>
            <w:shd w:val="clear" w:color="auto" w:fill="CFF0FC"/>
            <w:noWrap/>
            <w:tcMar>
              <w:top w:w="15" w:type="dxa"/>
              <w:left w:w="0" w:type="dxa"/>
              <w:bottom w:w="0" w:type="dxa"/>
              <w:right w:w="15" w:type="dxa"/>
            </w:tcMar>
            <w:vAlign w:val="bottom"/>
            <w:hideMark/>
          </w:tcPr>
          <w:p w14:paraId="7244DBA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522B3EB8" w14:textId="77777777" w:rsidTr="00AC4931">
        <w:tc>
          <w:tcPr>
            <w:tcW w:w="12098" w:type="dxa"/>
            <w:shd w:val="clear" w:color="auto" w:fill="FFFFFF"/>
            <w:tcMar>
              <w:top w:w="15" w:type="dxa"/>
              <w:left w:w="0" w:type="dxa"/>
              <w:bottom w:w="0" w:type="dxa"/>
              <w:right w:w="15" w:type="dxa"/>
            </w:tcMar>
            <w:hideMark/>
          </w:tcPr>
          <w:p w14:paraId="0A549A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6AC37F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68FCEB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49D59C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2ECF3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7758D50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5F136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31B72A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AD6AF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79248B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A12D5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0F83BD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C13FF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364E7E1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7C4730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5036CE6" w14:textId="77777777" w:rsidTr="00AC4931">
        <w:tc>
          <w:tcPr>
            <w:tcW w:w="12098" w:type="dxa"/>
            <w:shd w:val="clear" w:color="auto" w:fill="CFF0FC"/>
            <w:tcMar>
              <w:top w:w="15" w:type="dxa"/>
              <w:left w:w="0" w:type="dxa"/>
              <w:bottom w:w="0" w:type="dxa"/>
              <w:right w:w="15" w:type="dxa"/>
            </w:tcMar>
            <w:hideMark/>
          </w:tcPr>
          <w:p w14:paraId="6011F2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Earnings per share continuing operations - basic</w:t>
            </w:r>
            <w:r w:rsidRPr="00AC4931">
              <w:rPr>
                <w:rFonts w:ascii="Arial" w:eastAsia="宋体" w:hAnsi="Arial" w:cs="Arial"/>
                <w:color w:val="000000"/>
                <w:kern w:val="0"/>
                <w:sz w:val="18"/>
                <w:szCs w:val="18"/>
                <w:vertAlign w:val="superscript"/>
              </w:rPr>
              <w:t>1)</w:t>
            </w:r>
          </w:p>
        </w:tc>
        <w:tc>
          <w:tcPr>
            <w:tcW w:w="278" w:type="dxa"/>
            <w:shd w:val="clear" w:color="auto" w:fill="CFF0FC"/>
            <w:tcMar>
              <w:top w:w="15" w:type="dxa"/>
              <w:left w:w="0" w:type="dxa"/>
              <w:bottom w:w="0" w:type="dxa"/>
              <w:right w:w="15" w:type="dxa"/>
            </w:tcMar>
            <w:vAlign w:val="bottom"/>
            <w:hideMark/>
          </w:tcPr>
          <w:p w14:paraId="2BA374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38C1F2D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038DF1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78336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7FBD30A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w:t>
            </w:r>
          </w:p>
        </w:tc>
        <w:tc>
          <w:tcPr>
            <w:tcW w:w="191" w:type="dxa"/>
            <w:shd w:val="clear" w:color="auto" w:fill="CFF0FC"/>
            <w:noWrap/>
            <w:tcMar>
              <w:top w:w="15" w:type="dxa"/>
              <w:left w:w="0" w:type="dxa"/>
              <w:bottom w:w="0" w:type="dxa"/>
              <w:right w:w="15" w:type="dxa"/>
            </w:tcMar>
            <w:vAlign w:val="bottom"/>
            <w:hideMark/>
          </w:tcPr>
          <w:p w14:paraId="17FFEC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0118A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BF257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2B0CF8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5.29</w:t>
            </w:r>
          </w:p>
        </w:tc>
        <w:tc>
          <w:tcPr>
            <w:tcW w:w="191" w:type="dxa"/>
            <w:shd w:val="clear" w:color="auto" w:fill="CFF0FC"/>
            <w:noWrap/>
            <w:tcMar>
              <w:top w:w="15" w:type="dxa"/>
              <w:left w:w="0" w:type="dxa"/>
              <w:bottom w:w="0" w:type="dxa"/>
              <w:right w:w="15" w:type="dxa"/>
            </w:tcMar>
            <w:vAlign w:val="bottom"/>
            <w:hideMark/>
          </w:tcPr>
          <w:p w14:paraId="2B9F54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1A7C961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896F8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12D6814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4.32</w:t>
            </w:r>
          </w:p>
        </w:tc>
        <w:tc>
          <w:tcPr>
            <w:tcW w:w="192" w:type="dxa"/>
            <w:shd w:val="clear" w:color="auto" w:fill="CFF0FC"/>
            <w:noWrap/>
            <w:tcMar>
              <w:top w:w="15" w:type="dxa"/>
              <w:left w:w="0" w:type="dxa"/>
              <w:bottom w:w="0" w:type="dxa"/>
              <w:right w:w="15" w:type="dxa"/>
            </w:tcMar>
            <w:vAlign w:val="bottom"/>
            <w:hideMark/>
          </w:tcPr>
          <w:p w14:paraId="4A29EA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3F3C311" w14:textId="77777777" w:rsidTr="00AC4931">
        <w:tc>
          <w:tcPr>
            <w:tcW w:w="12098" w:type="dxa"/>
            <w:shd w:val="clear" w:color="auto" w:fill="FFFFFF"/>
            <w:tcMar>
              <w:top w:w="15" w:type="dxa"/>
              <w:left w:w="0" w:type="dxa"/>
              <w:bottom w:w="0" w:type="dxa"/>
              <w:right w:w="15" w:type="dxa"/>
            </w:tcMar>
            <w:hideMark/>
          </w:tcPr>
          <w:p w14:paraId="2F759E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Loss per share discontinuing operations - basic</w:t>
            </w:r>
            <w:r w:rsidRPr="00AC4931">
              <w:rPr>
                <w:rFonts w:ascii="Arial" w:eastAsia="宋体" w:hAnsi="Arial" w:cs="Arial"/>
                <w:color w:val="000000"/>
                <w:kern w:val="0"/>
                <w:sz w:val="18"/>
                <w:szCs w:val="18"/>
                <w:vertAlign w:val="superscript"/>
              </w:rPr>
              <w:t>1)</w:t>
            </w:r>
          </w:p>
        </w:tc>
        <w:tc>
          <w:tcPr>
            <w:tcW w:w="278" w:type="dxa"/>
            <w:shd w:val="clear" w:color="auto" w:fill="FFFFFF"/>
            <w:tcMar>
              <w:top w:w="15" w:type="dxa"/>
              <w:left w:w="0" w:type="dxa"/>
              <w:bottom w:w="0" w:type="dxa"/>
              <w:right w:w="15" w:type="dxa"/>
            </w:tcMar>
            <w:vAlign w:val="bottom"/>
            <w:hideMark/>
          </w:tcPr>
          <w:p w14:paraId="4E4AB0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224F075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4CDA04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2EF59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13595B4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660F4A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739D47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3C2AD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0E75A71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5296D4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7F6200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DBEA5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45DA8CE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(2.13</w:t>
            </w:r>
          </w:p>
        </w:tc>
        <w:tc>
          <w:tcPr>
            <w:tcW w:w="192" w:type="dxa"/>
            <w:shd w:val="clear" w:color="auto" w:fill="FFFFFF"/>
            <w:noWrap/>
            <w:tcMar>
              <w:top w:w="15" w:type="dxa"/>
              <w:left w:w="0" w:type="dxa"/>
              <w:bottom w:w="0" w:type="dxa"/>
              <w:right w:w="15" w:type="dxa"/>
            </w:tcMar>
            <w:vAlign w:val="bottom"/>
            <w:hideMark/>
          </w:tcPr>
          <w:p w14:paraId="6C5CEC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5C5919E" w14:textId="77777777" w:rsidTr="00AC4931">
        <w:tc>
          <w:tcPr>
            <w:tcW w:w="12098" w:type="dxa"/>
            <w:shd w:val="clear" w:color="auto" w:fill="CFF0FC"/>
            <w:tcMar>
              <w:top w:w="15" w:type="dxa"/>
              <w:left w:w="0" w:type="dxa"/>
              <w:bottom w:w="0" w:type="dxa"/>
              <w:right w:w="15" w:type="dxa"/>
            </w:tcMar>
            <w:hideMark/>
          </w:tcPr>
          <w:p w14:paraId="798F2EE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Basic earnings per share</w:t>
            </w:r>
          </w:p>
        </w:tc>
        <w:tc>
          <w:tcPr>
            <w:tcW w:w="278" w:type="dxa"/>
            <w:shd w:val="clear" w:color="auto" w:fill="CFF0FC"/>
            <w:tcMar>
              <w:top w:w="15" w:type="dxa"/>
              <w:left w:w="0" w:type="dxa"/>
              <w:bottom w:w="0" w:type="dxa"/>
              <w:right w:w="15" w:type="dxa"/>
            </w:tcMar>
            <w:vAlign w:val="bottom"/>
            <w:hideMark/>
          </w:tcPr>
          <w:p w14:paraId="05082C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259DA5B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2BEB66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0C0656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6FFDDFB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2.14</w:t>
            </w:r>
          </w:p>
        </w:tc>
        <w:tc>
          <w:tcPr>
            <w:tcW w:w="191" w:type="dxa"/>
            <w:shd w:val="clear" w:color="auto" w:fill="CFF0FC"/>
            <w:noWrap/>
            <w:tcMar>
              <w:top w:w="15" w:type="dxa"/>
              <w:left w:w="0" w:type="dxa"/>
              <w:bottom w:w="0" w:type="dxa"/>
              <w:right w:w="15" w:type="dxa"/>
            </w:tcMar>
            <w:vAlign w:val="bottom"/>
            <w:hideMark/>
          </w:tcPr>
          <w:p w14:paraId="797BCF5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1DCDFE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2ADCE4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60CFAD0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5.29</w:t>
            </w:r>
          </w:p>
        </w:tc>
        <w:tc>
          <w:tcPr>
            <w:tcW w:w="191" w:type="dxa"/>
            <w:shd w:val="clear" w:color="auto" w:fill="CFF0FC"/>
            <w:noWrap/>
            <w:tcMar>
              <w:top w:w="15" w:type="dxa"/>
              <w:left w:w="0" w:type="dxa"/>
              <w:bottom w:w="0" w:type="dxa"/>
              <w:right w:w="15" w:type="dxa"/>
            </w:tcMar>
            <w:vAlign w:val="bottom"/>
            <w:hideMark/>
          </w:tcPr>
          <w:p w14:paraId="1A2D853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F5D5FA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C2AA7F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2B7A679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2.19</w:t>
            </w:r>
          </w:p>
        </w:tc>
        <w:tc>
          <w:tcPr>
            <w:tcW w:w="192" w:type="dxa"/>
            <w:shd w:val="clear" w:color="auto" w:fill="CFF0FC"/>
            <w:noWrap/>
            <w:tcMar>
              <w:top w:w="15" w:type="dxa"/>
              <w:left w:w="0" w:type="dxa"/>
              <w:bottom w:w="0" w:type="dxa"/>
              <w:right w:w="15" w:type="dxa"/>
            </w:tcMar>
            <w:vAlign w:val="bottom"/>
            <w:hideMark/>
          </w:tcPr>
          <w:p w14:paraId="11E5539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3A7003D" w14:textId="77777777" w:rsidTr="00AC4931">
        <w:tc>
          <w:tcPr>
            <w:tcW w:w="12098" w:type="dxa"/>
            <w:shd w:val="clear" w:color="auto" w:fill="FFFFFF"/>
            <w:tcMar>
              <w:top w:w="15" w:type="dxa"/>
              <w:left w:w="0" w:type="dxa"/>
              <w:bottom w:w="0" w:type="dxa"/>
              <w:right w:w="15" w:type="dxa"/>
            </w:tcMar>
            <w:hideMark/>
          </w:tcPr>
          <w:p w14:paraId="27701D3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131E61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0F909D5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39F0BA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3313937"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1405" w:type="dxa"/>
            <w:shd w:val="clear" w:color="auto" w:fill="FFFFFF"/>
            <w:noWrap/>
            <w:tcMar>
              <w:top w:w="15" w:type="dxa"/>
              <w:left w:w="0" w:type="dxa"/>
              <w:bottom w:w="0" w:type="dxa"/>
              <w:right w:w="15" w:type="dxa"/>
            </w:tcMar>
            <w:vAlign w:val="bottom"/>
            <w:hideMark/>
          </w:tcPr>
          <w:p w14:paraId="726CE132"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191" w:type="dxa"/>
            <w:shd w:val="clear" w:color="auto" w:fill="FFFFFF"/>
            <w:noWrap/>
            <w:tcMar>
              <w:top w:w="15" w:type="dxa"/>
              <w:left w:w="0" w:type="dxa"/>
              <w:bottom w:w="0" w:type="dxa"/>
              <w:right w:w="15" w:type="dxa"/>
            </w:tcMar>
            <w:vAlign w:val="bottom"/>
            <w:hideMark/>
          </w:tcPr>
          <w:p w14:paraId="560842C9"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78" w:type="dxa"/>
            <w:shd w:val="clear" w:color="auto" w:fill="FFFFFF"/>
            <w:tcMar>
              <w:top w:w="15" w:type="dxa"/>
              <w:left w:w="0" w:type="dxa"/>
              <w:bottom w:w="0" w:type="dxa"/>
              <w:right w:w="15" w:type="dxa"/>
            </w:tcMar>
            <w:vAlign w:val="bottom"/>
            <w:hideMark/>
          </w:tcPr>
          <w:p w14:paraId="15F6EA2B"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191" w:type="dxa"/>
            <w:shd w:val="clear" w:color="auto" w:fill="FFFFFF"/>
            <w:noWrap/>
            <w:tcMar>
              <w:top w:w="15" w:type="dxa"/>
              <w:left w:w="0" w:type="dxa"/>
              <w:bottom w:w="0" w:type="dxa"/>
              <w:right w:w="15" w:type="dxa"/>
            </w:tcMar>
            <w:vAlign w:val="bottom"/>
            <w:hideMark/>
          </w:tcPr>
          <w:p w14:paraId="3C824299"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1405" w:type="dxa"/>
            <w:shd w:val="clear" w:color="auto" w:fill="FFFFFF"/>
            <w:noWrap/>
            <w:tcMar>
              <w:top w:w="15" w:type="dxa"/>
              <w:left w:w="0" w:type="dxa"/>
              <w:bottom w:w="0" w:type="dxa"/>
              <w:right w:w="15" w:type="dxa"/>
            </w:tcMar>
            <w:vAlign w:val="bottom"/>
            <w:hideMark/>
          </w:tcPr>
          <w:p w14:paraId="6C41AC4A"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191" w:type="dxa"/>
            <w:shd w:val="clear" w:color="auto" w:fill="FFFFFF"/>
            <w:noWrap/>
            <w:tcMar>
              <w:top w:w="15" w:type="dxa"/>
              <w:left w:w="0" w:type="dxa"/>
              <w:bottom w:w="0" w:type="dxa"/>
              <w:right w:w="15" w:type="dxa"/>
            </w:tcMar>
            <w:vAlign w:val="bottom"/>
            <w:hideMark/>
          </w:tcPr>
          <w:p w14:paraId="2E7B8261"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278" w:type="dxa"/>
            <w:shd w:val="clear" w:color="auto" w:fill="FFFFFF"/>
            <w:tcMar>
              <w:top w:w="15" w:type="dxa"/>
              <w:left w:w="0" w:type="dxa"/>
              <w:bottom w:w="0" w:type="dxa"/>
              <w:right w:w="15" w:type="dxa"/>
            </w:tcMar>
            <w:vAlign w:val="bottom"/>
            <w:hideMark/>
          </w:tcPr>
          <w:p w14:paraId="53458181"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191" w:type="dxa"/>
            <w:shd w:val="clear" w:color="auto" w:fill="FFFFFF"/>
            <w:noWrap/>
            <w:tcMar>
              <w:top w:w="15" w:type="dxa"/>
              <w:left w:w="0" w:type="dxa"/>
              <w:bottom w:w="0" w:type="dxa"/>
              <w:right w:w="15" w:type="dxa"/>
            </w:tcMar>
            <w:vAlign w:val="bottom"/>
            <w:hideMark/>
          </w:tcPr>
          <w:p w14:paraId="2C860988"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1405" w:type="dxa"/>
            <w:shd w:val="clear" w:color="auto" w:fill="FFFFFF"/>
            <w:noWrap/>
            <w:tcMar>
              <w:top w:w="15" w:type="dxa"/>
              <w:left w:w="0" w:type="dxa"/>
              <w:bottom w:w="0" w:type="dxa"/>
              <w:right w:w="15" w:type="dxa"/>
            </w:tcMar>
            <w:vAlign w:val="bottom"/>
            <w:hideMark/>
          </w:tcPr>
          <w:p w14:paraId="2D286DD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c>
          <w:tcPr>
            <w:tcW w:w="192" w:type="dxa"/>
            <w:shd w:val="clear" w:color="auto" w:fill="FFFFFF"/>
            <w:noWrap/>
            <w:tcMar>
              <w:top w:w="15" w:type="dxa"/>
              <w:left w:w="0" w:type="dxa"/>
              <w:bottom w:w="0" w:type="dxa"/>
              <w:right w:w="15" w:type="dxa"/>
            </w:tcMar>
            <w:vAlign w:val="bottom"/>
            <w:hideMark/>
          </w:tcPr>
          <w:p w14:paraId="0309A260" w14:textId="77777777" w:rsidR="00AC4931" w:rsidRPr="00AC4931" w:rsidRDefault="00AC4931" w:rsidP="00AC4931">
            <w:pPr>
              <w:widowControl/>
              <w:jc w:val="left"/>
              <w:rPr>
                <w:rFonts w:ascii="Arial" w:eastAsia="宋体" w:hAnsi="Arial" w:cs="Arial"/>
                <w:color w:val="000000"/>
                <w:kern w:val="0"/>
                <w:sz w:val="12"/>
                <w:szCs w:val="12"/>
              </w:rPr>
            </w:pPr>
            <w:r w:rsidRPr="00AC4931">
              <w:rPr>
                <w:rFonts w:ascii="Arial" w:eastAsia="宋体" w:hAnsi="Arial" w:cs="Arial"/>
                <w:color w:val="000000"/>
                <w:kern w:val="0"/>
                <w:sz w:val="12"/>
                <w:szCs w:val="12"/>
              </w:rPr>
              <w:t> </w:t>
            </w:r>
          </w:p>
        </w:tc>
      </w:tr>
      <w:tr w:rsidR="00AC4931" w:rsidRPr="00AC4931" w14:paraId="09F4E7BB" w14:textId="77777777" w:rsidTr="00AC4931">
        <w:tc>
          <w:tcPr>
            <w:tcW w:w="12098" w:type="dxa"/>
            <w:shd w:val="clear" w:color="auto" w:fill="CFF0FC"/>
            <w:tcMar>
              <w:top w:w="15" w:type="dxa"/>
              <w:left w:w="0" w:type="dxa"/>
              <w:bottom w:w="0" w:type="dxa"/>
              <w:right w:w="15" w:type="dxa"/>
            </w:tcMar>
            <w:hideMark/>
          </w:tcPr>
          <w:p w14:paraId="58C0E2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Earnings per share continuing operations - diluted </w:t>
            </w:r>
            <w:r w:rsidRPr="00AC4931">
              <w:rPr>
                <w:rFonts w:ascii="Arial" w:eastAsia="宋体" w:hAnsi="Arial" w:cs="Arial"/>
                <w:color w:val="000000"/>
                <w:kern w:val="0"/>
                <w:sz w:val="18"/>
                <w:szCs w:val="18"/>
                <w:vertAlign w:val="superscript"/>
              </w:rPr>
              <w:t>1)</w:t>
            </w:r>
          </w:p>
        </w:tc>
        <w:tc>
          <w:tcPr>
            <w:tcW w:w="278" w:type="dxa"/>
            <w:shd w:val="clear" w:color="auto" w:fill="CFF0FC"/>
            <w:tcMar>
              <w:top w:w="15" w:type="dxa"/>
              <w:left w:w="0" w:type="dxa"/>
              <w:bottom w:w="0" w:type="dxa"/>
              <w:right w:w="15" w:type="dxa"/>
            </w:tcMar>
            <w:vAlign w:val="bottom"/>
            <w:hideMark/>
          </w:tcPr>
          <w:p w14:paraId="7ACF7D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050920A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4A3614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7CD06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2F8371F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w:t>
            </w:r>
          </w:p>
        </w:tc>
        <w:tc>
          <w:tcPr>
            <w:tcW w:w="191" w:type="dxa"/>
            <w:shd w:val="clear" w:color="auto" w:fill="CFF0FC"/>
            <w:noWrap/>
            <w:tcMar>
              <w:top w:w="15" w:type="dxa"/>
              <w:left w:w="0" w:type="dxa"/>
              <w:bottom w:w="0" w:type="dxa"/>
              <w:right w:w="15" w:type="dxa"/>
            </w:tcMar>
            <w:vAlign w:val="bottom"/>
            <w:hideMark/>
          </w:tcPr>
          <w:p w14:paraId="60B76A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778F70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4ED17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26B3574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5.29</w:t>
            </w:r>
          </w:p>
        </w:tc>
        <w:tc>
          <w:tcPr>
            <w:tcW w:w="191" w:type="dxa"/>
            <w:shd w:val="clear" w:color="auto" w:fill="CFF0FC"/>
            <w:noWrap/>
            <w:tcMar>
              <w:top w:w="15" w:type="dxa"/>
              <w:left w:w="0" w:type="dxa"/>
              <w:bottom w:w="0" w:type="dxa"/>
              <w:right w:w="15" w:type="dxa"/>
            </w:tcMar>
            <w:vAlign w:val="bottom"/>
            <w:hideMark/>
          </w:tcPr>
          <w:p w14:paraId="492898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3565144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1C7E9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6D63D01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4.31</w:t>
            </w:r>
          </w:p>
        </w:tc>
        <w:tc>
          <w:tcPr>
            <w:tcW w:w="192" w:type="dxa"/>
            <w:shd w:val="clear" w:color="auto" w:fill="CFF0FC"/>
            <w:noWrap/>
            <w:tcMar>
              <w:top w:w="15" w:type="dxa"/>
              <w:left w:w="0" w:type="dxa"/>
              <w:bottom w:w="0" w:type="dxa"/>
              <w:right w:w="15" w:type="dxa"/>
            </w:tcMar>
            <w:vAlign w:val="bottom"/>
            <w:hideMark/>
          </w:tcPr>
          <w:p w14:paraId="29324E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4499AB2" w14:textId="77777777" w:rsidTr="00AC4931">
        <w:tc>
          <w:tcPr>
            <w:tcW w:w="12098" w:type="dxa"/>
            <w:shd w:val="clear" w:color="auto" w:fill="FFFFFF"/>
            <w:tcMar>
              <w:top w:w="15" w:type="dxa"/>
              <w:left w:w="0" w:type="dxa"/>
              <w:bottom w:w="0" w:type="dxa"/>
              <w:right w:w="15" w:type="dxa"/>
            </w:tcMar>
            <w:hideMark/>
          </w:tcPr>
          <w:p w14:paraId="136AAF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Loss per share discontinuing operations - diluted</w:t>
            </w:r>
            <w:r w:rsidRPr="00AC4931">
              <w:rPr>
                <w:rFonts w:ascii="Arial" w:eastAsia="宋体" w:hAnsi="Arial" w:cs="Arial"/>
                <w:color w:val="000000"/>
                <w:kern w:val="0"/>
                <w:sz w:val="18"/>
                <w:szCs w:val="18"/>
                <w:vertAlign w:val="superscript"/>
              </w:rPr>
              <w:t> 1)</w:t>
            </w:r>
          </w:p>
        </w:tc>
        <w:tc>
          <w:tcPr>
            <w:tcW w:w="278" w:type="dxa"/>
            <w:shd w:val="clear" w:color="auto" w:fill="FFFFFF"/>
            <w:tcMar>
              <w:top w:w="15" w:type="dxa"/>
              <w:left w:w="0" w:type="dxa"/>
              <w:bottom w:w="0" w:type="dxa"/>
              <w:right w:w="15" w:type="dxa"/>
            </w:tcMar>
            <w:vAlign w:val="bottom"/>
            <w:hideMark/>
          </w:tcPr>
          <w:p w14:paraId="7ED2EF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7D2A227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5478E7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D4A83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6EACDF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78FF47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745B01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26428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3769D1E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71A782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42502A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87BBB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5DE5793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(2.13</w:t>
            </w:r>
          </w:p>
        </w:tc>
        <w:tc>
          <w:tcPr>
            <w:tcW w:w="192" w:type="dxa"/>
            <w:shd w:val="clear" w:color="auto" w:fill="FFFFFF"/>
            <w:noWrap/>
            <w:tcMar>
              <w:top w:w="15" w:type="dxa"/>
              <w:left w:w="0" w:type="dxa"/>
              <w:bottom w:w="0" w:type="dxa"/>
              <w:right w:w="15" w:type="dxa"/>
            </w:tcMar>
            <w:vAlign w:val="bottom"/>
            <w:hideMark/>
          </w:tcPr>
          <w:p w14:paraId="476838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DF1A4DF" w14:textId="77777777" w:rsidTr="00AC4931">
        <w:tc>
          <w:tcPr>
            <w:tcW w:w="12098" w:type="dxa"/>
            <w:shd w:val="clear" w:color="auto" w:fill="CFF0FC"/>
            <w:tcMar>
              <w:top w:w="15" w:type="dxa"/>
              <w:left w:w="0" w:type="dxa"/>
              <w:bottom w:w="0" w:type="dxa"/>
              <w:right w:w="15" w:type="dxa"/>
            </w:tcMar>
            <w:hideMark/>
          </w:tcPr>
          <w:p w14:paraId="16C0642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Diluted earnings per share</w:t>
            </w:r>
          </w:p>
        </w:tc>
        <w:tc>
          <w:tcPr>
            <w:tcW w:w="278" w:type="dxa"/>
            <w:shd w:val="clear" w:color="auto" w:fill="CFF0FC"/>
            <w:tcMar>
              <w:top w:w="15" w:type="dxa"/>
              <w:left w:w="0" w:type="dxa"/>
              <w:bottom w:w="0" w:type="dxa"/>
              <w:right w:w="15" w:type="dxa"/>
            </w:tcMar>
            <w:vAlign w:val="bottom"/>
            <w:hideMark/>
          </w:tcPr>
          <w:p w14:paraId="6DCDE1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0E58E4E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035227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1B0A28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705793C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2.14</w:t>
            </w:r>
          </w:p>
        </w:tc>
        <w:tc>
          <w:tcPr>
            <w:tcW w:w="191" w:type="dxa"/>
            <w:shd w:val="clear" w:color="auto" w:fill="CFF0FC"/>
            <w:noWrap/>
            <w:tcMar>
              <w:top w:w="15" w:type="dxa"/>
              <w:left w:w="0" w:type="dxa"/>
              <w:bottom w:w="0" w:type="dxa"/>
              <w:right w:w="15" w:type="dxa"/>
            </w:tcMar>
            <w:vAlign w:val="bottom"/>
            <w:hideMark/>
          </w:tcPr>
          <w:p w14:paraId="6ACCDA0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4FD545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3DD6B3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2067C1A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5.29</w:t>
            </w:r>
          </w:p>
        </w:tc>
        <w:tc>
          <w:tcPr>
            <w:tcW w:w="191" w:type="dxa"/>
            <w:shd w:val="clear" w:color="auto" w:fill="CFF0FC"/>
            <w:noWrap/>
            <w:tcMar>
              <w:top w:w="15" w:type="dxa"/>
              <w:left w:w="0" w:type="dxa"/>
              <w:bottom w:w="0" w:type="dxa"/>
              <w:right w:w="15" w:type="dxa"/>
            </w:tcMar>
            <w:vAlign w:val="bottom"/>
            <w:hideMark/>
          </w:tcPr>
          <w:p w14:paraId="477CE9E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1E2517C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00E329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0BB7AA0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2.18</w:t>
            </w:r>
          </w:p>
        </w:tc>
        <w:tc>
          <w:tcPr>
            <w:tcW w:w="192" w:type="dxa"/>
            <w:shd w:val="clear" w:color="auto" w:fill="CFF0FC"/>
            <w:noWrap/>
            <w:tcMar>
              <w:top w:w="15" w:type="dxa"/>
              <w:left w:w="0" w:type="dxa"/>
              <w:bottom w:w="0" w:type="dxa"/>
              <w:right w:w="15" w:type="dxa"/>
            </w:tcMar>
            <w:vAlign w:val="bottom"/>
            <w:hideMark/>
          </w:tcPr>
          <w:p w14:paraId="2002292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631F47EF" w14:textId="77777777" w:rsidTr="00AC4931">
        <w:tc>
          <w:tcPr>
            <w:tcW w:w="12098" w:type="dxa"/>
            <w:shd w:val="clear" w:color="auto" w:fill="FFFFFF"/>
            <w:tcMar>
              <w:top w:w="15" w:type="dxa"/>
              <w:left w:w="0" w:type="dxa"/>
              <w:bottom w:w="0" w:type="dxa"/>
              <w:right w:w="15" w:type="dxa"/>
            </w:tcMar>
            <w:hideMark/>
          </w:tcPr>
          <w:p w14:paraId="0A4EC17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0A611D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4AAAB42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11CE08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82C93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5125440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DAF25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63387D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92B04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525C72C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FACB0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5EF59D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FB64A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5F56FB8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26FD6B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2091E67" w14:textId="77777777" w:rsidTr="00AC4931">
        <w:tc>
          <w:tcPr>
            <w:tcW w:w="12098" w:type="dxa"/>
            <w:shd w:val="clear" w:color="auto" w:fill="CFF0FC"/>
            <w:tcMar>
              <w:top w:w="15" w:type="dxa"/>
              <w:left w:w="0" w:type="dxa"/>
              <w:bottom w:w="0" w:type="dxa"/>
              <w:right w:w="15" w:type="dxa"/>
            </w:tcMar>
            <w:hideMark/>
          </w:tcPr>
          <w:p w14:paraId="42178F7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Weighted average number of shares outstanding, net of</w:t>
            </w:r>
          </w:p>
          <w:p w14:paraId="1CE69FF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treasury shares (in millions)</w:t>
            </w:r>
          </w:p>
        </w:tc>
        <w:tc>
          <w:tcPr>
            <w:tcW w:w="278" w:type="dxa"/>
            <w:shd w:val="clear" w:color="auto" w:fill="CFF0FC"/>
            <w:tcMar>
              <w:top w:w="15" w:type="dxa"/>
              <w:left w:w="0" w:type="dxa"/>
              <w:bottom w:w="0" w:type="dxa"/>
              <w:right w:w="15" w:type="dxa"/>
            </w:tcMar>
            <w:vAlign w:val="bottom"/>
            <w:hideMark/>
          </w:tcPr>
          <w:p w14:paraId="5692BB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56391DA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68342B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472A33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2CEBDAF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87.3</w:t>
            </w:r>
          </w:p>
        </w:tc>
        <w:tc>
          <w:tcPr>
            <w:tcW w:w="191" w:type="dxa"/>
            <w:shd w:val="clear" w:color="auto" w:fill="CFF0FC"/>
            <w:noWrap/>
            <w:tcMar>
              <w:top w:w="15" w:type="dxa"/>
              <w:left w:w="0" w:type="dxa"/>
              <w:bottom w:w="0" w:type="dxa"/>
              <w:right w:w="15" w:type="dxa"/>
            </w:tcMar>
            <w:vAlign w:val="bottom"/>
            <w:hideMark/>
          </w:tcPr>
          <w:p w14:paraId="6F3CA7E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0501FEC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8987C4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4CE5658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87.2</w:t>
            </w:r>
          </w:p>
        </w:tc>
        <w:tc>
          <w:tcPr>
            <w:tcW w:w="191" w:type="dxa"/>
            <w:shd w:val="clear" w:color="auto" w:fill="CFF0FC"/>
            <w:noWrap/>
            <w:tcMar>
              <w:top w:w="15" w:type="dxa"/>
              <w:left w:w="0" w:type="dxa"/>
              <w:bottom w:w="0" w:type="dxa"/>
              <w:right w:w="15" w:type="dxa"/>
            </w:tcMar>
            <w:vAlign w:val="bottom"/>
            <w:hideMark/>
          </w:tcPr>
          <w:p w14:paraId="177581F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12073C2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A9BFEE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0D8E05F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87.1</w:t>
            </w:r>
          </w:p>
        </w:tc>
        <w:tc>
          <w:tcPr>
            <w:tcW w:w="192" w:type="dxa"/>
            <w:shd w:val="clear" w:color="auto" w:fill="CFF0FC"/>
            <w:noWrap/>
            <w:tcMar>
              <w:top w:w="15" w:type="dxa"/>
              <w:left w:w="0" w:type="dxa"/>
              <w:bottom w:w="0" w:type="dxa"/>
              <w:right w:w="15" w:type="dxa"/>
            </w:tcMar>
            <w:vAlign w:val="bottom"/>
            <w:hideMark/>
          </w:tcPr>
          <w:p w14:paraId="1C876A6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11FF7BE7" w14:textId="77777777" w:rsidTr="00AC4931">
        <w:tc>
          <w:tcPr>
            <w:tcW w:w="12098" w:type="dxa"/>
            <w:shd w:val="clear" w:color="auto" w:fill="FFFFFF"/>
            <w:tcMar>
              <w:top w:w="15" w:type="dxa"/>
              <w:left w:w="0" w:type="dxa"/>
              <w:bottom w:w="0" w:type="dxa"/>
              <w:right w:w="15" w:type="dxa"/>
            </w:tcMar>
            <w:hideMark/>
          </w:tcPr>
          <w:p w14:paraId="02DFFF0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Weighted average number of shares outstanding, assuming</w:t>
            </w:r>
          </w:p>
          <w:p w14:paraId="66469BE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dilution and net of treasury shares (in millions)</w:t>
            </w:r>
          </w:p>
        </w:tc>
        <w:tc>
          <w:tcPr>
            <w:tcW w:w="278" w:type="dxa"/>
            <w:shd w:val="clear" w:color="auto" w:fill="FFFFFF"/>
            <w:tcMar>
              <w:top w:w="15" w:type="dxa"/>
              <w:left w:w="0" w:type="dxa"/>
              <w:bottom w:w="0" w:type="dxa"/>
              <w:right w:w="15" w:type="dxa"/>
            </w:tcMar>
            <w:vAlign w:val="bottom"/>
            <w:hideMark/>
          </w:tcPr>
          <w:p w14:paraId="3DD900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48E60C4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3C7320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7A8D9C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13B8107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87.5</w:t>
            </w:r>
          </w:p>
        </w:tc>
        <w:tc>
          <w:tcPr>
            <w:tcW w:w="191" w:type="dxa"/>
            <w:shd w:val="clear" w:color="auto" w:fill="FFFFFF"/>
            <w:noWrap/>
            <w:tcMar>
              <w:top w:w="15" w:type="dxa"/>
              <w:left w:w="0" w:type="dxa"/>
              <w:bottom w:w="0" w:type="dxa"/>
              <w:right w:w="15" w:type="dxa"/>
            </w:tcMar>
            <w:vAlign w:val="bottom"/>
            <w:hideMark/>
          </w:tcPr>
          <w:p w14:paraId="175CAFA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59CA536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1EEA52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7B42CA5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87.4</w:t>
            </w:r>
          </w:p>
        </w:tc>
        <w:tc>
          <w:tcPr>
            <w:tcW w:w="191" w:type="dxa"/>
            <w:shd w:val="clear" w:color="auto" w:fill="FFFFFF"/>
            <w:noWrap/>
            <w:tcMar>
              <w:top w:w="15" w:type="dxa"/>
              <w:left w:w="0" w:type="dxa"/>
              <w:bottom w:w="0" w:type="dxa"/>
              <w:right w:w="15" w:type="dxa"/>
            </w:tcMar>
            <w:vAlign w:val="bottom"/>
            <w:hideMark/>
          </w:tcPr>
          <w:p w14:paraId="4C59718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1E642C1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3FD54F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405" w:type="dxa"/>
            <w:shd w:val="clear" w:color="auto" w:fill="FFFFFF"/>
            <w:noWrap/>
            <w:tcMar>
              <w:top w:w="15" w:type="dxa"/>
              <w:left w:w="0" w:type="dxa"/>
              <w:bottom w:w="0" w:type="dxa"/>
              <w:right w:w="15" w:type="dxa"/>
            </w:tcMar>
            <w:vAlign w:val="bottom"/>
            <w:hideMark/>
          </w:tcPr>
          <w:p w14:paraId="28B147F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87.3</w:t>
            </w:r>
          </w:p>
        </w:tc>
        <w:tc>
          <w:tcPr>
            <w:tcW w:w="192" w:type="dxa"/>
            <w:shd w:val="clear" w:color="auto" w:fill="FFFFFF"/>
            <w:noWrap/>
            <w:tcMar>
              <w:top w:w="15" w:type="dxa"/>
              <w:left w:w="0" w:type="dxa"/>
              <w:bottom w:w="0" w:type="dxa"/>
              <w:right w:w="15" w:type="dxa"/>
            </w:tcMar>
            <w:vAlign w:val="bottom"/>
            <w:hideMark/>
          </w:tcPr>
          <w:p w14:paraId="3421DBF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50F25848" w14:textId="77777777" w:rsidTr="00AC4931">
        <w:tc>
          <w:tcPr>
            <w:tcW w:w="12098" w:type="dxa"/>
            <w:shd w:val="clear" w:color="auto" w:fill="CFF0FC"/>
            <w:tcMar>
              <w:top w:w="15" w:type="dxa"/>
              <w:left w:w="0" w:type="dxa"/>
              <w:bottom w:w="0" w:type="dxa"/>
              <w:right w:w="15" w:type="dxa"/>
            </w:tcMar>
            <w:hideMark/>
          </w:tcPr>
          <w:p w14:paraId="11410E1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07C6FC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77D91F2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F8D7A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1A838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3D96324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612E8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5E654D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F6758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6AB3EBE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36DB3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72935E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AA3D0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05" w:type="dxa"/>
            <w:shd w:val="clear" w:color="auto" w:fill="CFF0FC"/>
            <w:noWrap/>
            <w:tcMar>
              <w:top w:w="15" w:type="dxa"/>
              <w:left w:w="0" w:type="dxa"/>
              <w:bottom w:w="0" w:type="dxa"/>
              <w:right w:w="15" w:type="dxa"/>
            </w:tcMar>
            <w:vAlign w:val="bottom"/>
            <w:hideMark/>
          </w:tcPr>
          <w:p w14:paraId="197D5E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79A1D8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A2E0464" w14:textId="77777777" w:rsidTr="00AC4931">
        <w:tc>
          <w:tcPr>
            <w:tcW w:w="12098" w:type="dxa"/>
            <w:shd w:val="clear" w:color="auto" w:fill="FFFFFF"/>
            <w:tcMar>
              <w:top w:w="15" w:type="dxa"/>
              <w:left w:w="0" w:type="dxa"/>
              <w:bottom w:w="0" w:type="dxa"/>
              <w:right w:w="15" w:type="dxa"/>
            </w:tcMar>
            <w:hideMark/>
          </w:tcPr>
          <w:p w14:paraId="7C31A92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Cash dividend per share - declared</w:t>
            </w:r>
          </w:p>
        </w:tc>
        <w:tc>
          <w:tcPr>
            <w:tcW w:w="278" w:type="dxa"/>
            <w:shd w:val="clear" w:color="auto" w:fill="FFFFFF"/>
            <w:tcMar>
              <w:top w:w="15" w:type="dxa"/>
              <w:left w:w="0" w:type="dxa"/>
              <w:bottom w:w="0" w:type="dxa"/>
              <w:right w:w="15" w:type="dxa"/>
            </w:tcMar>
            <w:vAlign w:val="bottom"/>
            <w:hideMark/>
          </w:tcPr>
          <w:p w14:paraId="183440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17" w:type="dxa"/>
            <w:shd w:val="clear" w:color="auto" w:fill="FFFFFF"/>
            <w:tcMar>
              <w:top w:w="15" w:type="dxa"/>
              <w:left w:w="0" w:type="dxa"/>
              <w:bottom w:w="0" w:type="dxa"/>
              <w:right w:w="15" w:type="dxa"/>
            </w:tcMar>
            <w:vAlign w:val="bottom"/>
            <w:hideMark/>
          </w:tcPr>
          <w:p w14:paraId="279D17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50AE63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D19279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shd w:val="clear" w:color="auto" w:fill="FFFFFF"/>
            <w:noWrap/>
            <w:tcMar>
              <w:top w:w="15" w:type="dxa"/>
              <w:left w:w="0" w:type="dxa"/>
              <w:bottom w:w="0" w:type="dxa"/>
              <w:right w:w="15" w:type="dxa"/>
            </w:tcMar>
            <w:vAlign w:val="bottom"/>
            <w:hideMark/>
          </w:tcPr>
          <w:p w14:paraId="5911440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066B3E1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5B39129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78B848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shd w:val="clear" w:color="auto" w:fill="FFFFFF"/>
            <w:noWrap/>
            <w:tcMar>
              <w:top w:w="15" w:type="dxa"/>
              <w:left w:w="0" w:type="dxa"/>
              <w:bottom w:w="0" w:type="dxa"/>
              <w:right w:w="15" w:type="dxa"/>
            </w:tcMar>
            <w:vAlign w:val="bottom"/>
            <w:hideMark/>
          </w:tcPr>
          <w:p w14:paraId="7E67D5B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2.48</w:t>
            </w:r>
          </w:p>
        </w:tc>
        <w:tc>
          <w:tcPr>
            <w:tcW w:w="191" w:type="dxa"/>
            <w:shd w:val="clear" w:color="auto" w:fill="FFFFFF"/>
            <w:noWrap/>
            <w:tcMar>
              <w:top w:w="15" w:type="dxa"/>
              <w:left w:w="0" w:type="dxa"/>
              <w:bottom w:w="0" w:type="dxa"/>
              <w:right w:w="15" w:type="dxa"/>
            </w:tcMar>
            <w:vAlign w:val="bottom"/>
            <w:hideMark/>
          </w:tcPr>
          <w:p w14:paraId="707E501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FFFFFF"/>
            <w:tcMar>
              <w:top w:w="15" w:type="dxa"/>
              <w:left w:w="0" w:type="dxa"/>
              <w:bottom w:w="0" w:type="dxa"/>
              <w:right w:w="15" w:type="dxa"/>
            </w:tcMar>
            <w:vAlign w:val="bottom"/>
            <w:hideMark/>
          </w:tcPr>
          <w:p w14:paraId="38D3DD1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2D4DD7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shd w:val="clear" w:color="auto" w:fill="FFFFFF"/>
            <w:noWrap/>
            <w:tcMar>
              <w:top w:w="15" w:type="dxa"/>
              <w:left w:w="0" w:type="dxa"/>
              <w:bottom w:w="0" w:type="dxa"/>
              <w:right w:w="15" w:type="dxa"/>
            </w:tcMar>
            <w:vAlign w:val="bottom"/>
            <w:hideMark/>
          </w:tcPr>
          <w:p w14:paraId="2B412DF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2.48</w:t>
            </w:r>
          </w:p>
        </w:tc>
        <w:tc>
          <w:tcPr>
            <w:tcW w:w="192" w:type="dxa"/>
            <w:shd w:val="clear" w:color="auto" w:fill="FFFFFF"/>
            <w:noWrap/>
            <w:tcMar>
              <w:top w:w="15" w:type="dxa"/>
              <w:left w:w="0" w:type="dxa"/>
              <w:bottom w:w="0" w:type="dxa"/>
              <w:right w:w="15" w:type="dxa"/>
            </w:tcMar>
            <w:vAlign w:val="bottom"/>
            <w:hideMark/>
          </w:tcPr>
          <w:p w14:paraId="7E8C5F3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1FCB02B" w14:textId="77777777" w:rsidTr="00AC4931">
        <w:tc>
          <w:tcPr>
            <w:tcW w:w="12098" w:type="dxa"/>
            <w:shd w:val="clear" w:color="auto" w:fill="CFF0FC"/>
            <w:tcMar>
              <w:top w:w="15" w:type="dxa"/>
              <w:left w:w="0" w:type="dxa"/>
              <w:bottom w:w="0" w:type="dxa"/>
              <w:right w:w="15" w:type="dxa"/>
            </w:tcMar>
            <w:hideMark/>
          </w:tcPr>
          <w:p w14:paraId="026B65B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Cash dividend per share - paid</w:t>
            </w:r>
          </w:p>
        </w:tc>
        <w:tc>
          <w:tcPr>
            <w:tcW w:w="278" w:type="dxa"/>
            <w:shd w:val="clear" w:color="auto" w:fill="CFF0FC"/>
            <w:tcMar>
              <w:top w:w="15" w:type="dxa"/>
              <w:left w:w="0" w:type="dxa"/>
              <w:bottom w:w="0" w:type="dxa"/>
              <w:right w:w="15" w:type="dxa"/>
            </w:tcMar>
            <w:vAlign w:val="bottom"/>
            <w:hideMark/>
          </w:tcPr>
          <w:p w14:paraId="6D2AF5B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17" w:type="dxa"/>
            <w:shd w:val="clear" w:color="auto" w:fill="CFF0FC"/>
            <w:tcMar>
              <w:top w:w="15" w:type="dxa"/>
              <w:left w:w="0" w:type="dxa"/>
              <w:bottom w:w="0" w:type="dxa"/>
              <w:right w:w="15" w:type="dxa"/>
            </w:tcMar>
            <w:vAlign w:val="bottom"/>
            <w:hideMark/>
          </w:tcPr>
          <w:p w14:paraId="2420BF6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175BA81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24B38E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0AD25CD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0.62</w:t>
            </w:r>
          </w:p>
        </w:tc>
        <w:tc>
          <w:tcPr>
            <w:tcW w:w="191" w:type="dxa"/>
            <w:shd w:val="clear" w:color="auto" w:fill="CFF0FC"/>
            <w:noWrap/>
            <w:tcMar>
              <w:top w:w="15" w:type="dxa"/>
              <w:left w:w="0" w:type="dxa"/>
              <w:bottom w:w="0" w:type="dxa"/>
              <w:right w:w="15" w:type="dxa"/>
            </w:tcMar>
            <w:vAlign w:val="bottom"/>
            <w:hideMark/>
          </w:tcPr>
          <w:p w14:paraId="433F9D8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7A8B61E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038435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197C723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2.48</w:t>
            </w:r>
          </w:p>
        </w:tc>
        <w:tc>
          <w:tcPr>
            <w:tcW w:w="191" w:type="dxa"/>
            <w:shd w:val="clear" w:color="auto" w:fill="CFF0FC"/>
            <w:noWrap/>
            <w:tcMar>
              <w:top w:w="15" w:type="dxa"/>
              <w:left w:w="0" w:type="dxa"/>
              <w:bottom w:w="0" w:type="dxa"/>
              <w:right w:w="15" w:type="dxa"/>
            </w:tcMar>
            <w:vAlign w:val="bottom"/>
            <w:hideMark/>
          </w:tcPr>
          <w:p w14:paraId="563598D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78" w:type="dxa"/>
            <w:shd w:val="clear" w:color="auto" w:fill="CFF0FC"/>
            <w:tcMar>
              <w:top w:w="15" w:type="dxa"/>
              <w:left w:w="0" w:type="dxa"/>
              <w:bottom w:w="0" w:type="dxa"/>
              <w:right w:w="15" w:type="dxa"/>
            </w:tcMar>
            <w:vAlign w:val="bottom"/>
            <w:hideMark/>
          </w:tcPr>
          <w:p w14:paraId="6136590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D0286A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405" w:type="dxa"/>
            <w:shd w:val="clear" w:color="auto" w:fill="CFF0FC"/>
            <w:noWrap/>
            <w:tcMar>
              <w:top w:w="15" w:type="dxa"/>
              <w:left w:w="0" w:type="dxa"/>
              <w:bottom w:w="0" w:type="dxa"/>
              <w:right w:w="15" w:type="dxa"/>
            </w:tcMar>
            <w:vAlign w:val="bottom"/>
            <w:hideMark/>
          </w:tcPr>
          <w:p w14:paraId="64F5CE4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2.46</w:t>
            </w:r>
          </w:p>
        </w:tc>
        <w:tc>
          <w:tcPr>
            <w:tcW w:w="192" w:type="dxa"/>
            <w:shd w:val="clear" w:color="auto" w:fill="CFF0FC"/>
            <w:noWrap/>
            <w:tcMar>
              <w:top w:w="15" w:type="dxa"/>
              <w:left w:w="0" w:type="dxa"/>
              <w:bottom w:w="0" w:type="dxa"/>
              <w:right w:w="15" w:type="dxa"/>
            </w:tcMar>
            <w:vAlign w:val="bottom"/>
            <w:hideMark/>
          </w:tcPr>
          <w:p w14:paraId="44F83B03"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55FF1F70" w14:textId="77777777" w:rsidR="00AC4931" w:rsidRPr="00AC4931" w:rsidRDefault="00AC4931" w:rsidP="00AC4931">
      <w:pPr>
        <w:widowControl/>
        <w:jc w:val="left"/>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p w14:paraId="3765DFE9"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See Notes to the Consolidated Financial Statements.</w:t>
      </w:r>
    </w:p>
    <w:p w14:paraId="5A4BBE6A"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79A3187C" w14:textId="77777777" w:rsidTr="00AC4931">
        <w:tc>
          <w:tcPr>
            <w:tcW w:w="919" w:type="dxa"/>
            <w:noWrap/>
            <w:hideMark/>
          </w:tcPr>
          <w:p w14:paraId="26D4E15E"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4FD6AC76" w14:textId="77777777" w:rsidR="00AC4931" w:rsidRPr="00AC4931" w:rsidRDefault="00AC4931" w:rsidP="00AC4931">
            <w:pPr>
              <w:widowControl/>
              <w:jc w:val="left"/>
              <w:rPr>
                <w:rFonts w:ascii="Arial" w:eastAsia="宋体" w:hAnsi="Arial" w:cs="Arial"/>
                <w:kern w:val="0"/>
                <w:sz w:val="16"/>
                <w:szCs w:val="16"/>
              </w:rPr>
            </w:pPr>
          </w:p>
        </w:tc>
      </w:tr>
    </w:tbl>
    <w:p w14:paraId="00EF434A"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54</w:t>
      </w:r>
    </w:p>
    <w:p w14:paraId="75F5134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5F13068"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0DAF23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A8A885D"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9A26A57">
          <v:rect id="_x0000_i1081" style="width:0;height:1.5pt" o:hralign="center" o:hrstd="t" o:hrnoshade="t" o:hr="t" fillcolor="black" stroked="f"/>
        </w:pict>
      </w:r>
    </w:p>
    <w:p w14:paraId="7F9E189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F2283F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A2E7C0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02DC8546" w14:textId="77777777" w:rsidTr="00AC4931">
        <w:tc>
          <w:tcPr>
            <w:tcW w:w="919" w:type="dxa"/>
            <w:noWrap/>
            <w:hideMark/>
          </w:tcPr>
          <w:p w14:paraId="0458901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p>
        </w:tc>
        <w:tc>
          <w:tcPr>
            <w:tcW w:w="0" w:type="auto"/>
            <w:hideMark/>
          </w:tcPr>
          <w:p w14:paraId="549C14F3"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Participating share awards with the right to receive dividend equivalents are (under the two class method) excluded from the earnings per share calculation (see Note 22 in this Annual Report).</w:t>
            </w:r>
          </w:p>
        </w:tc>
      </w:tr>
    </w:tbl>
    <w:p w14:paraId="60F17D7C" w14:textId="77777777" w:rsidR="00AC4931" w:rsidRPr="00AC4931" w:rsidRDefault="00AC4931" w:rsidP="00AC4931">
      <w:pPr>
        <w:widowControl/>
        <w:rPr>
          <w:rFonts w:ascii="Arial" w:eastAsia="宋体" w:hAnsi="Arial" w:cs="Arial"/>
          <w:b/>
          <w:bCs/>
          <w:color w:val="000000"/>
          <w:kern w:val="0"/>
          <w:sz w:val="22"/>
        </w:rPr>
      </w:pPr>
      <w:r w:rsidRPr="00AC4931">
        <w:rPr>
          <w:rFonts w:ascii="Arial" w:eastAsia="宋体" w:hAnsi="Arial" w:cs="Arial"/>
          <w:b/>
          <w:bCs/>
          <w:color w:val="000000"/>
          <w:kern w:val="0"/>
          <w:sz w:val="22"/>
        </w:rPr>
        <w:t>Consolidated Statements of Comprehensive Income</w:t>
      </w:r>
    </w:p>
    <w:p w14:paraId="2B67DA96" w14:textId="77777777" w:rsidR="00AC4931" w:rsidRPr="00AC4931" w:rsidRDefault="00AC4931" w:rsidP="00AC4931">
      <w:pPr>
        <w:widowControl/>
        <w:jc w:val="left"/>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3493"/>
        <w:gridCol w:w="311"/>
        <w:gridCol w:w="199"/>
        <w:gridCol w:w="1634"/>
        <w:gridCol w:w="199"/>
        <w:gridCol w:w="311"/>
        <w:gridCol w:w="199"/>
        <w:gridCol w:w="1634"/>
        <w:gridCol w:w="199"/>
        <w:gridCol w:w="311"/>
        <w:gridCol w:w="199"/>
        <w:gridCol w:w="1725"/>
        <w:gridCol w:w="200"/>
      </w:tblGrid>
      <w:tr w:rsidR="00AC4931" w:rsidRPr="00AC4931" w14:paraId="4F973512" w14:textId="77777777" w:rsidTr="00AC4931">
        <w:tc>
          <w:tcPr>
            <w:tcW w:w="13485" w:type="dxa"/>
            <w:shd w:val="clear" w:color="auto" w:fill="FFFFFF"/>
            <w:tcMar>
              <w:top w:w="15" w:type="dxa"/>
              <w:left w:w="0" w:type="dxa"/>
              <w:bottom w:w="0" w:type="dxa"/>
              <w:right w:w="15" w:type="dxa"/>
            </w:tcMar>
            <w:vAlign w:val="bottom"/>
            <w:hideMark/>
          </w:tcPr>
          <w:p w14:paraId="4A39837C" w14:textId="77777777" w:rsidR="00AC4931" w:rsidRPr="00AC4931" w:rsidRDefault="00AC4931" w:rsidP="00AC4931">
            <w:pPr>
              <w:widowControl/>
              <w:jc w:val="center"/>
              <w:rPr>
                <w:rFonts w:ascii="Calibri" w:eastAsia="宋体" w:hAnsi="Calibri" w:cs="Calibri" w:hint="eastAsia"/>
                <w:kern w:val="0"/>
                <w:sz w:val="16"/>
                <w:szCs w:val="16"/>
              </w:rPr>
            </w:pPr>
            <w:r w:rsidRPr="00AC4931">
              <w:rPr>
                <w:rFonts w:ascii="Calibri" w:eastAsia="宋体" w:hAnsi="Calibri" w:cs="Calibri"/>
                <w:kern w:val="0"/>
                <w:sz w:val="16"/>
                <w:szCs w:val="16"/>
              </w:rPr>
              <w:t> </w:t>
            </w:r>
          </w:p>
        </w:tc>
        <w:tc>
          <w:tcPr>
            <w:tcW w:w="311" w:type="dxa"/>
            <w:shd w:val="clear" w:color="auto" w:fill="FFFFFF"/>
            <w:tcMar>
              <w:top w:w="15" w:type="dxa"/>
              <w:left w:w="0" w:type="dxa"/>
              <w:bottom w:w="0" w:type="dxa"/>
              <w:right w:w="15" w:type="dxa"/>
            </w:tcMar>
            <w:vAlign w:val="bottom"/>
            <w:hideMark/>
          </w:tcPr>
          <w:p w14:paraId="1B76017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6567" w:type="dxa"/>
            <w:gridSpan w:val="10"/>
            <w:tcBorders>
              <w:bottom w:val="single" w:sz="6" w:space="0" w:color="000000"/>
            </w:tcBorders>
            <w:shd w:val="clear" w:color="auto" w:fill="FFFFFF"/>
            <w:tcMar>
              <w:top w:w="15" w:type="dxa"/>
              <w:left w:w="0" w:type="dxa"/>
              <w:bottom w:w="0" w:type="dxa"/>
              <w:right w:w="15" w:type="dxa"/>
            </w:tcMar>
            <w:vAlign w:val="bottom"/>
            <w:hideMark/>
          </w:tcPr>
          <w:p w14:paraId="19230EC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Years ended December 31</w:t>
            </w:r>
          </w:p>
        </w:tc>
        <w:tc>
          <w:tcPr>
            <w:tcW w:w="192" w:type="dxa"/>
            <w:shd w:val="clear" w:color="auto" w:fill="FFFFFF"/>
            <w:noWrap/>
            <w:tcMar>
              <w:top w:w="15" w:type="dxa"/>
              <w:left w:w="0" w:type="dxa"/>
              <w:bottom w:w="0" w:type="dxa"/>
              <w:right w:w="15" w:type="dxa"/>
            </w:tcMar>
            <w:vAlign w:val="bottom"/>
            <w:hideMark/>
          </w:tcPr>
          <w:p w14:paraId="70FA5B8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48CA4C9" w14:textId="77777777" w:rsidTr="00AC4931">
        <w:tc>
          <w:tcPr>
            <w:tcW w:w="13485" w:type="dxa"/>
            <w:shd w:val="clear" w:color="auto" w:fill="FFFFFF"/>
            <w:tcMar>
              <w:top w:w="15" w:type="dxa"/>
              <w:left w:w="0" w:type="dxa"/>
              <w:bottom w:w="0" w:type="dxa"/>
              <w:right w:w="15" w:type="dxa"/>
            </w:tcMar>
            <w:vAlign w:val="bottom"/>
            <w:hideMark/>
          </w:tcPr>
          <w:p w14:paraId="76DBCF5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(DOLLARS IN MILLIONS)</w:t>
            </w:r>
          </w:p>
        </w:tc>
        <w:tc>
          <w:tcPr>
            <w:tcW w:w="311" w:type="dxa"/>
            <w:shd w:val="clear" w:color="auto" w:fill="FFFFFF"/>
            <w:tcMar>
              <w:top w:w="15" w:type="dxa"/>
              <w:left w:w="0" w:type="dxa"/>
              <w:bottom w:w="0" w:type="dxa"/>
              <w:right w:w="15" w:type="dxa"/>
            </w:tcMar>
            <w:vAlign w:val="bottom"/>
            <w:hideMark/>
          </w:tcPr>
          <w:p w14:paraId="69AD908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82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8F2C3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099F2BC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3A5EE17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2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4FD1F5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1" w:type="dxa"/>
            <w:shd w:val="clear" w:color="auto" w:fill="FFFFFF"/>
            <w:noWrap/>
            <w:tcMar>
              <w:top w:w="15" w:type="dxa"/>
              <w:left w:w="0" w:type="dxa"/>
              <w:bottom w:w="0" w:type="dxa"/>
              <w:right w:w="15" w:type="dxa"/>
            </w:tcMar>
            <w:vAlign w:val="bottom"/>
            <w:hideMark/>
          </w:tcPr>
          <w:p w14:paraId="5DA96AB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4770855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2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B91D2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92" w:type="dxa"/>
            <w:shd w:val="clear" w:color="auto" w:fill="FFFFFF"/>
            <w:noWrap/>
            <w:tcMar>
              <w:top w:w="15" w:type="dxa"/>
              <w:left w:w="0" w:type="dxa"/>
              <w:bottom w:w="0" w:type="dxa"/>
              <w:right w:w="15" w:type="dxa"/>
            </w:tcMar>
            <w:vAlign w:val="bottom"/>
            <w:hideMark/>
          </w:tcPr>
          <w:p w14:paraId="52A0F96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47C775A6" w14:textId="77777777" w:rsidTr="00AC4931">
        <w:tc>
          <w:tcPr>
            <w:tcW w:w="13485" w:type="dxa"/>
            <w:shd w:val="clear" w:color="auto" w:fill="CFF0FC"/>
            <w:tcMar>
              <w:top w:w="15" w:type="dxa"/>
              <w:left w:w="0" w:type="dxa"/>
              <w:bottom w:w="0" w:type="dxa"/>
              <w:right w:w="15" w:type="dxa"/>
            </w:tcMar>
            <w:hideMark/>
          </w:tcPr>
          <w:p w14:paraId="229A679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Net income</w:t>
            </w:r>
          </w:p>
        </w:tc>
        <w:tc>
          <w:tcPr>
            <w:tcW w:w="311" w:type="dxa"/>
            <w:shd w:val="clear" w:color="auto" w:fill="CFF0FC"/>
            <w:tcMar>
              <w:top w:w="15" w:type="dxa"/>
              <w:left w:w="0" w:type="dxa"/>
              <w:bottom w:w="0" w:type="dxa"/>
              <w:right w:w="15" w:type="dxa"/>
            </w:tcMar>
            <w:vAlign w:val="bottom"/>
            <w:hideMark/>
          </w:tcPr>
          <w:p w14:paraId="188605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89BFDF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tcBorders>
            <w:shd w:val="clear" w:color="auto" w:fill="CFF0FC"/>
            <w:noWrap/>
            <w:tcMar>
              <w:top w:w="15" w:type="dxa"/>
              <w:left w:w="0" w:type="dxa"/>
              <w:bottom w:w="0" w:type="dxa"/>
              <w:right w:w="15" w:type="dxa"/>
            </w:tcMar>
            <w:vAlign w:val="bottom"/>
            <w:hideMark/>
          </w:tcPr>
          <w:p w14:paraId="436A271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188.3</w:t>
            </w:r>
          </w:p>
        </w:tc>
        <w:tc>
          <w:tcPr>
            <w:tcW w:w="191" w:type="dxa"/>
            <w:shd w:val="clear" w:color="auto" w:fill="CFF0FC"/>
            <w:noWrap/>
            <w:tcMar>
              <w:top w:w="15" w:type="dxa"/>
              <w:left w:w="0" w:type="dxa"/>
              <w:bottom w:w="0" w:type="dxa"/>
              <w:right w:w="15" w:type="dxa"/>
            </w:tcMar>
            <w:vAlign w:val="bottom"/>
            <w:hideMark/>
          </w:tcPr>
          <w:p w14:paraId="5A6BB3E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0E208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A607CF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tcBorders>
            <w:shd w:val="clear" w:color="auto" w:fill="CFF0FC"/>
            <w:noWrap/>
            <w:tcMar>
              <w:top w:w="15" w:type="dxa"/>
              <w:left w:w="0" w:type="dxa"/>
              <w:bottom w:w="0" w:type="dxa"/>
              <w:right w:w="15" w:type="dxa"/>
            </w:tcMar>
            <w:vAlign w:val="bottom"/>
            <w:hideMark/>
          </w:tcPr>
          <w:p w14:paraId="52A6E8A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462.8</w:t>
            </w:r>
          </w:p>
        </w:tc>
        <w:tc>
          <w:tcPr>
            <w:tcW w:w="191" w:type="dxa"/>
            <w:shd w:val="clear" w:color="auto" w:fill="CFF0FC"/>
            <w:noWrap/>
            <w:tcMar>
              <w:top w:w="15" w:type="dxa"/>
              <w:left w:w="0" w:type="dxa"/>
              <w:bottom w:w="0" w:type="dxa"/>
              <w:right w:w="15" w:type="dxa"/>
            </w:tcMar>
            <w:vAlign w:val="bottom"/>
            <w:hideMark/>
          </w:tcPr>
          <w:p w14:paraId="6838D94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67F3C3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DAC190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tcBorders>
            <w:shd w:val="clear" w:color="auto" w:fill="CFF0FC"/>
            <w:noWrap/>
            <w:tcMar>
              <w:top w:w="15" w:type="dxa"/>
              <w:left w:w="0" w:type="dxa"/>
              <w:bottom w:w="0" w:type="dxa"/>
              <w:right w:w="15" w:type="dxa"/>
            </w:tcMar>
            <w:vAlign w:val="bottom"/>
            <w:hideMark/>
          </w:tcPr>
          <w:p w14:paraId="1E48A47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183.7</w:t>
            </w:r>
          </w:p>
        </w:tc>
        <w:tc>
          <w:tcPr>
            <w:tcW w:w="192" w:type="dxa"/>
            <w:shd w:val="clear" w:color="auto" w:fill="CFF0FC"/>
            <w:noWrap/>
            <w:tcMar>
              <w:top w:w="15" w:type="dxa"/>
              <w:left w:w="0" w:type="dxa"/>
              <w:bottom w:w="0" w:type="dxa"/>
              <w:right w:w="15" w:type="dxa"/>
            </w:tcMar>
            <w:vAlign w:val="bottom"/>
            <w:hideMark/>
          </w:tcPr>
          <w:p w14:paraId="63DA464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1C033047" w14:textId="77777777" w:rsidTr="00AC4931">
        <w:tc>
          <w:tcPr>
            <w:tcW w:w="13485" w:type="dxa"/>
            <w:shd w:val="clear" w:color="auto" w:fill="FFFFFF"/>
            <w:tcMar>
              <w:top w:w="15" w:type="dxa"/>
              <w:left w:w="0" w:type="dxa"/>
              <w:bottom w:w="0" w:type="dxa"/>
              <w:right w:w="15" w:type="dxa"/>
            </w:tcMar>
            <w:hideMark/>
          </w:tcPr>
          <w:p w14:paraId="49F9494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Other comprehensive income (loss) before tax:</w:t>
            </w:r>
          </w:p>
        </w:tc>
        <w:tc>
          <w:tcPr>
            <w:tcW w:w="311" w:type="dxa"/>
            <w:shd w:val="clear" w:color="auto" w:fill="FFFFFF"/>
            <w:tcMar>
              <w:top w:w="15" w:type="dxa"/>
              <w:left w:w="0" w:type="dxa"/>
              <w:bottom w:w="0" w:type="dxa"/>
              <w:right w:w="15" w:type="dxa"/>
            </w:tcMar>
            <w:vAlign w:val="bottom"/>
            <w:hideMark/>
          </w:tcPr>
          <w:p w14:paraId="7B7E13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EC57B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91681C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F7E3B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48B91B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05B5C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4BF6CBA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5EF5C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AB4B2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128A3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F094E4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530C5A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259CF87" w14:textId="77777777" w:rsidTr="00AC4931">
        <w:tc>
          <w:tcPr>
            <w:tcW w:w="13485" w:type="dxa"/>
            <w:shd w:val="clear" w:color="auto" w:fill="CFF0FC"/>
            <w:tcMar>
              <w:top w:w="15" w:type="dxa"/>
              <w:left w:w="0" w:type="dxa"/>
              <w:bottom w:w="0" w:type="dxa"/>
              <w:right w:w="15" w:type="dxa"/>
            </w:tcMar>
            <w:hideMark/>
          </w:tcPr>
          <w:p w14:paraId="415FDF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Change in cumulative translation adjustments</w:t>
            </w:r>
          </w:p>
        </w:tc>
        <w:tc>
          <w:tcPr>
            <w:tcW w:w="311" w:type="dxa"/>
            <w:shd w:val="clear" w:color="auto" w:fill="CFF0FC"/>
            <w:tcMar>
              <w:top w:w="15" w:type="dxa"/>
              <w:left w:w="0" w:type="dxa"/>
              <w:bottom w:w="0" w:type="dxa"/>
              <w:right w:w="15" w:type="dxa"/>
            </w:tcMar>
            <w:vAlign w:val="bottom"/>
            <w:hideMark/>
          </w:tcPr>
          <w:p w14:paraId="16016A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F5EE6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6B0F8A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96.9</w:t>
            </w:r>
          </w:p>
        </w:tc>
        <w:tc>
          <w:tcPr>
            <w:tcW w:w="191" w:type="dxa"/>
            <w:shd w:val="clear" w:color="auto" w:fill="CFF0FC"/>
            <w:noWrap/>
            <w:tcMar>
              <w:top w:w="15" w:type="dxa"/>
              <w:left w:w="0" w:type="dxa"/>
              <w:bottom w:w="0" w:type="dxa"/>
              <w:right w:w="15" w:type="dxa"/>
            </w:tcMar>
            <w:vAlign w:val="bottom"/>
            <w:hideMark/>
          </w:tcPr>
          <w:p w14:paraId="4E3F1F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66B17B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1C9FF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7D524B8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91" w:type="dxa"/>
            <w:shd w:val="clear" w:color="auto" w:fill="CFF0FC"/>
            <w:noWrap/>
            <w:tcMar>
              <w:top w:w="15" w:type="dxa"/>
              <w:left w:w="0" w:type="dxa"/>
              <w:bottom w:w="0" w:type="dxa"/>
              <w:right w:w="15" w:type="dxa"/>
            </w:tcMar>
            <w:vAlign w:val="bottom"/>
            <w:hideMark/>
          </w:tcPr>
          <w:p w14:paraId="5928A8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07CE65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40C2D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324757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(150.2</w:t>
            </w:r>
          </w:p>
        </w:tc>
        <w:tc>
          <w:tcPr>
            <w:tcW w:w="192" w:type="dxa"/>
            <w:shd w:val="clear" w:color="auto" w:fill="CFF0FC"/>
            <w:noWrap/>
            <w:tcMar>
              <w:top w:w="15" w:type="dxa"/>
              <w:left w:w="0" w:type="dxa"/>
              <w:bottom w:w="0" w:type="dxa"/>
              <w:right w:w="15" w:type="dxa"/>
            </w:tcMar>
            <w:vAlign w:val="bottom"/>
            <w:hideMark/>
          </w:tcPr>
          <w:p w14:paraId="75ED79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BA091F8" w14:textId="77777777" w:rsidTr="00AC4931">
        <w:tc>
          <w:tcPr>
            <w:tcW w:w="13485" w:type="dxa"/>
            <w:shd w:val="clear" w:color="auto" w:fill="FFFFFF"/>
            <w:tcMar>
              <w:top w:w="15" w:type="dxa"/>
              <w:left w:w="0" w:type="dxa"/>
              <w:bottom w:w="0" w:type="dxa"/>
              <w:right w:w="15" w:type="dxa"/>
            </w:tcMar>
            <w:hideMark/>
          </w:tcPr>
          <w:p w14:paraId="3A7B4D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change in cash flow hedges</w:t>
            </w:r>
          </w:p>
        </w:tc>
        <w:tc>
          <w:tcPr>
            <w:tcW w:w="311" w:type="dxa"/>
            <w:shd w:val="clear" w:color="auto" w:fill="FFFFFF"/>
            <w:tcMar>
              <w:top w:w="15" w:type="dxa"/>
              <w:left w:w="0" w:type="dxa"/>
              <w:bottom w:w="0" w:type="dxa"/>
              <w:right w:w="15" w:type="dxa"/>
            </w:tcMar>
            <w:vAlign w:val="bottom"/>
            <w:hideMark/>
          </w:tcPr>
          <w:p w14:paraId="275071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41D9F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F7AC19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73627E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4A64A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A84B8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70AA332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4C791E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D9EC0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E54E3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9ABAB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w:t>
            </w:r>
          </w:p>
        </w:tc>
        <w:tc>
          <w:tcPr>
            <w:tcW w:w="192" w:type="dxa"/>
            <w:shd w:val="clear" w:color="auto" w:fill="FFFFFF"/>
            <w:noWrap/>
            <w:tcMar>
              <w:top w:w="15" w:type="dxa"/>
              <w:left w:w="0" w:type="dxa"/>
              <w:bottom w:w="0" w:type="dxa"/>
              <w:right w:w="15" w:type="dxa"/>
            </w:tcMar>
            <w:vAlign w:val="bottom"/>
            <w:hideMark/>
          </w:tcPr>
          <w:p w14:paraId="19E184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F822AF9" w14:textId="77777777" w:rsidTr="00AC4931">
        <w:tc>
          <w:tcPr>
            <w:tcW w:w="13485" w:type="dxa"/>
            <w:shd w:val="clear" w:color="auto" w:fill="CFF0FC"/>
            <w:tcMar>
              <w:top w:w="15" w:type="dxa"/>
              <w:left w:w="0" w:type="dxa"/>
              <w:bottom w:w="0" w:type="dxa"/>
              <w:right w:w="15" w:type="dxa"/>
            </w:tcMar>
            <w:hideMark/>
          </w:tcPr>
          <w:p w14:paraId="5A0CC6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change in unrealized components of defined benefit plans</w:t>
            </w:r>
          </w:p>
        </w:tc>
        <w:tc>
          <w:tcPr>
            <w:tcW w:w="311" w:type="dxa"/>
            <w:shd w:val="clear" w:color="auto" w:fill="CFF0FC"/>
            <w:tcMar>
              <w:top w:w="15" w:type="dxa"/>
              <w:left w:w="0" w:type="dxa"/>
              <w:bottom w:w="0" w:type="dxa"/>
              <w:right w:w="15" w:type="dxa"/>
            </w:tcMar>
            <w:vAlign w:val="bottom"/>
            <w:hideMark/>
          </w:tcPr>
          <w:p w14:paraId="371FCD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A20CE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3799B20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7.5</w:t>
            </w:r>
          </w:p>
        </w:tc>
        <w:tc>
          <w:tcPr>
            <w:tcW w:w="191" w:type="dxa"/>
            <w:shd w:val="clear" w:color="auto" w:fill="CFF0FC"/>
            <w:noWrap/>
            <w:tcMar>
              <w:top w:w="15" w:type="dxa"/>
              <w:left w:w="0" w:type="dxa"/>
              <w:bottom w:w="0" w:type="dxa"/>
              <w:right w:w="15" w:type="dxa"/>
            </w:tcMar>
            <w:vAlign w:val="bottom"/>
            <w:hideMark/>
          </w:tcPr>
          <w:p w14:paraId="1E50AE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1855C2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D176B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7687F51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(34.6</w:t>
            </w:r>
          </w:p>
        </w:tc>
        <w:tc>
          <w:tcPr>
            <w:tcW w:w="191" w:type="dxa"/>
            <w:shd w:val="clear" w:color="auto" w:fill="CFF0FC"/>
            <w:noWrap/>
            <w:tcMar>
              <w:top w:w="15" w:type="dxa"/>
              <w:left w:w="0" w:type="dxa"/>
              <w:bottom w:w="0" w:type="dxa"/>
              <w:right w:w="15" w:type="dxa"/>
            </w:tcMar>
            <w:vAlign w:val="bottom"/>
            <w:hideMark/>
          </w:tcPr>
          <w:p w14:paraId="58D287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CFF0FC"/>
            <w:tcMar>
              <w:top w:w="15" w:type="dxa"/>
              <w:left w:w="0" w:type="dxa"/>
              <w:bottom w:w="0" w:type="dxa"/>
              <w:right w:w="15" w:type="dxa"/>
            </w:tcMar>
            <w:vAlign w:val="bottom"/>
            <w:hideMark/>
          </w:tcPr>
          <w:p w14:paraId="1F9644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2DCD0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4C3BFA5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14.2</w:t>
            </w:r>
          </w:p>
        </w:tc>
        <w:tc>
          <w:tcPr>
            <w:tcW w:w="192" w:type="dxa"/>
            <w:shd w:val="clear" w:color="auto" w:fill="CFF0FC"/>
            <w:noWrap/>
            <w:tcMar>
              <w:top w:w="15" w:type="dxa"/>
              <w:left w:w="0" w:type="dxa"/>
              <w:bottom w:w="0" w:type="dxa"/>
              <w:right w:w="15" w:type="dxa"/>
            </w:tcMar>
            <w:vAlign w:val="bottom"/>
            <w:hideMark/>
          </w:tcPr>
          <w:p w14:paraId="33FEC2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14C39A4" w14:textId="77777777" w:rsidTr="00AC4931">
        <w:tc>
          <w:tcPr>
            <w:tcW w:w="13485" w:type="dxa"/>
            <w:shd w:val="clear" w:color="auto" w:fill="FFFFFF"/>
            <w:tcMar>
              <w:top w:w="15" w:type="dxa"/>
              <w:left w:w="0" w:type="dxa"/>
              <w:bottom w:w="0" w:type="dxa"/>
              <w:right w:w="15" w:type="dxa"/>
            </w:tcMar>
            <w:hideMark/>
          </w:tcPr>
          <w:p w14:paraId="4FB7698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Other comprehensive income (loss), before tax</w:t>
            </w:r>
          </w:p>
        </w:tc>
        <w:tc>
          <w:tcPr>
            <w:tcW w:w="311" w:type="dxa"/>
            <w:shd w:val="clear" w:color="auto" w:fill="FFFFFF"/>
            <w:tcMar>
              <w:top w:w="15" w:type="dxa"/>
              <w:left w:w="0" w:type="dxa"/>
              <w:bottom w:w="0" w:type="dxa"/>
              <w:right w:w="15" w:type="dxa"/>
            </w:tcMar>
            <w:vAlign w:val="bottom"/>
            <w:hideMark/>
          </w:tcPr>
          <w:p w14:paraId="4A5816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053629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09FA219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104.4</w:t>
            </w:r>
          </w:p>
        </w:tc>
        <w:tc>
          <w:tcPr>
            <w:tcW w:w="191" w:type="dxa"/>
            <w:shd w:val="clear" w:color="auto" w:fill="FFFFFF"/>
            <w:noWrap/>
            <w:tcMar>
              <w:top w:w="15" w:type="dxa"/>
              <w:left w:w="0" w:type="dxa"/>
              <w:bottom w:w="0" w:type="dxa"/>
              <w:right w:w="15" w:type="dxa"/>
            </w:tcMar>
            <w:vAlign w:val="bottom"/>
            <w:hideMark/>
          </w:tcPr>
          <w:p w14:paraId="5BE72C1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4E935B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063695F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7723857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(32.6</w:t>
            </w:r>
          </w:p>
        </w:tc>
        <w:tc>
          <w:tcPr>
            <w:tcW w:w="191" w:type="dxa"/>
            <w:shd w:val="clear" w:color="auto" w:fill="FFFFFF"/>
            <w:noWrap/>
            <w:tcMar>
              <w:top w:w="15" w:type="dxa"/>
              <w:left w:w="0" w:type="dxa"/>
              <w:bottom w:w="0" w:type="dxa"/>
              <w:right w:w="15" w:type="dxa"/>
            </w:tcMar>
            <w:vAlign w:val="bottom"/>
            <w:hideMark/>
          </w:tcPr>
          <w:p w14:paraId="28C4C9B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207AC8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164BC8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30A1316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(135.1</w:t>
            </w:r>
          </w:p>
        </w:tc>
        <w:tc>
          <w:tcPr>
            <w:tcW w:w="192" w:type="dxa"/>
            <w:shd w:val="clear" w:color="auto" w:fill="FFFFFF"/>
            <w:noWrap/>
            <w:tcMar>
              <w:top w:w="15" w:type="dxa"/>
              <w:left w:w="0" w:type="dxa"/>
              <w:bottom w:w="0" w:type="dxa"/>
              <w:right w:w="15" w:type="dxa"/>
            </w:tcMar>
            <w:vAlign w:val="bottom"/>
            <w:hideMark/>
          </w:tcPr>
          <w:p w14:paraId="32F021C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06A46BB5" w14:textId="77777777" w:rsidTr="00AC4931">
        <w:tc>
          <w:tcPr>
            <w:tcW w:w="13485" w:type="dxa"/>
            <w:shd w:val="clear" w:color="auto" w:fill="CFF0FC"/>
            <w:tcMar>
              <w:top w:w="15" w:type="dxa"/>
              <w:left w:w="0" w:type="dxa"/>
              <w:bottom w:w="0" w:type="dxa"/>
              <w:right w:w="15" w:type="dxa"/>
            </w:tcMar>
            <w:hideMark/>
          </w:tcPr>
          <w:p w14:paraId="244C0F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Tax effect allocated to other comprehensive income (loss)</w:t>
            </w:r>
          </w:p>
        </w:tc>
        <w:tc>
          <w:tcPr>
            <w:tcW w:w="311" w:type="dxa"/>
            <w:shd w:val="clear" w:color="auto" w:fill="CFF0FC"/>
            <w:tcMar>
              <w:top w:w="15" w:type="dxa"/>
              <w:left w:w="0" w:type="dxa"/>
              <w:bottom w:w="0" w:type="dxa"/>
              <w:right w:w="15" w:type="dxa"/>
            </w:tcMar>
            <w:vAlign w:val="bottom"/>
            <w:hideMark/>
          </w:tcPr>
          <w:p w14:paraId="14F9F5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442EB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26533C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w:t>
            </w:r>
          </w:p>
        </w:tc>
        <w:tc>
          <w:tcPr>
            <w:tcW w:w="191" w:type="dxa"/>
            <w:shd w:val="clear" w:color="auto" w:fill="CFF0FC"/>
            <w:noWrap/>
            <w:tcMar>
              <w:top w:w="15" w:type="dxa"/>
              <w:left w:w="0" w:type="dxa"/>
              <w:bottom w:w="0" w:type="dxa"/>
              <w:right w:w="15" w:type="dxa"/>
            </w:tcMar>
            <w:vAlign w:val="bottom"/>
            <w:hideMark/>
          </w:tcPr>
          <w:p w14:paraId="62409C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CFF0FC"/>
            <w:tcMar>
              <w:top w:w="15" w:type="dxa"/>
              <w:left w:w="0" w:type="dxa"/>
              <w:bottom w:w="0" w:type="dxa"/>
              <w:right w:w="15" w:type="dxa"/>
            </w:tcMar>
            <w:vAlign w:val="bottom"/>
            <w:hideMark/>
          </w:tcPr>
          <w:p w14:paraId="63C846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54E6D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7CD01FA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6.8</w:t>
            </w:r>
          </w:p>
        </w:tc>
        <w:tc>
          <w:tcPr>
            <w:tcW w:w="191" w:type="dxa"/>
            <w:shd w:val="clear" w:color="auto" w:fill="CFF0FC"/>
            <w:noWrap/>
            <w:tcMar>
              <w:top w:w="15" w:type="dxa"/>
              <w:left w:w="0" w:type="dxa"/>
              <w:bottom w:w="0" w:type="dxa"/>
              <w:right w:w="15" w:type="dxa"/>
            </w:tcMar>
            <w:vAlign w:val="bottom"/>
            <w:hideMark/>
          </w:tcPr>
          <w:p w14:paraId="575A96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95A96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357C2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48DD445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(4.1</w:t>
            </w:r>
          </w:p>
        </w:tc>
        <w:tc>
          <w:tcPr>
            <w:tcW w:w="192" w:type="dxa"/>
            <w:shd w:val="clear" w:color="auto" w:fill="CFF0FC"/>
            <w:noWrap/>
            <w:tcMar>
              <w:top w:w="15" w:type="dxa"/>
              <w:left w:w="0" w:type="dxa"/>
              <w:bottom w:w="0" w:type="dxa"/>
              <w:right w:w="15" w:type="dxa"/>
            </w:tcMar>
            <w:vAlign w:val="bottom"/>
            <w:hideMark/>
          </w:tcPr>
          <w:p w14:paraId="6B9322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1801B44" w14:textId="77777777" w:rsidTr="00AC4931">
        <w:tc>
          <w:tcPr>
            <w:tcW w:w="13485" w:type="dxa"/>
            <w:shd w:val="clear" w:color="auto" w:fill="FFFFFF"/>
            <w:tcMar>
              <w:top w:w="15" w:type="dxa"/>
              <w:left w:w="0" w:type="dxa"/>
              <w:bottom w:w="0" w:type="dxa"/>
              <w:right w:w="15" w:type="dxa"/>
            </w:tcMar>
            <w:hideMark/>
          </w:tcPr>
          <w:p w14:paraId="6CC4C3E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Other comprehensive income (loss), net of tax</w:t>
            </w:r>
          </w:p>
        </w:tc>
        <w:tc>
          <w:tcPr>
            <w:tcW w:w="311" w:type="dxa"/>
            <w:shd w:val="clear" w:color="auto" w:fill="FFFFFF"/>
            <w:tcMar>
              <w:top w:w="15" w:type="dxa"/>
              <w:left w:w="0" w:type="dxa"/>
              <w:bottom w:w="0" w:type="dxa"/>
              <w:right w:w="15" w:type="dxa"/>
            </w:tcMar>
            <w:vAlign w:val="bottom"/>
            <w:hideMark/>
          </w:tcPr>
          <w:p w14:paraId="539CB4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DC8AA8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56437E5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102.9</w:t>
            </w:r>
          </w:p>
        </w:tc>
        <w:tc>
          <w:tcPr>
            <w:tcW w:w="191" w:type="dxa"/>
            <w:shd w:val="clear" w:color="auto" w:fill="FFFFFF"/>
            <w:noWrap/>
            <w:tcMar>
              <w:top w:w="15" w:type="dxa"/>
              <w:left w:w="0" w:type="dxa"/>
              <w:bottom w:w="0" w:type="dxa"/>
              <w:right w:w="15" w:type="dxa"/>
            </w:tcMar>
            <w:vAlign w:val="bottom"/>
            <w:hideMark/>
          </w:tcPr>
          <w:p w14:paraId="7652ECB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665097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CE2333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4CD2F0E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(25.8</w:t>
            </w:r>
          </w:p>
        </w:tc>
        <w:tc>
          <w:tcPr>
            <w:tcW w:w="191" w:type="dxa"/>
            <w:shd w:val="clear" w:color="auto" w:fill="FFFFFF"/>
            <w:noWrap/>
            <w:tcMar>
              <w:top w:w="15" w:type="dxa"/>
              <w:left w:w="0" w:type="dxa"/>
              <w:bottom w:w="0" w:type="dxa"/>
              <w:right w:w="15" w:type="dxa"/>
            </w:tcMar>
            <w:vAlign w:val="bottom"/>
            <w:hideMark/>
          </w:tcPr>
          <w:p w14:paraId="5370FC2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30853D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02963F1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58FED6B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(139.2</w:t>
            </w:r>
          </w:p>
        </w:tc>
        <w:tc>
          <w:tcPr>
            <w:tcW w:w="192" w:type="dxa"/>
            <w:shd w:val="clear" w:color="auto" w:fill="FFFFFF"/>
            <w:noWrap/>
            <w:tcMar>
              <w:top w:w="15" w:type="dxa"/>
              <w:left w:w="0" w:type="dxa"/>
              <w:bottom w:w="0" w:type="dxa"/>
              <w:right w:w="15" w:type="dxa"/>
            </w:tcMar>
            <w:vAlign w:val="bottom"/>
            <w:hideMark/>
          </w:tcPr>
          <w:p w14:paraId="437F9B9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21C58311" w14:textId="77777777" w:rsidTr="00AC4931">
        <w:tc>
          <w:tcPr>
            <w:tcW w:w="13485" w:type="dxa"/>
            <w:shd w:val="clear" w:color="auto" w:fill="CFF0FC"/>
            <w:tcMar>
              <w:top w:w="15" w:type="dxa"/>
              <w:left w:w="0" w:type="dxa"/>
              <w:bottom w:w="0" w:type="dxa"/>
              <w:right w:w="15" w:type="dxa"/>
            </w:tcMar>
            <w:hideMark/>
          </w:tcPr>
          <w:p w14:paraId="7AA2B06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Comprehensive income</w:t>
            </w:r>
          </w:p>
        </w:tc>
        <w:tc>
          <w:tcPr>
            <w:tcW w:w="311" w:type="dxa"/>
            <w:shd w:val="clear" w:color="auto" w:fill="CFF0FC"/>
            <w:tcMar>
              <w:top w:w="15" w:type="dxa"/>
              <w:left w:w="0" w:type="dxa"/>
              <w:bottom w:w="0" w:type="dxa"/>
              <w:right w:w="15" w:type="dxa"/>
            </w:tcMar>
            <w:vAlign w:val="bottom"/>
            <w:hideMark/>
          </w:tcPr>
          <w:p w14:paraId="4E5662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300E41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343BF3D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291.2</w:t>
            </w:r>
          </w:p>
        </w:tc>
        <w:tc>
          <w:tcPr>
            <w:tcW w:w="191" w:type="dxa"/>
            <w:shd w:val="clear" w:color="auto" w:fill="CFF0FC"/>
            <w:noWrap/>
            <w:tcMar>
              <w:top w:w="15" w:type="dxa"/>
              <w:left w:w="0" w:type="dxa"/>
              <w:bottom w:w="0" w:type="dxa"/>
              <w:right w:w="15" w:type="dxa"/>
            </w:tcMar>
            <w:vAlign w:val="bottom"/>
            <w:hideMark/>
          </w:tcPr>
          <w:p w14:paraId="7B07627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655A43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2D2F98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2BC16A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437.0</w:t>
            </w:r>
          </w:p>
        </w:tc>
        <w:tc>
          <w:tcPr>
            <w:tcW w:w="191" w:type="dxa"/>
            <w:shd w:val="clear" w:color="auto" w:fill="CFF0FC"/>
            <w:noWrap/>
            <w:tcMar>
              <w:top w:w="15" w:type="dxa"/>
              <w:left w:w="0" w:type="dxa"/>
              <w:bottom w:w="0" w:type="dxa"/>
              <w:right w:w="15" w:type="dxa"/>
            </w:tcMar>
            <w:vAlign w:val="bottom"/>
            <w:hideMark/>
          </w:tcPr>
          <w:p w14:paraId="04BEA1C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050E1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9F6410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5728B0D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44.5</w:t>
            </w:r>
          </w:p>
        </w:tc>
        <w:tc>
          <w:tcPr>
            <w:tcW w:w="192" w:type="dxa"/>
            <w:shd w:val="clear" w:color="auto" w:fill="CFF0FC"/>
            <w:noWrap/>
            <w:tcMar>
              <w:top w:w="15" w:type="dxa"/>
              <w:left w:w="0" w:type="dxa"/>
              <w:bottom w:w="0" w:type="dxa"/>
              <w:right w:w="15" w:type="dxa"/>
            </w:tcMar>
            <w:vAlign w:val="bottom"/>
            <w:hideMark/>
          </w:tcPr>
          <w:p w14:paraId="4F16339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18C4941C" w14:textId="77777777" w:rsidTr="00AC4931">
        <w:tc>
          <w:tcPr>
            <w:tcW w:w="13485" w:type="dxa"/>
            <w:shd w:val="clear" w:color="auto" w:fill="FFFFFF"/>
            <w:tcMar>
              <w:top w:w="15" w:type="dxa"/>
              <w:left w:w="0" w:type="dxa"/>
              <w:bottom w:w="0" w:type="dxa"/>
              <w:right w:w="15" w:type="dxa"/>
            </w:tcMar>
            <w:hideMark/>
          </w:tcPr>
          <w:p w14:paraId="3141F5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Less: Comprehensive income (loss) attributable to non-controlling interest</w:t>
            </w:r>
          </w:p>
        </w:tc>
        <w:tc>
          <w:tcPr>
            <w:tcW w:w="311" w:type="dxa"/>
            <w:shd w:val="clear" w:color="auto" w:fill="FFFFFF"/>
            <w:tcMar>
              <w:top w:w="15" w:type="dxa"/>
              <w:left w:w="0" w:type="dxa"/>
              <w:bottom w:w="0" w:type="dxa"/>
              <w:right w:w="15" w:type="dxa"/>
            </w:tcMar>
            <w:vAlign w:val="bottom"/>
            <w:hideMark/>
          </w:tcPr>
          <w:p w14:paraId="4A8340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84ADD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FFFFFF"/>
            <w:noWrap/>
            <w:tcMar>
              <w:top w:w="15" w:type="dxa"/>
              <w:left w:w="0" w:type="dxa"/>
              <w:bottom w:w="0" w:type="dxa"/>
              <w:right w:w="15" w:type="dxa"/>
            </w:tcMar>
            <w:vAlign w:val="bottom"/>
            <w:hideMark/>
          </w:tcPr>
          <w:p w14:paraId="5B1C896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91" w:type="dxa"/>
            <w:shd w:val="clear" w:color="auto" w:fill="FFFFFF"/>
            <w:noWrap/>
            <w:tcMar>
              <w:top w:w="15" w:type="dxa"/>
              <w:left w:w="0" w:type="dxa"/>
              <w:bottom w:w="0" w:type="dxa"/>
              <w:right w:w="15" w:type="dxa"/>
            </w:tcMar>
            <w:vAlign w:val="bottom"/>
            <w:hideMark/>
          </w:tcPr>
          <w:p w14:paraId="70D08E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0C074D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F38AF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FFFFFF"/>
            <w:noWrap/>
            <w:tcMar>
              <w:top w:w="15" w:type="dxa"/>
              <w:left w:w="0" w:type="dxa"/>
              <w:bottom w:w="0" w:type="dxa"/>
              <w:right w:w="15" w:type="dxa"/>
            </w:tcMar>
            <w:vAlign w:val="bottom"/>
            <w:hideMark/>
          </w:tcPr>
          <w:p w14:paraId="0C9FDEE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w:t>
            </w:r>
          </w:p>
        </w:tc>
        <w:tc>
          <w:tcPr>
            <w:tcW w:w="191" w:type="dxa"/>
            <w:shd w:val="clear" w:color="auto" w:fill="FFFFFF"/>
            <w:noWrap/>
            <w:tcMar>
              <w:top w:w="15" w:type="dxa"/>
              <w:left w:w="0" w:type="dxa"/>
              <w:bottom w:w="0" w:type="dxa"/>
              <w:right w:w="15" w:type="dxa"/>
            </w:tcMar>
            <w:vAlign w:val="bottom"/>
            <w:hideMark/>
          </w:tcPr>
          <w:p w14:paraId="6C3767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478AE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4D1AD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FFFFFF"/>
            <w:noWrap/>
            <w:tcMar>
              <w:top w:w="15" w:type="dxa"/>
              <w:left w:w="0" w:type="dxa"/>
              <w:bottom w:w="0" w:type="dxa"/>
              <w:right w:w="15" w:type="dxa"/>
            </w:tcMar>
            <w:vAlign w:val="bottom"/>
            <w:hideMark/>
          </w:tcPr>
          <w:p w14:paraId="3AF0C6B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(7.4</w:t>
            </w:r>
          </w:p>
        </w:tc>
        <w:tc>
          <w:tcPr>
            <w:tcW w:w="192" w:type="dxa"/>
            <w:shd w:val="clear" w:color="auto" w:fill="FFFFFF"/>
            <w:noWrap/>
            <w:tcMar>
              <w:top w:w="15" w:type="dxa"/>
              <w:left w:w="0" w:type="dxa"/>
              <w:bottom w:w="0" w:type="dxa"/>
              <w:right w:w="15" w:type="dxa"/>
            </w:tcMar>
            <w:vAlign w:val="bottom"/>
            <w:hideMark/>
          </w:tcPr>
          <w:p w14:paraId="42036E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DBE6B80" w14:textId="77777777" w:rsidTr="00AC4931">
        <w:tc>
          <w:tcPr>
            <w:tcW w:w="13485" w:type="dxa"/>
            <w:shd w:val="clear" w:color="auto" w:fill="CFF0FC"/>
            <w:tcMar>
              <w:top w:w="15" w:type="dxa"/>
              <w:left w:w="0" w:type="dxa"/>
              <w:bottom w:w="0" w:type="dxa"/>
              <w:right w:w="15" w:type="dxa"/>
            </w:tcMar>
            <w:hideMark/>
          </w:tcPr>
          <w:p w14:paraId="4872A74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Comprehensive income attributable to controlling interest</w:t>
            </w:r>
          </w:p>
        </w:tc>
        <w:tc>
          <w:tcPr>
            <w:tcW w:w="311" w:type="dxa"/>
            <w:shd w:val="clear" w:color="auto" w:fill="CFF0FC"/>
            <w:tcMar>
              <w:top w:w="15" w:type="dxa"/>
              <w:left w:w="0" w:type="dxa"/>
              <w:bottom w:w="0" w:type="dxa"/>
              <w:right w:w="15" w:type="dxa"/>
            </w:tcMar>
            <w:vAlign w:val="bottom"/>
            <w:hideMark/>
          </w:tcPr>
          <w:p w14:paraId="71871B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72811B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tcBorders>
            <w:shd w:val="clear" w:color="auto" w:fill="CFF0FC"/>
            <w:noWrap/>
            <w:tcMar>
              <w:top w:w="15" w:type="dxa"/>
              <w:left w:w="0" w:type="dxa"/>
              <w:bottom w:w="0" w:type="dxa"/>
              <w:right w:w="15" w:type="dxa"/>
            </w:tcMar>
            <w:vAlign w:val="bottom"/>
            <w:hideMark/>
          </w:tcPr>
          <w:p w14:paraId="073C356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288.9</w:t>
            </w:r>
          </w:p>
        </w:tc>
        <w:tc>
          <w:tcPr>
            <w:tcW w:w="191" w:type="dxa"/>
            <w:shd w:val="clear" w:color="auto" w:fill="CFF0FC"/>
            <w:noWrap/>
            <w:tcMar>
              <w:top w:w="15" w:type="dxa"/>
              <w:left w:w="0" w:type="dxa"/>
              <w:bottom w:w="0" w:type="dxa"/>
              <w:right w:w="15" w:type="dxa"/>
            </w:tcMar>
            <w:vAlign w:val="bottom"/>
            <w:hideMark/>
          </w:tcPr>
          <w:p w14:paraId="2BDA8D4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A6AF8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4CEC4B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tcBorders>
            <w:shd w:val="clear" w:color="auto" w:fill="CFF0FC"/>
            <w:noWrap/>
            <w:tcMar>
              <w:top w:w="15" w:type="dxa"/>
              <w:left w:w="0" w:type="dxa"/>
              <w:bottom w:w="0" w:type="dxa"/>
              <w:right w:w="15" w:type="dxa"/>
            </w:tcMar>
            <w:vAlign w:val="bottom"/>
            <w:hideMark/>
          </w:tcPr>
          <w:p w14:paraId="3B5D8C0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435.8</w:t>
            </w:r>
          </w:p>
        </w:tc>
        <w:tc>
          <w:tcPr>
            <w:tcW w:w="191" w:type="dxa"/>
            <w:shd w:val="clear" w:color="auto" w:fill="CFF0FC"/>
            <w:noWrap/>
            <w:tcMar>
              <w:top w:w="15" w:type="dxa"/>
              <w:left w:w="0" w:type="dxa"/>
              <w:bottom w:w="0" w:type="dxa"/>
              <w:right w:w="15" w:type="dxa"/>
            </w:tcMar>
            <w:vAlign w:val="bottom"/>
            <w:hideMark/>
          </w:tcPr>
          <w:p w14:paraId="0ED0CF0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BA29F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8C708F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tcBorders>
            <w:shd w:val="clear" w:color="auto" w:fill="CFF0FC"/>
            <w:noWrap/>
            <w:tcMar>
              <w:top w:w="15" w:type="dxa"/>
              <w:left w:w="0" w:type="dxa"/>
              <w:bottom w:w="0" w:type="dxa"/>
              <w:right w:w="15" w:type="dxa"/>
            </w:tcMar>
            <w:vAlign w:val="bottom"/>
            <w:hideMark/>
          </w:tcPr>
          <w:p w14:paraId="76AF050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51.9</w:t>
            </w:r>
          </w:p>
        </w:tc>
        <w:tc>
          <w:tcPr>
            <w:tcW w:w="192" w:type="dxa"/>
            <w:shd w:val="clear" w:color="auto" w:fill="CFF0FC"/>
            <w:noWrap/>
            <w:tcMar>
              <w:top w:w="15" w:type="dxa"/>
              <w:left w:w="0" w:type="dxa"/>
              <w:bottom w:w="0" w:type="dxa"/>
              <w:right w:w="15" w:type="dxa"/>
            </w:tcMar>
            <w:vAlign w:val="bottom"/>
            <w:hideMark/>
          </w:tcPr>
          <w:p w14:paraId="335FD014"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0D2EFE5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EE03EB9"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See Notes to the Consolidated Financial Statements.</w:t>
      </w:r>
    </w:p>
    <w:p w14:paraId="5BD3275B"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4E99BA54"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55</w:t>
      </w:r>
    </w:p>
    <w:p w14:paraId="7A8E1469"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7B1EF90"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040450C"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CA5C01D"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46D6812B">
          <v:rect id="_x0000_i1082" style="width:0;height:1.5pt" o:hralign="center" o:hrstd="t" o:hrnoshade="t" o:hr="t" fillcolor="black" stroked="f"/>
        </w:pict>
      </w:r>
    </w:p>
    <w:p w14:paraId="7DC801C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CFA43F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80ECFAC"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B41CB14"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0618B70E" w14:textId="77777777" w:rsidR="00AC4931" w:rsidRPr="00AC4931" w:rsidRDefault="00AC4931" w:rsidP="00AC4931">
      <w:pPr>
        <w:widowControl/>
        <w:rPr>
          <w:rFonts w:ascii="Arial" w:eastAsia="宋体" w:hAnsi="Arial" w:cs="Arial"/>
          <w:b/>
          <w:bCs/>
          <w:color w:val="000000"/>
          <w:kern w:val="0"/>
          <w:sz w:val="22"/>
        </w:rPr>
      </w:pPr>
      <w:r w:rsidRPr="00AC4931">
        <w:rPr>
          <w:rFonts w:ascii="Arial" w:eastAsia="宋体" w:hAnsi="Arial" w:cs="Arial"/>
          <w:b/>
          <w:bCs/>
          <w:color w:val="000000"/>
          <w:kern w:val="0"/>
          <w:sz w:val="22"/>
        </w:rPr>
        <w:t>Consolidated Balance Sheets</w:t>
      </w:r>
    </w:p>
    <w:p w14:paraId="7D334011"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3521"/>
        <w:gridCol w:w="311"/>
        <w:gridCol w:w="2036"/>
        <w:gridCol w:w="312"/>
        <w:gridCol w:w="200"/>
        <w:gridCol w:w="1637"/>
        <w:gridCol w:w="200"/>
        <w:gridCol w:w="312"/>
        <w:gridCol w:w="200"/>
        <w:gridCol w:w="1684"/>
        <w:gridCol w:w="201"/>
      </w:tblGrid>
      <w:tr w:rsidR="00AC4931" w:rsidRPr="00AC4931" w14:paraId="08E775B9" w14:textId="77777777" w:rsidTr="00AC4931">
        <w:tc>
          <w:tcPr>
            <w:tcW w:w="13485" w:type="dxa"/>
            <w:shd w:val="clear" w:color="auto" w:fill="FFFFFF"/>
            <w:tcMar>
              <w:top w:w="15" w:type="dxa"/>
              <w:left w:w="0" w:type="dxa"/>
              <w:bottom w:w="0" w:type="dxa"/>
              <w:right w:w="15" w:type="dxa"/>
            </w:tcMar>
            <w:vAlign w:val="bottom"/>
            <w:hideMark/>
          </w:tcPr>
          <w:p w14:paraId="322DBDEB" w14:textId="77777777" w:rsidR="00AC4931" w:rsidRPr="00AC4931" w:rsidRDefault="00AC4931" w:rsidP="00AC4931">
            <w:pPr>
              <w:widowControl/>
              <w:jc w:val="center"/>
              <w:rPr>
                <w:rFonts w:ascii="Calibri" w:eastAsia="宋体" w:hAnsi="Calibri" w:cs="Calibri" w:hint="eastAsia"/>
                <w:kern w:val="0"/>
                <w:sz w:val="16"/>
                <w:szCs w:val="16"/>
              </w:rPr>
            </w:pPr>
            <w:r w:rsidRPr="00AC4931">
              <w:rPr>
                <w:rFonts w:ascii="Calibri" w:eastAsia="宋体" w:hAnsi="Calibri" w:cs="Calibri"/>
                <w:kern w:val="0"/>
                <w:sz w:val="16"/>
                <w:szCs w:val="16"/>
              </w:rPr>
              <w:t> </w:t>
            </w:r>
          </w:p>
        </w:tc>
        <w:tc>
          <w:tcPr>
            <w:tcW w:w="311" w:type="dxa"/>
            <w:shd w:val="clear" w:color="auto" w:fill="FFFFFF"/>
            <w:tcMar>
              <w:top w:w="15" w:type="dxa"/>
              <w:left w:w="0" w:type="dxa"/>
              <w:bottom w:w="0" w:type="dxa"/>
              <w:right w:w="15" w:type="dxa"/>
            </w:tcMar>
            <w:vAlign w:val="bottom"/>
            <w:hideMark/>
          </w:tcPr>
          <w:p w14:paraId="1FDBB00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31" w:type="dxa"/>
            <w:shd w:val="clear" w:color="auto" w:fill="FFFFFF"/>
            <w:tcMar>
              <w:top w:w="15" w:type="dxa"/>
              <w:left w:w="0" w:type="dxa"/>
              <w:bottom w:w="0" w:type="dxa"/>
              <w:right w:w="15" w:type="dxa"/>
            </w:tcMar>
            <w:vAlign w:val="bottom"/>
            <w:hideMark/>
          </w:tcPr>
          <w:p w14:paraId="49FC8CE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1" w:type="dxa"/>
            <w:shd w:val="clear" w:color="auto" w:fill="FFFFFF"/>
            <w:tcMar>
              <w:top w:w="15" w:type="dxa"/>
              <w:left w:w="0" w:type="dxa"/>
              <w:bottom w:w="0" w:type="dxa"/>
              <w:right w:w="15" w:type="dxa"/>
            </w:tcMar>
            <w:vAlign w:val="bottom"/>
            <w:hideMark/>
          </w:tcPr>
          <w:p w14:paraId="78B55E2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96" w:type="dxa"/>
            <w:gridSpan w:val="6"/>
            <w:tcBorders>
              <w:bottom w:val="single" w:sz="6" w:space="0" w:color="000000"/>
            </w:tcBorders>
            <w:shd w:val="clear" w:color="auto" w:fill="FFFFFF"/>
            <w:tcMar>
              <w:top w:w="15" w:type="dxa"/>
              <w:left w:w="0" w:type="dxa"/>
              <w:bottom w:w="0" w:type="dxa"/>
              <w:right w:w="15" w:type="dxa"/>
            </w:tcMar>
            <w:vAlign w:val="bottom"/>
            <w:hideMark/>
          </w:tcPr>
          <w:p w14:paraId="60E9731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At December 31</w:t>
            </w:r>
          </w:p>
        </w:tc>
        <w:tc>
          <w:tcPr>
            <w:tcW w:w="192" w:type="dxa"/>
            <w:shd w:val="clear" w:color="auto" w:fill="FFFFFF"/>
            <w:noWrap/>
            <w:tcMar>
              <w:top w:w="15" w:type="dxa"/>
              <w:left w:w="0" w:type="dxa"/>
              <w:bottom w:w="0" w:type="dxa"/>
              <w:right w:w="15" w:type="dxa"/>
            </w:tcMar>
            <w:vAlign w:val="bottom"/>
            <w:hideMark/>
          </w:tcPr>
          <w:p w14:paraId="76F0A49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28DF03E" w14:textId="77777777" w:rsidTr="00AC4931">
        <w:tc>
          <w:tcPr>
            <w:tcW w:w="13485" w:type="dxa"/>
            <w:shd w:val="clear" w:color="auto" w:fill="FFFFFF"/>
            <w:tcMar>
              <w:top w:w="15" w:type="dxa"/>
              <w:left w:w="0" w:type="dxa"/>
              <w:bottom w:w="0" w:type="dxa"/>
              <w:right w:w="15" w:type="dxa"/>
            </w:tcMar>
            <w:vAlign w:val="bottom"/>
            <w:hideMark/>
          </w:tcPr>
          <w:p w14:paraId="329C02A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(DOLLARS AND SHARES IN MILLIONS)</w:t>
            </w:r>
          </w:p>
        </w:tc>
        <w:tc>
          <w:tcPr>
            <w:tcW w:w="311" w:type="dxa"/>
            <w:shd w:val="clear" w:color="auto" w:fill="FFFFFF"/>
            <w:tcMar>
              <w:top w:w="15" w:type="dxa"/>
              <w:left w:w="0" w:type="dxa"/>
              <w:bottom w:w="0" w:type="dxa"/>
              <w:right w:w="15" w:type="dxa"/>
            </w:tcMar>
            <w:vAlign w:val="bottom"/>
            <w:hideMark/>
          </w:tcPr>
          <w:p w14:paraId="261F000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31" w:type="dxa"/>
            <w:shd w:val="clear" w:color="auto" w:fill="FFFFFF"/>
            <w:tcMar>
              <w:top w:w="15" w:type="dxa"/>
              <w:left w:w="0" w:type="dxa"/>
              <w:bottom w:w="0" w:type="dxa"/>
              <w:right w:w="15" w:type="dxa"/>
            </w:tcMar>
            <w:vAlign w:val="bottom"/>
            <w:hideMark/>
          </w:tcPr>
          <w:p w14:paraId="0E512FA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1" w:type="dxa"/>
            <w:shd w:val="clear" w:color="auto" w:fill="FFFFFF"/>
            <w:tcMar>
              <w:top w:w="15" w:type="dxa"/>
              <w:left w:w="0" w:type="dxa"/>
              <w:bottom w:w="0" w:type="dxa"/>
              <w:right w:w="15" w:type="dxa"/>
            </w:tcMar>
            <w:vAlign w:val="bottom"/>
            <w:hideMark/>
          </w:tcPr>
          <w:p w14:paraId="5B9E50C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2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8E52E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660EB1D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5CC8999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2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B8D03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2" w:type="dxa"/>
            <w:shd w:val="clear" w:color="auto" w:fill="FFFFFF"/>
            <w:noWrap/>
            <w:tcMar>
              <w:top w:w="15" w:type="dxa"/>
              <w:left w:w="0" w:type="dxa"/>
              <w:bottom w:w="0" w:type="dxa"/>
              <w:right w:w="15" w:type="dxa"/>
            </w:tcMar>
            <w:vAlign w:val="bottom"/>
            <w:hideMark/>
          </w:tcPr>
          <w:p w14:paraId="4B193EE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4ED73884" w14:textId="77777777" w:rsidTr="00AC4931">
        <w:tc>
          <w:tcPr>
            <w:tcW w:w="13485" w:type="dxa"/>
            <w:shd w:val="clear" w:color="auto" w:fill="CFF0FC"/>
            <w:tcMar>
              <w:top w:w="15" w:type="dxa"/>
              <w:left w:w="0" w:type="dxa"/>
              <w:bottom w:w="0" w:type="dxa"/>
              <w:right w:w="15" w:type="dxa"/>
            </w:tcMar>
            <w:hideMark/>
          </w:tcPr>
          <w:p w14:paraId="3A463E5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Assets</w:t>
            </w:r>
          </w:p>
        </w:tc>
        <w:tc>
          <w:tcPr>
            <w:tcW w:w="311" w:type="dxa"/>
            <w:shd w:val="clear" w:color="auto" w:fill="CFF0FC"/>
            <w:tcMar>
              <w:top w:w="15" w:type="dxa"/>
              <w:left w:w="0" w:type="dxa"/>
              <w:bottom w:w="0" w:type="dxa"/>
              <w:right w:w="15" w:type="dxa"/>
            </w:tcMar>
            <w:vAlign w:val="bottom"/>
            <w:hideMark/>
          </w:tcPr>
          <w:p w14:paraId="33D22B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20DAD70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06786D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51943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top w:val="single" w:sz="6" w:space="0" w:color="000000"/>
            </w:tcBorders>
            <w:shd w:val="clear" w:color="auto" w:fill="CFF0FC"/>
            <w:noWrap/>
            <w:tcMar>
              <w:top w:w="15" w:type="dxa"/>
              <w:left w:w="0" w:type="dxa"/>
              <w:bottom w:w="0" w:type="dxa"/>
              <w:right w:w="15" w:type="dxa"/>
            </w:tcMar>
            <w:vAlign w:val="bottom"/>
            <w:hideMark/>
          </w:tcPr>
          <w:p w14:paraId="4531849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7B927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353D34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81962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top w:val="single" w:sz="6" w:space="0" w:color="000000"/>
            </w:tcBorders>
            <w:shd w:val="clear" w:color="auto" w:fill="CFF0FC"/>
            <w:noWrap/>
            <w:tcMar>
              <w:top w:w="15" w:type="dxa"/>
              <w:left w:w="0" w:type="dxa"/>
              <w:bottom w:w="0" w:type="dxa"/>
              <w:right w:w="15" w:type="dxa"/>
            </w:tcMar>
            <w:vAlign w:val="bottom"/>
            <w:hideMark/>
          </w:tcPr>
          <w:p w14:paraId="50DEEA5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12CFF4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D8F2272" w14:textId="77777777" w:rsidTr="00AC4931">
        <w:tc>
          <w:tcPr>
            <w:tcW w:w="13485" w:type="dxa"/>
            <w:shd w:val="clear" w:color="auto" w:fill="FFFFFF"/>
            <w:tcMar>
              <w:top w:w="15" w:type="dxa"/>
              <w:left w:w="0" w:type="dxa"/>
              <w:bottom w:w="0" w:type="dxa"/>
              <w:right w:w="15" w:type="dxa"/>
            </w:tcMar>
            <w:hideMark/>
          </w:tcPr>
          <w:p w14:paraId="319FF5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Cash and cash equivalents</w:t>
            </w:r>
          </w:p>
        </w:tc>
        <w:tc>
          <w:tcPr>
            <w:tcW w:w="311" w:type="dxa"/>
            <w:shd w:val="clear" w:color="auto" w:fill="FFFFFF"/>
            <w:tcMar>
              <w:top w:w="15" w:type="dxa"/>
              <w:left w:w="0" w:type="dxa"/>
              <w:bottom w:w="0" w:type="dxa"/>
              <w:right w:w="15" w:type="dxa"/>
            </w:tcMar>
            <w:vAlign w:val="bottom"/>
            <w:hideMark/>
          </w:tcPr>
          <w:p w14:paraId="6097F9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415B8E9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707A88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7DF1F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18" w:type="dxa"/>
            <w:shd w:val="clear" w:color="auto" w:fill="FFFFFF"/>
            <w:noWrap/>
            <w:tcMar>
              <w:top w:w="15" w:type="dxa"/>
              <w:left w:w="0" w:type="dxa"/>
              <w:bottom w:w="0" w:type="dxa"/>
              <w:right w:w="15" w:type="dxa"/>
            </w:tcMar>
            <w:vAlign w:val="bottom"/>
            <w:hideMark/>
          </w:tcPr>
          <w:p w14:paraId="35B6217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1,178.2</w:t>
            </w:r>
          </w:p>
        </w:tc>
        <w:tc>
          <w:tcPr>
            <w:tcW w:w="191" w:type="dxa"/>
            <w:shd w:val="clear" w:color="auto" w:fill="FFFFFF"/>
            <w:noWrap/>
            <w:tcMar>
              <w:top w:w="15" w:type="dxa"/>
              <w:left w:w="0" w:type="dxa"/>
              <w:bottom w:w="0" w:type="dxa"/>
              <w:right w:w="15" w:type="dxa"/>
            </w:tcMar>
            <w:vAlign w:val="bottom"/>
            <w:hideMark/>
          </w:tcPr>
          <w:p w14:paraId="272DB3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1F5E8C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93D65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18" w:type="dxa"/>
            <w:shd w:val="clear" w:color="auto" w:fill="FFFFFF"/>
            <w:noWrap/>
            <w:tcMar>
              <w:top w:w="15" w:type="dxa"/>
              <w:left w:w="0" w:type="dxa"/>
              <w:bottom w:w="0" w:type="dxa"/>
              <w:right w:w="15" w:type="dxa"/>
            </w:tcMar>
            <w:vAlign w:val="bottom"/>
            <w:hideMark/>
          </w:tcPr>
          <w:p w14:paraId="1359589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444.7</w:t>
            </w:r>
          </w:p>
        </w:tc>
        <w:tc>
          <w:tcPr>
            <w:tcW w:w="192" w:type="dxa"/>
            <w:shd w:val="clear" w:color="auto" w:fill="FFFFFF"/>
            <w:noWrap/>
            <w:tcMar>
              <w:top w:w="15" w:type="dxa"/>
              <w:left w:w="0" w:type="dxa"/>
              <w:bottom w:w="0" w:type="dxa"/>
              <w:right w:w="15" w:type="dxa"/>
            </w:tcMar>
            <w:vAlign w:val="bottom"/>
            <w:hideMark/>
          </w:tcPr>
          <w:p w14:paraId="65A888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28AA887" w14:textId="77777777" w:rsidTr="00AC4931">
        <w:tc>
          <w:tcPr>
            <w:tcW w:w="13485" w:type="dxa"/>
            <w:shd w:val="clear" w:color="auto" w:fill="CFF0FC"/>
            <w:tcMar>
              <w:top w:w="15" w:type="dxa"/>
              <w:left w:w="0" w:type="dxa"/>
              <w:bottom w:w="0" w:type="dxa"/>
              <w:right w:w="15" w:type="dxa"/>
            </w:tcMar>
            <w:hideMark/>
          </w:tcPr>
          <w:p w14:paraId="472936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Receivables, net</w:t>
            </w:r>
          </w:p>
        </w:tc>
        <w:tc>
          <w:tcPr>
            <w:tcW w:w="311" w:type="dxa"/>
            <w:shd w:val="clear" w:color="auto" w:fill="CFF0FC"/>
            <w:tcMar>
              <w:top w:w="15" w:type="dxa"/>
              <w:left w:w="0" w:type="dxa"/>
              <w:bottom w:w="0" w:type="dxa"/>
              <w:right w:w="15" w:type="dxa"/>
            </w:tcMar>
            <w:vAlign w:val="bottom"/>
            <w:hideMark/>
          </w:tcPr>
          <w:p w14:paraId="132054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5A560F2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7</w:t>
            </w:r>
          </w:p>
        </w:tc>
        <w:tc>
          <w:tcPr>
            <w:tcW w:w="311" w:type="dxa"/>
            <w:shd w:val="clear" w:color="auto" w:fill="CFF0FC"/>
            <w:tcMar>
              <w:top w:w="15" w:type="dxa"/>
              <w:left w:w="0" w:type="dxa"/>
              <w:bottom w:w="0" w:type="dxa"/>
              <w:right w:w="15" w:type="dxa"/>
            </w:tcMar>
            <w:vAlign w:val="bottom"/>
            <w:hideMark/>
          </w:tcPr>
          <w:p w14:paraId="328F6F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3B0C8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70176E7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1,819.6</w:t>
            </w:r>
          </w:p>
        </w:tc>
        <w:tc>
          <w:tcPr>
            <w:tcW w:w="191" w:type="dxa"/>
            <w:shd w:val="clear" w:color="auto" w:fill="CFF0FC"/>
            <w:noWrap/>
            <w:tcMar>
              <w:top w:w="15" w:type="dxa"/>
              <w:left w:w="0" w:type="dxa"/>
              <w:bottom w:w="0" w:type="dxa"/>
              <w:right w:w="15" w:type="dxa"/>
            </w:tcMar>
            <w:vAlign w:val="bottom"/>
            <w:hideMark/>
          </w:tcPr>
          <w:p w14:paraId="4DF619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52F0C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90E2A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1F86CF3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1,623.9</w:t>
            </w:r>
          </w:p>
        </w:tc>
        <w:tc>
          <w:tcPr>
            <w:tcW w:w="192" w:type="dxa"/>
            <w:shd w:val="clear" w:color="auto" w:fill="CFF0FC"/>
            <w:noWrap/>
            <w:tcMar>
              <w:top w:w="15" w:type="dxa"/>
              <w:left w:w="0" w:type="dxa"/>
              <w:bottom w:w="0" w:type="dxa"/>
              <w:right w:w="15" w:type="dxa"/>
            </w:tcMar>
            <w:vAlign w:val="bottom"/>
            <w:hideMark/>
          </w:tcPr>
          <w:p w14:paraId="11C736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15388AF" w14:textId="77777777" w:rsidTr="00AC4931">
        <w:tc>
          <w:tcPr>
            <w:tcW w:w="13485" w:type="dxa"/>
            <w:shd w:val="clear" w:color="auto" w:fill="FFFFFF"/>
            <w:tcMar>
              <w:top w:w="15" w:type="dxa"/>
              <w:left w:w="0" w:type="dxa"/>
              <w:bottom w:w="0" w:type="dxa"/>
              <w:right w:w="15" w:type="dxa"/>
            </w:tcMar>
            <w:hideMark/>
          </w:tcPr>
          <w:p w14:paraId="3C7016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Inventories, net</w:t>
            </w:r>
          </w:p>
        </w:tc>
        <w:tc>
          <w:tcPr>
            <w:tcW w:w="311" w:type="dxa"/>
            <w:shd w:val="clear" w:color="auto" w:fill="FFFFFF"/>
            <w:tcMar>
              <w:top w:w="15" w:type="dxa"/>
              <w:left w:w="0" w:type="dxa"/>
              <w:bottom w:w="0" w:type="dxa"/>
              <w:right w:w="15" w:type="dxa"/>
            </w:tcMar>
            <w:vAlign w:val="bottom"/>
            <w:hideMark/>
          </w:tcPr>
          <w:p w14:paraId="332246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44F7BF6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8</w:t>
            </w:r>
          </w:p>
        </w:tc>
        <w:tc>
          <w:tcPr>
            <w:tcW w:w="311" w:type="dxa"/>
            <w:shd w:val="clear" w:color="auto" w:fill="FFFFFF"/>
            <w:tcMar>
              <w:top w:w="15" w:type="dxa"/>
              <w:left w:w="0" w:type="dxa"/>
              <w:bottom w:w="0" w:type="dxa"/>
              <w:right w:w="15" w:type="dxa"/>
            </w:tcMar>
            <w:vAlign w:val="bottom"/>
            <w:hideMark/>
          </w:tcPr>
          <w:p w14:paraId="6F765B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A94FD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30D0F8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798.3</w:t>
            </w:r>
          </w:p>
        </w:tc>
        <w:tc>
          <w:tcPr>
            <w:tcW w:w="191" w:type="dxa"/>
            <w:shd w:val="clear" w:color="auto" w:fill="FFFFFF"/>
            <w:noWrap/>
            <w:tcMar>
              <w:top w:w="15" w:type="dxa"/>
              <w:left w:w="0" w:type="dxa"/>
              <w:bottom w:w="0" w:type="dxa"/>
              <w:right w:w="15" w:type="dxa"/>
            </w:tcMar>
            <w:vAlign w:val="bottom"/>
            <w:hideMark/>
          </w:tcPr>
          <w:p w14:paraId="5BED2D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34F739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B5F1D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5AF553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740.9</w:t>
            </w:r>
          </w:p>
        </w:tc>
        <w:tc>
          <w:tcPr>
            <w:tcW w:w="192" w:type="dxa"/>
            <w:shd w:val="clear" w:color="auto" w:fill="FFFFFF"/>
            <w:noWrap/>
            <w:tcMar>
              <w:top w:w="15" w:type="dxa"/>
              <w:left w:w="0" w:type="dxa"/>
              <w:bottom w:w="0" w:type="dxa"/>
              <w:right w:w="15" w:type="dxa"/>
            </w:tcMar>
            <w:vAlign w:val="bottom"/>
            <w:hideMark/>
          </w:tcPr>
          <w:p w14:paraId="1093CE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A41339F" w14:textId="77777777" w:rsidTr="00AC4931">
        <w:tc>
          <w:tcPr>
            <w:tcW w:w="13485" w:type="dxa"/>
            <w:shd w:val="clear" w:color="auto" w:fill="CFF0FC"/>
            <w:tcMar>
              <w:top w:w="15" w:type="dxa"/>
              <w:left w:w="0" w:type="dxa"/>
              <w:bottom w:w="0" w:type="dxa"/>
              <w:right w:w="15" w:type="dxa"/>
            </w:tcMar>
            <w:hideMark/>
          </w:tcPr>
          <w:p w14:paraId="4CAF66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tax receivable</w:t>
            </w:r>
          </w:p>
        </w:tc>
        <w:tc>
          <w:tcPr>
            <w:tcW w:w="311" w:type="dxa"/>
            <w:shd w:val="clear" w:color="auto" w:fill="CFF0FC"/>
            <w:tcMar>
              <w:top w:w="15" w:type="dxa"/>
              <w:left w:w="0" w:type="dxa"/>
              <w:bottom w:w="0" w:type="dxa"/>
              <w:right w:w="15" w:type="dxa"/>
            </w:tcMar>
            <w:vAlign w:val="bottom"/>
            <w:hideMark/>
          </w:tcPr>
          <w:p w14:paraId="7FFC67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11124D9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06380C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F3ABE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7B98F7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44.2</w:t>
            </w:r>
          </w:p>
        </w:tc>
        <w:tc>
          <w:tcPr>
            <w:tcW w:w="191" w:type="dxa"/>
            <w:shd w:val="clear" w:color="auto" w:fill="CFF0FC"/>
            <w:noWrap/>
            <w:tcMar>
              <w:top w:w="15" w:type="dxa"/>
              <w:left w:w="0" w:type="dxa"/>
              <w:bottom w:w="0" w:type="dxa"/>
              <w:right w:w="15" w:type="dxa"/>
            </w:tcMar>
            <w:vAlign w:val="bottom"/>
            <w:hideMark/>
          </w:tcPr>
          <w:p w14:paraId="36496A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39973C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9F0E6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29C02F1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26.8</w:t>
            </w:r>
          </w:p>
        </w:tc>
        <w:tc>
          <w:tcPr>
            <w:tcW w:w="192" w:type="dxa"/>
            <w:shd w:val="clear" w:color="auto" w:fill="CFF0FC"/>
            <w:noWrap/>
            <w:tcMar>
              <w:top w:w="15" w:type="dxa"/>
              <w:left w:w="0" w:type="dxa"/>
              <w:bottom w:w="0" w:type="dxa"/>
              <w:right w:w="15" w:type="dxa"/>
            </w:tcMar>
            <w:vAlign w:val="bottom"/>
            <w:hideMark/>
          </w:tcPr>
          <w:p w14:paraId="4CDBE0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8E20E7F" w14:textId="77777777" w:rsidTr="00AC4931">
        <w:tc>
          <w:tcPr>
            <w:tcW w:w="13485" w:type="dxa"/>
            <w:shd w:val="clear" w:color="auto" w:fill="FFFFFF"/>
            <w:tcMar>
              <w:top w:w="15" w:type="dxa"/>
              <w:left w:w="0" w:type="dxa"/>
              <w:bottom w:w="0" w:type="dxa"/>
              <w:right w:w="15" w:type="dxa"/>
            </w:tcMar>
            <w:hideMark/>
          </w:tcPr>
          <w:p w14:paraId="226624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Prepaid expenses</w:t>
            </w:r>
          </w:p>
        </w:tc>
        <w:tc>
          <w:tcPr>
            <w:tcW w:w="311" w:type="dxa"/>
            <w:shd w:val="clear" w:color="auto" w:fill="FFFFFF"/>
            <w:tcMar>
              <w:top w:w="15" w:type="dxa"/>
              <w:left w:w="0" w:type="dxa"/>
              <w:bottom w:w="0" w:type="dxa"/>
              <w:right w:w="15" w:type="dxa"/>
            </w:tcMar>
            <w:vAlign w:val="bottom"/>
            <w:hideMark/>
          </w:tcPr>
          <w:p w14:paraId="438FE5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0266336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5CEE6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D797E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8FF62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163.6</w:t>
            </w:r>
          </w:p>
        </w:tc>
        <w:tc>
          <w:tcPr>
            <w:tcW w:w="191" w:type="dxa"/>
            <w:shd w:val="clear" w:color="auto" w:fill="FFFFFF"/>
            <w:noWrap/>
            <w:tcMar>
              <w:top w:w="15" w:type="dxa"/>
              <w:left w:w="0" w:type="dxa"/>
              <w:bottom w:w="0" w:type="dxa"/>
              <w:right w:w="15" w:type="dxa"/>
            </w:tcMar>
            <w:vAlign w:val="bottom"/>
            <w:hideMark/>
          </w:tcPr>
          <w:p w14:paraId="487DA2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16C519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26013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5ACD337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134.6</w:t>
            </w:r>
          </w:p>
        </w:tc>
        <w:tc>
          <w:tcPr>
            <w:tcW w:w="192" w:type="dxa"/>
            <w:shd w:val="clear" w:color="auto" w:fill="FFFFFF"/>
            <w:noWrap/>
            <w:tcMar>
              <w:top w:w="15" w:type="dxa"/>
              <w:left w:w="0" w:type="dxa"/>
              <w:bottom w:w="0" w:type="dxa"/>
              <w:right w:w="15" w:type="dxa"/>
            </w:tcMar>
            <w:vAlign w:val="bottom"/>
            <w:hideMark/>
          </w:tcPr>
          <w:p w14:paraId="0D3C2E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8BF975F" w14:textId="77777777" w:rsidTr="00AC4931">
        <w:tc>
          <w:tcPr>
            <w:tcW w:w="13485" w:type="dxa"/>
            <w:shd w:val="clear" w:color="auto" w:fill="CFF0FC"/>
            <w:tcMar>
              <w:top w:w="15" w:type="dxa"/>
              <w:left w:w="0" w:type="dxa"/>
              <w:bottom w:w="0" w:type="dxa"/>
              <w:right w:w="15" w:type="dxa"/>
            </w:tcMar>
            <w:hideMark/>
          </w:tcPr>
          <w:p w14:paraId="7352FF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Related party receivable</w:t>
            </w:r>
          </w:p>
        </w:tc>
        <w:tc>
          <w:tcPr>
            <w:tcW w:w="311" w:type="dxa"/>
            <w:shd w:val="clear" w:color="auto" w:fill="CFF0FC"/>
            <w:tcMar>
              <w:top w:w="15" w:type="dxa"/>
              <w:left w:w="0" w:type="dxa"/>
              <w:bottom w:w="0" w:type="dxa"/>
              <w:right w:w="15" w:type="dxa"/>
            </w:tcMar>
            <w:vAlign w:val="bottom"/>
            <w:hideMark/>
          </w:tcPr>
          <w:p w14:paraId="521C96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2DCDC56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20</w:t>
            </w:r>
          </w:p>
        </w:tc>
        <w:tc>
          <w:tcPr>
            <w:tcW w:w="311" w:type="dxa"/>
            <w:shd w:val="clear" w:color="auto" w:fill="CFF0FC"/>
            <w:tcMar>
              <w:top w:w="15" w:type="dxa"/>
              <w:left w:w="0" w:type="dxa"/>
              <w:bottom w:w="0" w:type="dxa"/>
              <w:right w:w="15" w:type="dxa"/>
            </w:tcMar>
            <w:vAlign w:val="bottom"/>
            <w:hideMark/>
          </w:tcPr>
          <w:p w14:paraId="4A1B47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3900B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180B4F6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91" w:type="dxa"/>
            <w:shd w:val="clear" w:color="auto" w:fill="CFF0FC"/>
            <w:noWrap/>
            <w:tcMar>
              <w:top w:w="15" w:type="dxa"/>
              <w:left w:w="0" w:type="dxa"/>
              <w:bottom w:w="0" w:type="dxa"/>
              <w:right w:w="15" w:type="dxa"/>
            </w:tcMar>
            <w:vAlign w:val="bottom"/>
            <w:hideMark/>
          </w:tcPr>
          <w:p w14:paraId="04F186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0BACD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95F46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372B99B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w:t>
            </w:r>
          </w:p>
        </w:tc>
        <w:tc>
          <w:tcPr>
            <w:tcW w:w="192" w:type="dxa"/>
            <w:shd w:val="clear" w:color="auto" w:fill="CFF0FC"/>
            <w:noWrap/>
            <w:tcMar>
              <w:top w:w="15" w:type="dxa"/>
              <w:left w:w="0" w:type="dxa"/>
              <w:bottom w:w="0" w:type="dxa"/>
              <w:right w:w="15" w:type="dxa"/>
            </w:tcMar>
            <w:vAlign w:val="bottom"/>
            <w:hideMark/>
          </w:tcPr>
          <w:p w14:paraId="1EB59F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EE9C7FB" w14:textId="77777777" w:rsidTr="00AC4931">
        <w:tc>
          <w:tcPr>
            <w:tcW w:w="13485" w:type="dxa"/>
            <w:shd w:val="clear" w:color="auto" w:fill="FFFFFF"/>
            <w:tcMar>
              <w:top w:w="15" w:type="dxa"/>
              <w:left w:w="0" w:type="dxa"/>
              <w:bottom w:w="0" w:type="dxa"/>
              <w:right w:w="15" w:type="dxa"/>
            </w:tcMar>
            <w:hideMark/>
          </w:tcPr>
          <w:p w14:paraId="291ED7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current assets</w:t>
            </w:r>
          </w:p>
        </w:tc>
        <w:tc>
          <w:tcPr>
            <w:tcW w:w="311" w:type="dxa"/>
            <w:shd w:val="clear" w:color="auto" w:fill="FFFFFF"/>
            <w:tcMar>
              <w:top w:w="15" w:type="dxa"/>
              <w:left w:w="0" w:type="dxa"/>
              <w:bottom w:w="0" w:type="dxa"/>
              <w:right w:w="15" w:type="dxa"/>
            </w:tcMar>
            <w:vAlign w:val="bottom"/>
            <w:hideMark/>
          </w:tcPr>
          <w:p w14:paraId="1F4107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1CD7342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13, 18</w:t>
            </w:r>
          </w:p>
        </w:tc>
        <w:tc>
          <w:tcPr>
            <w:tcW w:w="311" w:type="dxa"/>
            <w:shd w:val="clear" w:color="auto" w:fill="FFFFFF"/>
            <w:tcMar>
              <w:top w:w="15" w:type="dxa"/>
              <w:left w:w="0" w:type="dxa"/>
              <w:bottom w:w="0" w:type="dxa"/>
              <w:right w:w="15" w:type="dxa"/>
            </w:tcMar>
            <w:vAlign w:val="bottom"/>
            <w:hideMark/>
          </w:tcPr>
          <w:p w14:paraId="06F87C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5D128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FFFFFF"/>
            <w:noWrap/>
            <w:tcMar>
              <w:top w:w="15" w:type="dxa"/>
              <w:left w:w="0" w:type="dxa"/>
              <w:bottom w:w="0" w:type="dxa"/>
              <w:right w:w="15" w:type="dxa"/>
            </w:tcMar>
            <w:vAlign w:val="bottom"/>
            <w:hideMark/>
          </w:tcPr>
          <w:p w14:paraId="4401958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263.1</w:t>
            </w:r>
          </w:p>
        </w:tc>
        <w:tc>
          <w:tcPr>
            <w:tcW w:w="191" w:type="dxa"/>
            <w:shd w:val="clear" w:color="auto" w:fill="FFFFFF"/>
            <w:noWrap/>
            <w:tcMar>
              <w:top w:w="15" w:type="dxa"/>
              <w:left w:w="0" w:type="dxa"/>
              <w:bottom w:w="0" w:type="dxa"/>
              <w:right w:w="15" w:type="dxa"/>
            </w:tcMar>
            <w:vAlign w:val="bottom"/>
            <w:hideMark/>
          </w:tcPr>
          <w:p w14:paraId="0BD184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7FE462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799B3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FFFFFF"/>
            <w:noWrap/>
            <w:tcMar>
              <w:top w:w="15" w:type="dxa"/>
              <w:left w:w="0" w:type="dxa"/>
              <w:bottom w:w="0" w:type="dxa"/>
              <w:right w:w="15" w:type="dxa"/>
            </w:tcMar>
            <w:vAlign w:val="bottom"/>
            <w:hideMark/>
          </w:tcPr>
          <w:p w14:paraId="5E8ADA2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28.4</w:t>
            </w:r>
          </w:p>
        </w:tc>
        <w:tc>
          <w:tcPr>
            <w:tcW w:w="192" w:type="dxa"/>
            <w:shd w:val="clear" w:color="auto" w:fill="FFFFFF"/>
            <w:noWrap/>
            <w:tcMar>
              <w:top w:w="15" w:type="dxa"/>
              <w:left w:w="0" w:type="dxa"/>
              <w:bottom w:w="0" w:type="dxa"/>
              <w:right w:w="15" w:type="dxa"/>
            </w:tcMar>
            <w:vAlign w:val="bottom"/>
            <w:hideMark/>
          </w:tcPr>
          <w:p w14:paraId="0FDFFC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9686A3D" w14:textId="77777777" w:rsidTr="00AC4931">
        <w:tc>
          <w:tcPr>
            <w:tcW w:w="13485" w:type="dxa"/>
            <w:shd w:val="clear" w:color="auto" w:fill="CFF0FC"/>
            <w:tcMar>
              <w:top w:w="15" w:type="dxa"/>
              <w:left w:w="0" w:type="dxa"/>
              <w:bottom w:w="0" w:type="dxa"/>
              <w:right w:w="15" w:type="dxa"/>
            </w:tcMar>
            <w:hideMark/>
          </w:tcPr>
          <w:p w14:paraId="09A9B89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current assets</w:t>
            </w:r>
          </w:p>
        </w:tc>
        <w:tc>
          <w:tcPr>
            <w:tcW w:w="311" w:type="dxa"/>
            <w:shd w:val="clear" w:color="auto" w:fill="CFF0FC"/>
            <w:tcMar>
              <w:top w:w="15" w:type="dxa"/>
              <w:left w:w="0" w:type="dxa"/>
              <w:bottom w:w="0" w:type="dxa"/>
              <w:right w:w="15" w:type="dxa"/>
            </w:tcMar>
            <w:vAlign w:val="bottom"/>
            <w:hideMark/>
          </w:tcPr>
          <w:p w14:paraId="4F1B02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5A2E335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39753C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1921F1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DC00E5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4,269.0</w:t>
            </w:r>
          </w:p>
        </w:tc>
        <w:tc>
          <w:tcPr>
            <w:tcW w:w="191" w:type="dxa"/>
            <w:shd w:val="clear" w:color="auto" w:fill="CFF0FC"/>
            <w:noWrap/>
            <w:tcMar>
              <w:top w:w="15" w:type="dxa"/>
              <w:left w:w="0" w:type="dxa"/>
              <w:bottom w:w="0" w:type="dxa"/>
              <w:right w:w="15" w:type="dxa"/>
            </w:tcMar>
            <w:vAlign w:val="bottom"/>
            <w:hideMark/>
          </w:tcPr>
          <w:p w14:paraId="0BF3476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0F05D5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DFBFA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BC8FDB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3,002.1</w:t>
            </w:r>
          </w:p>
        </w:tc>
        <w:tc>
          <w:tcPr>
            <w:tcW w:w="192" w:type="dxa"/>
            <w:shd w:val="clear" w:color="auto" w:fill="CFF0FC"/>
            <w:noWrap/>
            <w:tcMar>
              <w:top w:w="15" w:type="dxa"/>
              <w:left w:w="0" w:type="dxa"/>
              <w:bottom w:w="0" w:type="dxa"/>
              <w:right w:w="15" w:type="dxa"/>
            </w:tcMar>
            <w:vAlign w:val="bottom"/>
            <w:hideMark/>
          </w:tcPr>
          <w:p w14:paraId="28B9C28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D597019" w14:textId="77777777" w:rsidTr="00AC4931">
        <w:tc>
          <w:tcPr>
            <w:tcW w:w="13485" w:type="dxa"/>
            <w:shd w:val="clear" w:color="auto" w:fill="FFFFFF"/>
            <w:tcMar>
              <w:top w:w="15" w:type="dxa"/>
              <w:left w:w="0" w:type="dxa"/>
              <w:bottom w:w="0" w:type="dxa"/>
              <w:right w:w="15" w:type="dxa"/>
            </w:tcMar>
            <w:hideMark/>
          </w:tcPr>
          <w:p w14:paraId="35C0A5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Property, plant and equipment, net</w:t>
            </w:r>
          </w:p>
        </w:tc>
        <w:tc>
          <w:tcPr>
            <w:tcW w:w="311" w:type="dxa"/>
            <w:shd w:val="clear" w:color="auto" w:fill="FFFFFF"/>
            <w:tcMar>
              <w:top w:w="15" w:type="dxa"/>
              <w:left w:w="0" w:type="dxa"/>
              <w:bottom w:w="0" w:type="dxa"/>
              <w:right w:w="15" w:type="dxa"/>
            </w:tcMar>
            <w:vAlign w:val="bottom"/>
            <w:hideMark/>
          </w:tcPr>
          <w:p w14:paraId="3A8751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745C42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10</w:t>
            </w:r>
          </w:p>
        </w:tc>
        <w:tc>
          <w:tcPr>
            <w:tcW w:w="311" w:type="dxa"/>
            <w:shd w:val="clear" w:color="auto" w:fill="FFFFFF"/>
            <w:tcMar>
              <w:top w:w="15" w:type="dxa"/>
              <w:left w:w="0" w:type="dxa"/>
              <w:bottom w:w="0" w:type="dxa"/>
              <w:right w:w="15" w:type="dxa"/>
            </w:tcMar>
            <w:vAlign w:val="bottom"/>
            <w:hideMark/>
          </w:tcPr>
          <w:p w14:paraId="1278E9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3A8B7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3A8B480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1,869.1</w:t>
            </w:r>
          </w:p>
        </w:tc>
        <w:tc>
          <w:tcPr>
            <w:tcW w:w="191" w:type="dxa"/>
            <w:shd w:val="clear" w:color="auto" w:fill="FFFFFF"/>
            <w:noWrap/>
            <w:tcMar>
              <w:top w:w="15" w:type="dxa"/>
              <w:left w:w="0" w:type="dxa"/>
              <w:bottom w:w="0" w:type="dxa"/>
              <w:right w:w="15" w:type="dxa"/>
            </w:tcMar>
            <w:vAlign w:val="bottom"/>
            <w:hideMark/>
          </w:tcPr>
          <w:p w14:paraId="0C5701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00DB6D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D0F38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4C04903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1,815.7</w:t>
            </w:r>
          </w:p>
        </w:tc>
        <w:tc>
          <w:tcPr>
            <w:tcW w:w="192" w:type="dxa"/>
            <w:shd w:val="clear" w:color="auto" w:fill="FFFFFF"/>
            <w:noWrap/>
            <w:tcMar>
              <w:top w:w="15" w:type="dxa"/>
              <w:left w:w="0" w:type="dxa"/>
              <w:bottom w:w="0" w:type="dxa"/>
              <w:right w:w="15" w:type="dxa"/>
            </w:tcMar>
            <w:vAlign w:val="bottom"/>
            <w:hideMark/>
          </w:tcPr>
          <w:p w14:paraId="661E24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56D443C" w14:textId="77777777" w:rsidTr="00AC4931">
        <w:tc>
          <w:tcPr>
            <w:tcW w:w="13485" w:type="dxa"/>
            <w:shd w:val="clear" w:color="auto" w:fill="CFF0FC"/>
            <w:tcMar>
              <w:top w:w="15" w:type="dxa"/>
              <w:left w:w="0" w:type="dxa"/>
              <w:bottom w:w="0" w:type="dxa"/>
              <w:right w:w="15" w:type="dxa"/>
            </w:tcMar>
            <w:hideMark/>
          </w:tcPr>
          <w:p w14:paraId="5B2E28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lease right-of-use assets</w:t>
            </w:r>
          </w:p>
        </w:tc>
        <w:tc>
          <w:tcPr>
            <w:tcW w:w="311" w:type="dxa"/>
            <w:shd w:val="clear" w:color="auto" w:fill="CFF0FC"/>
            <w:tcMar>
              <w:top w:w="15" w:type="dxa"/>
              <w:left w:w="0" w:type="dxa"/>
              <w:bottom w:w="0" w:type="dxa"/>
              <w:right w:w="15" w:type="dxa"/>
            </w:tcMar>
            <w:vAlign w:val="bottom"/>
            <w:hideMark/>
          </w:tcPr>
          <w:p w14:paraId="14C550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709CDE0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4</w:t>
            </w:r>
          </w:p>
        </w:tc>
        <w:tc>
          <w:tcPr>
            <w:tcW w:w="311" w:type="dxa"/>
            <w:shd w:val="clear" w:color="auto" w:fill="CFF0FC"/>
            <w:tcMar>
              <w:top w:w="15" w:type="dxa"/>
              <w:left w:w="0" w:type="dxa"/>
              <w:bottom w:w="0" w:type="dxa"/>
              <w:right w:w="15" w:type="dxa"/>
            </w:tcMar>
            <w:vAlign w:val="bottom"/>
            <w:hideMark/>
          </w:tcPr>
          <w:p w14:paraId="4CFFCF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CC44F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623A0E3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140.8</w:t>
            </w:r>
          </w:p>
        </w:tc>
        <w:tc>
          <w:tcPr>
            <w:tcW w:w="191" w:type="dxa"/>
            <w:shd w:val="clear" w:color="auto" w:fill="CFF0FC"/>
            <w:noWrap/>
            <w:tcMar>
              <w:top w:w="15" w:type="dxa"/>
              <w:left w:w="0" w:type="dxa"/>
              <w:bottom w:w="0" w:type="dxa"/>
              <w:right w:w="15" w:type="dxa"/>
            </w:tcMar>
            <w:vAlign w:val="bottom"/>
            <w:hideMark/>
          </w:tcPr>
          <w:p w14:paraId="683FF7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903C0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00A44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44E4BD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156.8</w:t>
            </w:r>
          </w:p>
        </w:tc>
        <w:tc>
          <w:tcPr>
            <w:tcW w:w="192" w:type="dxa"/>
            <w:shd w:val="clear" w:color="auto" w:fill="CFF0FC"/>
            <w:noWrap/>
            <w:tcMar>
              <w:top w:w="15" w:type="dxa"/>
              <w:left w:w="0" w:type="dxa"/>
              <w:bottom w:w="0" w:type="dxa"/>
              <w:right w:w="15" w:type="dxa"/>
            </w:tcMar>
            <w:vAlign w:val="bottom"/>
            <w:hideMark/>
          </w:tcPr>
          <w:p w14:paraId="16494F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86071A8" w14:textId="77777777" w:rsidTr="00AC4931">
        <w:tc>
          <w:tcPr>
            <w:tcW w:w="13485" w:type="dxa"/>
            <w:shd w:val="clear" w:color="auto" w:fill="FFFFFF"/>
            <w:tcMar>
              <w:top w:w="15" w:type="dxa"/>
              <w:left w:w="0" w:type="dxa"/>
              <w:bottom w:w="0" w:type="dxa"/>
              <w:right w:w="15" w:type="dxa"/>
            </w:tcMar>
            <w:hideMark/>
          </w:tcPr>
          <w:p w14:paraId="1BDF81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Goodwill</w:t>
            </w:r>
          </w:p>
        </w:tc>
        <w:tc>
          <w:tcPr>
            <w:tcW w:w="311" w:type="dxa"/>
            <w:shd w:val="clear" w:color="auto" w:fill="FFFFFF"/>
            <w:tcMar>
              <w:top w:w="15" w:type="dxa"/>
              <w:left w:w="0" w:type="dxa"/>
              <w:bottom w:w="0" w:type="dxa"/>
              <w:right w:w="15" w:type="dxa"/>
            </w:tcMar>
            <w:vAlign w:val="bottom"/>
            <w:hideMark/>
          </w:tcPr>
          <w:p w14:paraId="68842E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3205572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11</w:t>
            </w:r>
          </w:p>
        </w:tc>
        <w:tc>
          <w:tcPr>
            <w:tcW w:w="311" w:type="dxa"/>
            <w:shd w:val="clear" w:color="auto" w:fill="FFFFFF"/>
            <w:tcMar>
              <w:top w:w="15" w:type="dxa"/>
              <w:left w:w="0" w:type="dxa"/>
              <w:bottom w:w="0" w:type="dxa"/>
              <w:right w:w="15" w:type="dxa"/>
            </w:tcMar>
            <w:vAlign w:val="bottom"/>
            <w:hideMark/>
          </w:tcPr>
          <w:p w14:paraId="11EE43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C95AE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1551B22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1,398.1</w:t>
            </w:r>
          </w:p>
        </w:tc>
        <w:tc>
          <w:tcPr>
            <w:tcW w:w="191" w:type="dxa"/>
            <w:shd w:val="clear" w:color="auto" w:fill="FFFFFF"/>
            <w:noWrap/>
            <w:tcMar>
              <w:top w:w="15" w:type="dxa"/>
              <w:left w:w="0" w:type="dxa"/>
              <w:bottom w:w="0" w:type="dxa"/>
              <w:right w:w="15" w:type="dxa"/>
            </w:tcMar>
            <w:vAlign w:val="bottom"/>
            <w:hideMark/>
          </w:tcPr>
          <w:p w14:paraId="7A2CC7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2DB51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2DAF0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3447B8E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1,387.9</w:t>
            </w:r>
          </w:p>
        </w:tc>
        <w:tc>
          <w:tcPr>
            <w:tcW w:w="192" w:type="dxa"/>
            <w:shd w:val="clear" w:color="auto" w:fill="FFFFFF"/>
            <w:noWrap/>
            <w:tcMar>
              <w:top w:w="15" w:type="dxa"/>
              <w:left w:w="0" w:type="dxa"/>
              <w:bottom w:w="0" w:type="dxa"/>
              <w:right w:w="15" w:type="dxa"/>
            </w:tcMar>
            <w:vAlign w:val="bottom"/>
            <w:hideMark/>
          </w:tcPr>
          <w:p w14:paraId="3E8E69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73D18E5" w14:textId="77777777" w:rsidTr="00AC4931">
        <w:tc>
          <w:tcPr>
            <w:tcW w:w="13485" w:type="dxa"/>
            <w:shd w:val="clear" w:color="auto" w:fill="CFF0FC"/>
            <w:tcMar>
              <w:top w:w="15" w:type="dxa"/>
              <w:left w:w="0" w:type="dxa"/>
              <w:bottom w:w="0" w:type="dxa"/>
              <w:right w:w="15" w:type="dxa"/>
            </w:tcMar>
            <w:hideMark/>
          </w:tcPr>
          <w:p w14:paraId="26F52F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Intangible assets, net</w:t>
            </w:r>
          </w:p>
        </w:tc>
        <w:tc>
          <w:tcPr>
            <w:tcW w:w="311" w:type="dxa"/>
            <w:shd w:val="clear" w:color="auto" w:fill="CFF0FC"/>
            <w:tcMar>
              <w:top w:w="15" w:type="dxa"/>
              <w:left w:w="0" w:type="dxa"/>
              <w:bottom w:w="0" w:type="dxa"/>
              <w:right w:w="15" w:type="dxa"/>
            </w:tcMar>
            <w:vAlign w:val="bottom"/>
            <w:hideMark/>
          </w:tcPr>
          <w:p w14:paraId="273573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48A289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11</w:t>
            </w:r>
          </w:p>
        </w:tc>
        <w:tc>
          <w:tcPr>
            <w:tcW w:w="311" w:type="dxa"/>
            <w:shd w:val="clear" w:color="auto" w:fill="CFF0FC"/>
            <w:tcMar>
              <w:top w:w="15" w:type="dxa"/>
              <w:left w:w="0" w:type="dxa"/>
              <w:bottom w:w="0" w:type="dxa"/>
              <w:right w:w="15" w:type="dxa"/>
            </w:tcMar>
            <w:vAlign w:val="bottom"/>
            <w:hideMark/>
          </w:tcPr>
          <w:p w14:paraId="1E74CC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1CD86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44A32F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13.6</w:t>
            </w:r>
          </w:p>
        </w:tc>
        <w:tc>
          <w:tcPr>
            <w:tcW w:w="191" w:type="dxa"/>
            <w:shd w:val="clear" w:color="auto" w:fill="CFF0FC"/>
            <w:noWrap/>
            <w:tcMar>
              <w:top w:w="15" w:type="dxa"/>
              <w:left w:w="0" w:type="dxa"/>
              <w:bottom w:w="0" w:type="dxa"/>
              <w:right w:w="15" w:type="dxa"/>
            </w:tcMar>
            <w:vAlign w:val="bottom"/>
            <w:hideMark/>
          </w:tcPr>
          <w:p w14:paraId="434FA5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6188BE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5F77D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129D73A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22.3</w:t>
            </w:r>
          </w:p>
        </w:tc>
        <w:tc>
          <w:tcPr>
            <w:tcW w:w="192" w:type="dxa"/>
            <w:shd w:val="clear" w:color="auto" w:fill="CFF0FC"/>
            <w:noWrap/>
            <w:tcMar>
              <w:top w:w="15" w:type="dxa"/>
              <w:left w:w="0" w:type="dxa"/>
              <w:bottom w:w="0" w:type="dxa"/>
              <w:right w:w="15" w:type="dxa"/>
            </w:tcMar>
            <w:vAlign w:val="bottom"/>
            <w:hideMark/>
          </w:tcPr>
          <w:p w14:paraId="3D6A6F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2D0268A" w14:textId="77777777" w:rsidTr="00AC4931">
        <w:tc>
          <w:tcPr>
            <w:tcW w:w="13485" w:type="dxa"/>
            <w:shd w:val="clear" w:color="auto" w:fill="FFFFFF"/>
            <w:tcMar>
              <w:top w:w="15" w:type="dxa"/>
              <w:left w:w="0" w:type="dxa"/>
              <w:bottom w:w="0" w:type="dxa"/>
              <w:right w:w="15" w:type="dxa"/>
            </w:tcMar>
            <w:hideMark/>
          </w:tcPr>
          <w:p w14:paraId="3DF0D1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non-current assets</w:t>
            </w:r>
          </w:p>
        </w:tc>
        <w:tc>
          <w:tcPr>
            <w:tcW w:w="311" w:type="dxa"/>
            <w:shd w:val="clear" w:color="auto" w:fill="FFFFFF"/>
            <w:tcMar>
              <w:top w:w="15" w:type="dxa"/>
              <w:left w:w="0" w:type="dxa"/>
              <w:bottom w:w="0" w:type="dxa"/>
              <w:right w:w="15" w:type="dxa"/>
            </w:tcMar>
            <w:vAlign w:val="bottom"/>
            <w:hideMark/>
          </w:tcPr>
          <w:p w14:paraId="5AB319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23D5671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9, 18</w:t>
            </w:r>
          </w:p>
        </w:tc>
        <w:tc>
          <w:tcPr>
            <w:tcW w:w="311" w:type="dxa"/>
            <w:shd w:val="clear" w:color="auto" w:fill="FFFFFF"/>
            <w:tcMar>
              <w:top w:w="15" w:type="dxa"/>
              <w:left w:w="0" w:type="dxa"/>
              <w:bottom w:w="0" w:type="dxa"/>
              <w:right w:w="15" w:type="dxa"/>
            </w:tcMar>
            <w:vAlign w:val="bottom"/>
            <w:hideMark/>
          </w:tcPr>
          <w:p w14:paraId="4CE07C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B1610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FFFFFF"/>
            <w:noWrap/>
            <w:tcMar>
              <w:top w:w="15" w:type="dxa"/>
              <w:left w:w="0" w:type="dxa"/>
              <w:bottom w:w="0" w:type="dxa"/>
              <w:right w:w="15" w:type="dxa"/>
            </w:tcMar>
            <w:vAlign w:val="bottom"/>
            <w:hideMark/>
          </w:tcPr>
          <w:p w14:paraId="78746CB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466.2</w:t>
            </w:r>
          </w:p>
        </w:tc>
        <w:tc>
          <w:tcPr>
            <w:tcW w:w="191" w:type="dxa"/>
            <w:shd w:val="clear" w:color="auto" w:fill="FFFFFF"/>
            <w:noWrap/>
            <w:tcMar>
              <w:top w:w="15" w:type="dxa"/>
              <w:left w:w="0" w:type="dxa"/>
              <w:bottom w:w="0" w:type="dxa"/>
              <w:right w:w="15" w:type="dxa"/>
            </w:tcMar>
            <w:vAlign w:val="bottom"/>
            <w:hideMark/>
          </w:tcPr>
          <w:p w14:paraId="257C90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36CC42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52682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FFFFFF"/>
            <w:noWrap/>
            <w:tcMar>
              <w:top w:w="15" w:type="dxa"/>
              <w:left w:w="0" w:type="dxa"/>
              <w:bottom w:w="0" w:type="dxa"/>
              <w:right w:w="15" w:type="dxa"/>
            </w:tcMar>
            <w:vAlign w:val="bottom"/>
            <w:hideMark/>
          </w:tcPr>
          <w:p w14:paraId="41663D1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386.4</w:t>
            </w:r>
          </w:p>
        </w:tc>
        <w:tc>
          <w:tcPr>
            <w:tcW w:w="192" w:type="dxa"/>
            <w:shd w:val="clear" w:color="auto" w:fill="FFFFFF"/>
            <w:noWrap/>
            <w:tcMar>
              <w:top w:w="15" w:type="dxa"/>
              <w:left w:w="0" w:type="dxa"/>
              <w:bottom w:w="0" w:type="dxa"/>
              <w:right w:w="15" w:type="dxa"/>
            </w:tcMar>
            <w:vAlign w:val="bottom"/>
            <w:hideMark/>
          </w:tcPr>
          <w:p w14:paraId="0A420B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9C2C2D9" w14:textId="77777777" w:rsidTr="00AC4931">
        <w:tc>
          <w:tcPr>
            <w:tcW w:w="13485" w:type="dxa"/>
            <w:shd w:val="clear" w:color="auto" w:fill="CFF0FC"/>
            <w:tcMar>
              <w:top w:w="15" w:type="dxa"/>
              <w:left w:w="0" w:type="dxa"/>
              <w:bottom w:w="0" w:type="dxa"/>
              <w:right w:w="15" w:type="dxa"/>
            </w:tcMar>
            <w:hideMark/>
          </w:tcPr>
          <w:p w14:paraId="266352C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assets</w:t>
            </w:r>
          </w:p>
        </w:tc>
        <w:tc>
          <w:tcPr>
            <w:tcW w:w="311" w:type="dxa"/>
            <w:shd w:val="clear" w:color="auto" w:fill="CFF0FC"/>
            <w:tcMar>
              <w:top w:w="15" w:type="dxa"/>
              <w:left w:w="0" w:type="dxa"/>
              <w:bottom w:w="0" w:type="dxa"/>
              <w:right w:w="15" w:type="dxa"/>
            </w:tcMar>
            <w:vAlign w:val="bottom"/>
            <w:hideMark/>
          </w:tcPr>
          <w:p w14:paraId="4B6A68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4C3F191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BB1F8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5A0811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9862B8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8,156.8</w:t>
            </w:r>
          </w:p>
        </w:tc>
        <w:tc>
          <w:tcPr>
            <w:tcW w:w="191" w:type="dxa"/>
            <w:shd w:val="clear" w:color="auto" w:fill="CFF0FC"/>
            <w:noWrap/>
            <w:tcMar>
              <w:top w:w="15" w:type="dxa"/>
              <w:left w:w="0" w:type="dxa"/>
              <w:bottom w:w="0" w:type="dxa"/>
              <w:right w:w="15" w:type="dxa"/>
            </w:tcMar>
            <w:vAlign w:val="bottom"/>
            <w:hideMark/>
          </w:tcPr>
          <w:p w14:paraId="0B4176E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697C06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60454B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32CED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6,771.2</w:t>
            </w:r>
          </w:p>
        </w:tc>
        <w:tc>
          <w:tcPr>
            <w:tcW w:w="192" w:type="dxa"/>
            <w:shd w:val="clear" w:color="auto" w:fill="CFF0FC"/>
            <w:noWrap/>
            <w:tcMar>
              <w:top w:w="15" w:type="dxa"/>
              <w:left w:w="0" w:type="dxa"/>
              <w:bottom w:w="0" w:type="dxa"/>
              <w:right w:w="15" w:type="dxa"/>
            </w:tcMar>
            <w:vAlign w:val="bottom"/>
            <w:hideMark/>
          </w:tcPr>
          <w:p w14:paraId="5B34F5B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9D169CA" w14:textId="77777777" w:rsidTr="00AC4931">
        <w:tc>
          <w:tcPr>
            <w:tcW w:w="13485" w:type="dxa"/>
            <w:shd w:val="clear" w:color="auto" w:fill="FFFFFF"/>
            <w:tcMar>
              <w:top w:w="15" w:type="dxa"/>
              <w:left w:w="0" w:type="dxa"/>
              <w:bottom w:w="0" w:type="dxa"/>
              <w:right w:w="15" w:type="dxa"/>
            </w:tcMar>
            <w:hideMark/>
          </w:tcPr>
          <w:p w14:paraId="5FB9CB1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Liabilities and equity</w:t>
            </w:r>
          </w:p>
        </w:tc>
        <w:tc>
          <w:tcPr>
            <w:tcW w:w="311" w:type="dxa"/>
            <w:shd w:val="clear" w:color="auto" w:fill="FFFFFF"/>
            <w:tcMar>
              <w:top w:w="15" w:type="dxa"/>
              <w:left w:w="0" w:type="dxa"/>
              <w:bottom w:w="0" w:type="dxa"/>
              <w:right w:w="15" w:type="dxa"/>
            </w:tcMar>
            <w:vAlign w:val="bottom"/>
            <w:hideMark/>
          </w:tcPr>
          <w:p w14:paraId="75B1C7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4041C9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36E422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90321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38228E2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0B515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DF6C4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EDAAF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67FAE9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6B5A7F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AA91D76" w14:textId="77777777" w:rsidTr="00AC4931">
        <w:tc>
          <w:tcPr>
            <w:tcW w:w="13485" w:type="dxa"/>
            <w:shd w:val="clear" w:color="auto" w:fill="CFF0FC"/>
            <w:tcMar>
              <w:top w:w="15" w:type="dxa"/>
              <w:left w:w="0" w:type="dxa"/>
              <w:bottom w:w="0" w:type="dxa"/>
              <w:right w:w="15" w:type="dxa"/>
            </w:tcMar>
            <w:hideMark/>
          </w:tcPr>
          <w:p w14:paraId="41D417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Short-term debt</w:t>
            </w:r>
          </w:p>
        </w:tc>
        <w:tc>
          <w:tcPr>
            <w:tcW w:w="311" w:type="dxa"/>
            <w:shd w:val="clear" w:color="auto" w:fill="CFF0FC"/>
            <w:tcMar>
              <w:top w:w="15" w:type="dxa"/>
              <w:left w:w="0" w:type="dxa"/>
              <w:bottom w:w="0" w:type="dxa"/>
              <w:right w:w="15" w:type="dxa"/>
            </w:tcMar>
            <w:vAlign w:val="bottom"/>
            <w:hideMark/>
          </w:tcPr>
          <w:p w14:paraId="008D5D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4A5B043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14</w:t>
            </w:r>
          </w:p>
        </w:tc>
        <w:tc>
          <w:tcPr>
            <w:tcW w:w="311" w:type="dxa"/>
            <w:shd w:val="clear" w:color="auto" w:fill="CFF0FC"/>
            <w:tcMar>
              <w:top w:w="15" w:type="dxa"/>
              <w:left w:w="0" w:type="dxa"/>
              <w:bottom w:w="0" w:type="dxa"/>
              <w:right w:w="15" w:type="dxa"/>
            </w:tcMar>
            <w:vAlign w:val="bottom"/>
            <w:hideMark/>
          </w:tcPr>
          <w:p w14:paraId="20BE1F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8BA36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18" w:type="dxa"/>
            <w:shd w:val="clear" w:color="auto" w:fill="CFF0FC"/>
            <w:noWrap/>
            <w:tcMar>
              <w:top w:w="15" w:type="dxa"/>
              <w:left w:w="0" w:type="dxa"/>
              <w:bottom w:w="0" w:type="dxa"/>
              <w:right w:w="15" w:type="dxa"/>
            </w:tcMar>
            <w:vAlign w:val="bottom"/>
            <w:hideMark/>
          </w:tcPr>
          <w:p w14:paraId="5AC1F61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301.8</w:t>
            </w:r>
          </w:p>
        </w:tc>
        <w:tc>
          <w:tcPr>
            <w:tcW w:w="191" w:type="dxa"/>
            <w:shd w:val="clear" w:color="auto" w:fill="CFF0FC"/>
            <w:noWrap/>
            <w:tcMar>
              <w:top w:w="15" w:type="dxa"/>
              <w:left w:w="0" w:type="dxa"/>
              <w:bottom w:w="0" w:type="dxa"/>
              <w:right w:w="15" w:type="dxa"/>
            </w:tcMar>
            <w:vAlign w:val="bottom"/>
            <w:hideMark/>
          </w:tcPr>
          <w:p w14:paraId="5E0BEE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0AC602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950E5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18" w:type="dxa"/>
            <w:shd w:val="clear" w:color="auto" w:fill="CFF0FC"/>
            <w:noWrap/>
            <w:tcMar>
              <w:top w:w="15" w:type="dxa"/>
              <w:left w:w="0" w:type="dxa"/>
              <w:bottom w:w="0" w:type="dxa"/>
              <w:right w:w="15" w:type="dxa"/>
            </w:tcMar>
            <w:vAlign w:val="bottom"/>
            <w:hideMark/>
          </w:tcPr>
          <w:p w14:paraId="5F6F3BF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368.1</w:t>
            </w:r>
          </w:p>
        </w:tc>
        <w:tc>
          <w:tcPr>
            <w:tcW w:w="192" w:type="dxa"/>
            <w:shd w:val="clear" w:color="auto" w:fill="CFF0FC"/>
            <w:noWrap/>
            <w:tcMar>
              <w:top w:w="15" w:type="dxa"/>
              <w:left w:w="0" w:type="dxa"/>
              <w:bottom w:w="0" w:type="dxa"/>
              <w:right w:w="15" w:type="dxa"/>
            </w:tcMar>
            <w:vAlign w:val="bottom"/>
            <w:hideMark/>
          </w:tcPr>
          <w:p w14:paraId="495B9D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D76ED05" w14:textId="77777777" w:rsidTr="00AC4931">
        <w:tc>
          <w:tcPr>
            <w:tcW w:w="13485" w:type="dxa"/>
            <w:shd w:val="clear" w:color="auto" w:fill="FFFFFF"/>
            <w:tcMar>
              <w:top w:w="15" w:type="dxa"/>
              <w:left w:w="0" w:type="dxa"/>
              <w:bottom w:w="0" w:type="dxa"/>
              <w:right w:w="15" w:type="dxa"/>
            </w:tcMar>
            <w:hideMark/>
          </w:tcPr>
          <w:p w14:paraId="24DC23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Accounts payable</w:t>
            </w:r>
          </w:p>
        </w:tc>
        <w:tc>
          <w:tcPr>
            <w:tcW w:w="311" w:type="dxa"/>
            <w:shd w:val="clear" w:color="auto" w:fill="FFFFFF"/>
            <w:tcMar>
              <w:top w:w="15" w:type="dxa"/>
              <w:left w:w="0" w:type="dxa"/>
              <w:bottom w:w="0" w:type="dxa"/>
              <w:right w:w="15" w:type="dxa"/>
            </w:tcMar>
            <w:vAlign w:val="bottom"/>
            <w:hideMark/>
          </w:tcPr>
          <w:p w14:paraId="2C495F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15EC1D1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1E243C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F25F8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1ECB366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1,226.7</w:t>
            </w:r>
          </w:p>
        </w:tc>
        <w:tc>
          <w:tcPr>
            <w:tcW w:w="191" w:type="dxa"/>
            <w:shd w:val="clear" w:color="auto" w:fill="FFFFFF"/>
            <w:noWrap/>
            <w:tcMar>
              <w:top w:w="15" w:type="dxa"/>
              <w:left w:w="0" w:type="dxa"/>
              <w:bottom w:w="0" w:type="dxa"/>
              <w:right w:w="15" w:type="dxa"/>
            </w:tcMar>
            <w:vAlign w:val="bottom"/>
            <w:hideMark/>
          </w:tcPr>
          <w:p w14:paraId="74F2B7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1E7A72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A96C7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56BCEA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941.0</w:t>
            </w:r>
          </w:p>
        </w:tc>
        <w:tc>
          <w:tcPr>
            <w:tcW w:w="192" w:type="dxa"/>
            <w:shd w:val="clear" w:color="auto" w:fill="FFFFFF"/>
            <w:noWrap/>
            <w:tcMar>
              <w:top w:w="15" w:type="dxa"/>
              <w:left w:w="0" w:type="dxa"/>
              <w:bottom w:w="0" w:type="dxa"/>
              <w:right w:w="15" w:type="dxa"/>
            </w:tcMar>
            <w:vAlign w:val="bottom"/>
            <w:hideMark/>
          </w:tcPr>
          <w:p w14:paraId="73E46E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23AC2BE" w14:textId="77777777" w:rsidTr="00AC4931">
        <w:tc>
          <w:tcPr>
            <w:tcW w:w="13485" w:type="dxa"/>
            <w:shd w:val="clear" w:color="auto" w:fill="CFF0FC"/>
            <w:tcMar>
              <w:top w:w="15" w:type="dxa"/>
              <w:left w:w="0" w:type="dxa"/>
              <w:bottom w:w="0" w:type="dxa"/>
              <w:right w:w="15" w:type="dxa"/>
            </w:tcMar>
            <w:hideMark/>
          </w:tcPr>
          <w:p w14:paraId="766F8A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Accrued expenses</w:t>
            </w:r>
          </w:p>
        </w:tc>
        <w:tc>
          <w:tcPr>
            <w:tcW w:w="311" w:type="dxa"/>
            <w:shd w:val="clear" w:color="auto" w:fill="CFF0FC"/>
            <w:tcMar>
              <w:top w:w="15" w:type="dxa"/>
              <w:left w:w="0" w:type="dxa"/>
              <w:bottom w:w="0" w:type="dxa"/>
              <w:right w:w="15" w:type="dxa"/>
            </w:tcMar>
            <w:vAlign w:val="bottom"/>
            <w:hideMark/>
          </w:tcPr>
          <w:p w14:paraId="30156E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413E7DF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Notes 12, 13</w:t>
            </w:r>
          </w:p>
        </w:tc>
        <w:tc>
          <w:tcPr>
            <w:tcW w:w="311" w:type="dxa"/>
            <w:shd w:val="clear" w:color="auto" w:fill="CFF0FC"/>
            <w:tcMar>
              <w:top w:w="15" w:type="dxa"/>
              <w:left w:w="0" w:type="dxa"/>
              <w:bottom w:w="0" w:type="dxa"/>
              <w:right w:w="15" w:type="dxa"/>
            </w:tcMar>
            <w:vAlign w:val="bottom"/>
            <w:hideMark/>
          </w:tcPr>
          <w:p w14:paraId="15738B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CAD4A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6F0B397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1,259.7</w:t>
            </w:r>
          </w:p>
        </w:tc>
        <w:tc>
          <w:tcPr>
            <w:tcW w:w="191" w:type="dxa"/>
            <w:shd w:val="clear" w:color="auto" w:fill="CFF0FC"/>
            <w:noWrap/>
            <w:tcMar>
              <w:top w:w="15" w:type="dxa"/>
              <w:left w:w="0" w:type="dxa"/>
              <w:bottom w:w="0" w:type="dxa"/>
              <w:right w:w="15" w:type="dxa"/>
            </w:tcMar>
            <w:vAlign w:val="bottom"/>
            <w:hideMark/>
          </w:tcPr>
          <w:p w14:paraId="1CA855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00F770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FA785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48B6C3B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816.9</w:t>
            </w:r>
          </w:p>
        </w:tc>
        <w:tc>
          <w:tcPr>
            <w:tcW w:w="192" w:type="dxa"/>
            <w:shd w:val="clear" w:color="auto" w:fill="CFF0FC"/>
            <w:noWrap/>
            <w:tcMar>
              <w:top w:w="15" w:type="dxa"/>
              <w:left w:w="0" w:type="dxa"/>
              <w:bottom w:w="0" w:type="dxa"/>
              <w:right w:w="15" w:type="dxa"/>
            </w:tcMar>
            <w:vAlign w:val="bottom"/>
            <w:hideMark/>
          </w:tcPr>
          <w:p w14:paraId="267F71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72ABBFA" w14:textId="77777777" w:rsidTr="00AC4931">
        <w:tc>
          <w:tcPr>
            <w:tcW w:w="13485" w:type="dxa"/>
            <w:shd w:val="clear" w:color="auto" w:fill="FFFFFF"/>
            <w:tcMar>
              <w:top w:w="15" w:type="dxa"/>
              <w:left w:w="0" w:type="dxa"/>
              <w:bottom w:w="0" w:type="dxa"/>
              <w:right w:w="15" w:type="dxa"/>
            </w:tcMar>
            <w:hideMark/>
          </w:tcPr>
          <w:p w14:paraId="234DA2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Related party liabilities</w:t>
            </w:r>
          </w:p>
        </w:tc>
        <w:tc>
          <w:tcPr>
            <w:tcW w:w="311" w:type="dxa"/>
            <w:shd w:val="clear" w:color="auto" w:fill="FFFFFF"/>
            <w:tcMar>
              <w:top w:w="15" w:type="dxa"/>
              <w:left w:w="0" w:type="dxa"/>
              <w:bottom w:w="0" w:type="dxa"/>
              <w:right w:w="15" w:type="dxa"/>
            </w:tcMar>
            <w:vAlign w:val="bottom"/>
            <w:hideMark/>
          </w:tcPr>
          <w:p w14:paraId="745295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1F44E0B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20</w:t>
            </w:r>
          </w:p>
        </w:tc>
        <w:tc>
          <w:tcPr>
            <w:tcW w:w="311" w:type="dxa"/>
            <w:shd w:val="clear" w:color="auto" w:fill="FFFFFF"/>
            <w:tcMar>
              <w:top w:w="15" w:type="dxa"/>
              <w:left w:w="0" w:type="dxa"/>
              <w:bottom w:w="0" w:type="dxa"/>
              <w:right w:w="15" w:type="dxa"/>
            </w:tcMar>
            <w:vAlign w:val="bottom"/>
            <w:hideMark/>
          </w:tcPr>
          <w:p w14:paraId="306DC8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EBCAD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276AF2F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37.5</w:t>
            </w:r>
          </w:p>
        </w:tc>
        <w:tc>
          <w:tcPr>
            <w:tcW w:w="191" w:type="dxa"/>
            <w:shd w:val="clear" w:color="auto" w:fill="FFFFFF"/>
            <w:noWrap/>
            <w:tcMar>
              <w:top w:w="15" w:type="dxa"/>
              <w:left w:w="0" w:type="dxa"/>
              <w:bottom w:w="0" w:type="dxa"/>
              <w:right w:w="15" w:type="dxa"/>
            </w:tcMar>
            <w:vAlign w:val="bottom"/>
            <w:hideMark/>
          </w:tcPr>
          <w:p w14:paraId="4CF7A8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409F3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CC5C9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ADA7D8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17.4</w:t>
            </w:r>
          </w:p>
        </w:tc>
        <w:tc>
          <w:tcPr>
            <w:tcW w:w="192" w:type="dxa"/>
            <w:shd w:val="clear" w:color="auto" w:fill="FFFFFF"/>
            <w:noWrap/>
            <w:tcMar>
              <w:top w:w="15" w:type="dxa"/>
              <w:left w:w="0" w:type="dxa"/>
              <w:bottom w:w="0" w:type="dxa"/>
              <w:right w:w="15" w:type="dxa"/>
            </w:tcMar>
            <w:vAlign w:val="bottom"/>
            <w:hideMark/>
          </w:tcPr>
          <w:p w14:paraId="5B0DB0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CE783AF" w14:textId="77777777" w:rsidTr="00AC4931">
        <w:tc>
          <w:tcPr>
            <w:tcW w:w="13485" w:type="dxa"/>
            <w:shd w:val="clear" w:color="auto" w:fill="CFF0FC"/>
            <w:tcMar>
              <w:top w:w="15" w:type="dxa"/>
              <w:left w:w="0" w:type="dxa"/>
              <w:bottom w:w="0" w:type="dxa"/>
              <w:right w:w="15" w:type="dxa"/>
            </w:tcMar>
            <w:hideMark/>
          </w:tcPr>
          <w:p w14:paraId="7D7A45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tax payable</w:t>
            </w:r>
          </w:p>
        </w:tc>
        <w:tc>
          <w:tcPr>
            <w:tcW w:w="311" w:type="dxa"/>
            <w:shd w:val="clear" w:color="auto" w:fill="CFF0FC"/>
            <w:tcMar>
              <w:top w:w="15" w:type="dxa"/>
              <w:left w:w="0" w:type="dxa"/>
              <w:bottom w:w="0" w:type="dxa"/>
              <w:right w:w="15" w:type="dxa"/>
            </w:tcMar>
            <w:vAlign w:val="bottom"/>
            <w:hideMark/>
          </w:tcPr>
          <w:p w14:paraId="56C65E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1315273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D8E81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F0677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4635707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97.3</w:t>
            </w:r>
          </w:p>
        </w:tc>
        <w:tc>
          <w:tcPr>
            <w:tcW w:w="191" w:type="dxa"/>
            <w:shd w:val="clear" w:color="auto" w:fill="CFF0FC"/>
            <w:noWrap/>
            <w:tcMar>
              <w:top w:w="15" w:type="dxa"/>
              <w:left w:w="0" w:type="dxa"/>
              <w:bottom w:w="0" w:type="dxa"/>
              <w:right w:w="15" w:type="dxa"/>
            </w:tcMar>
            <w:vAlign w:val="bottom"/>
            <w:hideMark/>
          </w:tcPr>
          <w:p w14:paraId="0B2833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039D3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56A44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38CAEFB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38.8</w:t>
            </w:r>
          </w:p>
        </w:tc>
        <w:tc>
          <w:tcPr>
            <w:tcW w:w="192" w:type="dxa"/>
            <w:shd w:val="clear" w:color="auto" w:fill="CFF0FC"/>
            <w:noWrap/>
            <w:tcMar>
              <w:top w:w="15" w:type="dxa"/>
              <w:left w:w="0" w:type="dxa"/>
              <w:bottom w:w="0" w:type="dxa"/>
              <w:right w:w="15" w:type="dxa"/>
            </w:tcMar>
            <w:vAlign w:val="bottom"/>
            <w:hideMark/>
          </w:tcPr>
          <w:p w14:paraId="5C5B7D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4766F01" w14:textId="77777777" w:rsidTr="00AC4931">
        <w:tc>
          <w:tcPr>
            <w:tcW w:w="13485" w:type="dxa"/>
            <w:shd w:val="clear" w:color="auto" w:fill="FFFFFF"/>
            <w:tcMar>
              <w:top w:w="15" w:type="dxa"/>
              <w:left w:w="0" w:type="dxa"/>
              <w:bottom w:w="0" w:type="dxa"/>
              <w:right w:w="15" w:type="dxa"/>
            </w:tcMar>
            <w:hideMark/>
          </w:tcPr>
          <w:p w14:paraId="18B396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lease liabilities, current</w:t>
            </w:r>
          </w:p>
        </w:tc>
        <w:tc>
          <w:tcPr>
            <w:tcW w:w="311" w:type="dxa"/>
            <w:shd w:val="clear" w:color="auto" w:fill="FFFFFF"/>
            <w:tcMar>
              <w:top w:w="15" w:type="dxa"/>
              <w:left w:w="0" w:type="dxa"/>
              <w:bottom w:w="0" w:type="dxa"/>
              <w:right w:w="15" w:type="dxa"/>
            </w:tcMar>
            <w:vAlign w:val="bottom"/>
            <w:hideMark/>
          </w:tcPr>
          <w:p w14:paraId="3C9559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4887ED9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4</w:t>
            </w:r>
          </w:p>
        </w:tc>
        <w:tc>
          <w:tcPr>
            <w:tcW w:w="311" w:type="dxa"/>
            <w:shd w:val="clear" w:color="auto" w:fill="FFFFFF"/>
            <w:tcMar>
              <w:top w:w="15" w:type="dxa"/>
              <w:left w:w="0" w:type="dxa"/>
              <w:bottom w:w="0" w:type="dxa"/>
              <w:right w:w="15" w:type="dxa"/>
            </w:tcMar>
            <w:vAlign w:val="bottom"/>
            <w:hideMark/>
          </w:tcPr>
          <w:p w14:paraId="21B3C8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92FEF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F08006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37.3</w:t>
            </w:r>
          </w:p>
        </w:tc>
        <w:tc>
          <w:tcPr>
            <w:tcW w:w="191" w:type="dxa"/>
            <w:shd w:val="clear" w:color="auto" w:fill="FFFFFF"/>
            <w:noWrap/>
            <w:tcMar>
              <w:top w:w="15" w:type="dxa"/>
              <w:left w:w="0" w:type="dxa"/>
              <w:bottom w:w="0" w:type="dxa"/>
              <w:right w:w="15" w:type="dxa"/>
            </w:tcMar>
            <w:vAlign w:val="bottom"/>
            <w:hideMark/>
          </w:tcPr>
          <w:p w14:paraId="410422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6BB7C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1B203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5543D21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37.8</w:t>
            </w:r>
          </w:p>
        </w:tc>
        <w:tc>
          <w:tcPr>
            <w:tcW w:w="192" w:type="dxa"/>
            <w:shd w:val="clear" w:color="auto" w:fill="FFFFFF"/>
            <w:noWrap/>
            <w:tcMar>
              <w:top w:w="15" w:type="dxa"/>
              <w:left w:w="0" w:type="dxa"/>
              <w:bottom w:w="0" w:type="dxa"/>
              <w:right w:w="15" w:type="dxa"/>
            </w:tcMar>
            <w:vAlign w:val="bottom"/>
            <w:hideMark/>
          </w:tcPr>
          <w:p w14:paraId="25DEEE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BEFE861" w14:textId="77777777" w:rsidTr="00AC4931">
        <w:tc>
          <w:tcPr>
            <w:tcW w:w="13485" w:type="dxa"/>
            <w:shd w:val="clear" w:color="auto" w:fill="CFF0FC"/>
            <w:tcMar>
              <w:top w:w="15" w:type="dxa"/>
              <w:left w:w="0" w:type="dxa"/>
              <w:bottom w:w="0" w:type="dxa"/>
              <w:right w:w="15" w:type="dxa"/>
            </w:tcMar>
            <w:hideMark/>
          </w:tcPr>
          <w:p w14:paraId="7E8D80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current liabilities</w:t>
            </w:r>
          </w:p>
        </w:tc>
        <w:tc>
          <w:tcPr>
            <w:tcW w:w="311" w:type="dxa"/>
            <w:shd w:val="clear" w:color="auto" w:fill="CFF0FC"/>
            <w:tcMar>
              <w:top w:w="15" w:type="dxa"/>
              <w:left w:w="0" w:type="dxa"/>
              <w:bottom w:w="0" w:type="dxa"/>
              <w:right w:w="15" w:type="dxa"/>
            </w:tcMar>
            <w:vAlign w:val="bottom"/>
            <w:hideMark/>
          </w:tcPr>
          <w:p w14:paraId="158BB5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2BB5CE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8BBA0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0FFB3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7CA3B51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186.6</w:t>
            </w:r>
          </w:p>
        </w:tc>
        <w:tc>
          <w:tcPr>
            <w:tcW w:w="191" w:type="dxa"/>
            <w:shd w:val="clear" w:color="auto" w:fill="CFF0FC"/>
            <w:noWrap/>
            <w:tcMar>
              <w:top w:w="15" w:type="dxa"/>
              <w:left w:w="0" w:type="dxa"/>
              <w:bottom w:w="0" w:type="dxa"/>
              <w:right w:w="15" w:type="dxa"/>
            </w:tcMar>
            <w:vAlign w:val="bottom"/>
            <w:hideMark/>
          </w:tcPr>
          <w:p w14:paraId="2F6740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711D1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1926E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19AB1B0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190.2</w:t>
            </w:r>
          </w:p>
        </w:tc>
        <w:tc>
          <w:tcPr>
            <w:tcW w:w="192" w:type="dxa"/>
            <w:shd w:val="clear" w:color="auto" w:fill="CFF0FC"/>
            <w:noWrap/>
            <w:tcMar>
              <w:top w:w="15" w:type="dxa"/>
              <w:left w:w="0" w:type="dxa"/>
              <w:bottom w:w="0" w:type="dxa"/>
              <w:right w:w="15" w:type="dxa"/>
            </w:tcMar>
            <w:vAlign w:val="bottom"/>
            <w:hideMark/>
          </w:tcPr>
          <w:p w14:paraId="54390E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FB6B665" w14:textId="77777777" w:rsidTr="00AC4931">
        <w:tc>
          <w:tcPr>
            <w:tcW w:w="13485" w:type="dxa"/>
            <w:shd w:val="clear" w:color="auto" w:fill="FFFFFF"/>
            <w:tcMar>
              <w:top w:w="15" w:type="dxa"/>
              <w:left w:w="0" w:type="dxa"/>
              <w:bottom w:w="0" w:type="dxa"/>
              <w:right w:w="15" w:type="dxa"/>
            </w:tcMar>
            <w:hideMark/>
          </w:tcPr>
          <w:p w14:paraId="2DB28AB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current liabilities</w:t>
            </w:r>
          </w:p>
        </w:tc>
        <w:tc>
          <w:tcPr>
            <w:tcW w:w="311" w:type="dxa"/>
            <w:shd w:val="clear" w:color="auto" w:fill="FFFFFF"/>
            <w:tcMar>
              <w:top w:w="15" w:type="dxa"/>
              <w:left w:w="0" w:type="dxa"/>
              <w:bottom w:w="0" w:type="dxa"/>
              <w:right w:w="15" w:type="dxa"/>
            </w:tcMar>
            <w:vAlign w:val="bottom"/>
            <w:hideMark/>
          </w:tcPr>
          <w:p w14:paraId="358027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1083F2D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3106DB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F1B969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06E1EF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3,146.9</w:t>
            </w:r>
          </w:p>
        </w:tc>
        <w:tc>
          <w:tcPr>
            <w:tcW w:w="191" w:type="dxa"/>
            <w:shd w:val="clear" w:color="auto" w:fill="FFFFFF"/>
            <w:noWrap/>
            <w:tcMar>
              <w:top w:w="15" w:type="dxa"/>
              <w:left w:w="0" w:type="dxa"/>
              <w:bottom w:w="0" w:type="dxa"/>
              <w:right w:w="15" w:type="dxa"/>
            </w:tcMar>
            <w:vAlign w:val="bottom"/>
            <w:hideMark/>
          </w:tcPr>
          <w:p w14:paraId="6BA5BA9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4FF553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17E474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481103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2,410.2</w:t>
            </w:r>
          </w:p>
        </w:tc>
        <w:tc>
          <w:tcPr>
            <w:tcW w:w="192" w:type="dxa"/>
            <w:shd w:val="clear" w:color="auto" w:fill="FFFFFF"/>
            <w:noWrap/>
            <w:tcMar>
              <w:top w:w="15" w:type="dxa"/>
              <w:left w:w="0" w:type="dxa"/>
              <w:bottom w:w="0" w:type="dxa"/>
              <w:right w:w="15" w:type="dxa"/>
            </w:tcMar>
            <w:vAlign w:val="bottom"/>
            <w:hideMark/>
          </w:tcPr>
          <w:p w14:paraId="5657C1E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3C30719F" w14:textId="77777777" w:rsidTr="00AC4931">
        <w:tc>
          <w:tcPr>
            <w:tcW w:w="13485" w:type="dxa"/>
            <w:shd w:val="clear" w:color="auto" w:fill="CFF0FC"/>
            <w:tcMar>
              <w:top w:w="15" w:type="dxa"/>
              <w:left w:w="0" w:type="dxa"/>
              <w:bottom w:w="0" w:type="dxa"/>
              <w:right w:w="15" w:type="dxa"/>
            </w:tcMar>
            <w:hideMark/>
          </w:tcPr>
          <w:p w14:paraId="1F804E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Long-term debt</w:t>
            </w:r>
          </w:p>
        </w:tc>
        <w:tc>
          <w:tcPr>
            <w:tcW w:w="311" w:type="dxa"/>
            <w:shd w:val="clear" w:color="auto" w:fill="CFF0FC"/>
            <w:tcMar>
              <w:top w:w="15" w:type="dxa"/>
              <w:left w:w="0" w:type="dxa"/>
              <w:bottom w:w="0" w:type="dxa"/>
              <w:right w:w="15" w:type="dxa"/>
            </w:tcMar>
            <w:vAlign w:val="bottom"/>
            <w:hideMark/>
          </w:tcPr>
          <w:p w14:paraId="18404C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75B73E4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14</w:t>
            </w:r>
          </w:p>
        </w:tc>
        <w:tc>
          <w:tcPr>
            <w:tcW w:w="311" w:type="dxa"/>
            <w:shd w:val="clear" w:color="auto" w:fill="CFF0FC"/>
            <w:tcMar>
              <w:top w:w="15" w:type="dxa"/>
              <w:left w:w="0" w:type="dxa"/>
              <w:bottom w:w="0" w:type="dxa"/>
              <w:right w:w="15" w:type="dxa"/>
            </w:tcMar>
            <w:vAlign w:val="bottom"/>
            <w:hideMark/>
          </w:tcPr>
          <w:p w14:paraId="11DDF5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B25CD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4457EBC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2,109.6</w:t>
            </w:r>
          </w:p>
        </w:tc>
        <w:tc>
          <w:tcPr>
            <w:tcW w:w="191" w:type="dxa"/>
            <w:shd w:val="clear" w:color="auto" w:fill="CFF0FC"/>
            <w:noWrap/>
            <w:tcMar>
              <w:top w:w="15" w:type="dxa"/>
              <w:left w:w="0" w:type="dxa"/>
              <w:bottom w:w="0" w:type="dxa"/>
              <w:right w:w="15" w:type="dxa"/>
            </w:tcMar>
            <w:vAlign w:val="bottom"/>
            <w:hideMark/>
          </w:tcPr>
          <w:p w14:paraId="7BFD36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3C241E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0A04D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30C2789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1,726.1</w:t>
            </w:r>
          </w:p>
        </w:tc>
        <w:tc>
          <w:tcPr>
            <w:tcW w:w="192" w:type="dxa"/>
            <w:shd w:val="clear" w:color="auto" w:fill="CFF0FC"/>
            <w:noWrap/>
            <w:tcMar>
              <w:top w:w="15" w:type="dxa"/>
              <w:left w:w="0" w:type="dxa"/>
              <w:bottom w:w="0" w:type="dxa"/>
              <w:right w:w="15" w:type="dxa"/>
            </w:tcMar>
            <w:vAlign w:val="bottom"/>
            <w:hideMark/>
          </w:tcPr>
          <w:p w14:paraId="2F99D9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2001B89" w14:textId="77777777" w:rsidTr="00AC4931">
        <w:tc>
          <w:tcPr>
            <w:tcW w:w="13485" w:type="dxa"/>
            <w:shd w:val="clear" w:color="auto" w:fill="FFFFFF"/>
            <w:tcMar>
              <w:top w:w="15" w:type="dxa"/>
              <w:left w:w="0" w:type="dxa"/>
              <w:bottom w:w="0" w:type="dxa"/>
              <w:right w:w="15" w:type="dxa"/>
            </w:tcMar>
            <w:hideMark/>
          </w:tcPr>
          <w:p w14:paraId="2983C6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Pension liability</w:t>
            </w:r>
          </w:p>
        </w:tc>
        <w:tc>
          <w:tcPr>
            <w:tcW w:w="311" w:type="dxa"/>
            <w:shd w:val="clear" w:color="auto" w:fill="FFFFFF"/>
            <w:tcMar>
              <w:top w:w="15" w:type="dxa"/>
              <w:left w:w="0" w:type="dxa"/>
              <w:bottom w:w="0" w:type="dxa"/>
              <w:right w:w="15" w:type="dxa"/>
            </w:tcMar>
            <w:vAlign w:val="bottom"/>
            <w:hideMark/>
          </w:tcPr>
          <w:p w14:paraId="3F71E2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0F0797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19</w:t>
            </w:r>
          </w:p>
        </w:tc>
        <w:tc>
          <w:tcPr>
            <w:tcW w:w="311" w:type="dxa"/>
            <w:shd w:val="clear" w:color="auto" w:fill="FFFFFF"/>
            <w:tcMar>
              <w:top w:w="15" w:type="dxa"/>
              <w:left w:w="0" w:type="dxa"/>
              <w:bottom w:w="0" w:type="dxa"/>
              <w:right w:w="15" w:type="dxa"/>
            </w:tcMar>
            <w:vAlign w:val="bottom"/>
            <w:hideMark/>
          </w:tcPr>
          <w:p w14:paraId="315991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43D94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5987AA3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248.2</w:t>
            </w:r>
          </w:p>
        </w:tc>
        <w:tc>
          <w:tcPr>
            <w:tcW w:w="191" w:type="dxa"/>
            <w:shd w:val="clear" w:color="auto" w:fill="FFFFFF"/>
            <w:noWrap/>
            <w:tcMar>
              <w:top w:w="15" w:type="dxa"/>
              <w:left w:w="0" w:type="dxa"/>
              <w:bottom w:w="0" w:type="dxa"/>
              <w:right w:w="15" w:type="dxa"/>
            </w:tcMar>
            <w:vAlign w:val="bottom"/>
            <w:hideMark/>
          </w:tcPr>
          <w:p w14:paraId="449A7A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755EC9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06246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528DF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240.2</w:t>
            </w:r>
          </w:p>
        </w:tc>
        <w:tc>
          <w:tcPr>
            <w:tcW w:w="192" w:type="dxa"/>
            <w:shd w:val="clear" w:color="auto" w:fill="FFFFFF"/>
            <w:noWrap/>
            <w:tcMar>
              <w:top w:w="15" w:type="dxa"/>
              <w:left w:w="0" w:type="dxa"/>
              <w:bottom w:w="0" w:type="dxa"/>
              <w:right w:w="15" w:type="dxa"/>
            </w:tcMar>
            <w:vAlign w:val="bottom"/>
            <w:hideMark/>
          </w:tcPr>
          <w:p w14:paraId="6C22E6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7A82206" w14:textId="77777777" w:rsidTr="00AC4931">
        <w:tc>
          <w:tcPr>
            <w:tcW w:w="13485" w:type="dxa"/>
            <w:shd w:val="clear" w:color="auto" w:fill="CFF0FC"/>
            <w:tcMar>
              <w:top w:w="15" w:type="dxa"/>
              <w:left w:w="0" w:type="dxa"/>
              <w:bottom w:w="0" w:type="dxa"/>
              <w:right w:w="15" w:type="dxa"/>
            </w:tcMar>
            <w:hideMark/>
          </w:tcPr>
          <w:p w14:paraId="292D09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lease liabilities, non-current</w:t>
            </w:r>
          </w:p>
        </w:tc>
        <w:tc>
          <w:tcPr>
            <w:tcW w:w="311" w:type="dxa"/>
            <w:shd w:val="clear" w:color="auto" w:fill="CFF0FC"/>
            <w:tcMar>
              <w:top w:w="15" w:type="dxa"/>
              <w:left w:w="0" w:type="dxa"/>
              <w:bottom w:w="0" w:type="dxa"/>
              <w:right w:w="15" w:type="dxa"/>
            </w:tcMar>
            <w:vAlign w:val="bottom"/>
            <w:hideMark/>
          </w:tcPr>
          <w:p w14:paraId="3FD225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7C02F86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4</w:t>
            </w:r>
          </w:p>
        </w:tc>
        <w:tc>
          <w:tcPr>
            <w:tcW w:w="311" w:type="dxa"/>
            <w:shd w:val="clear" w:color="auto" w:fill="CFF0FC"/>
            <w:tcMar>
              <w:top w:w="15" w:type="dxa"/>
              <w:left w:w="0" w:type="dxa"/>
              <w:bottom w:w="0" w:type="dxa"/>
              <w:right w:w="15" w:type="dxa"/>
            </w:tcMar>
            <w:vAlign w:val="bottom"/>
            <w:hideMark/>
          </w:tcPr>
          <w:p w14:paraId="190184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A509B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316DD80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103.3</w:t>
            </w:r>
          </w:p>
        </w:tc>
        <w:tc>
          <w:tcPr>
            <w:tcW w:w="191" w:type="dxa"/>
            <w:shd w:val="clear" w:color="auto" w:fill="CFF0FC"/>
            <w:noWrap/>
            <w:tcMar>
              <w:top w:w="15" w:type="dxa"/>
              <w:left w:w="0" w:type="dxa"/>
              <w:bottom w:w="0" w:type="dxa"/>
              <w:right w:w="15" w:type="dxa"/>
            </w:tcMar>
            <w:vAlign w:val="bottom"/>
            <w:hideMark/>
          </w:tcPr>
          <w:p w14:paraId="5E048A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6F4754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E8B12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585D46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119.4</w:t>
            </w:r>
          </w:p>
        </w:tc>
        <w:tc>
          <w:tcPr>
            <w:tcW w:w="192" w:type="dxa"/>
            <w:shd w:val="clear" w:color="auto" w:fill="CFF0FC"/>
            <w:noWrap/>
            <w:tcMar>
              <w:top w:w="15" w:type="dxa"/>
              <w:left w:w="0" w:type="dxa"/>
              <w:bottom w:w="0" w:type="dxa"/>
              <w:right w:w="15" w:type="dxa"/>
            </w:tcMar>
            <w:vAlign w:val="bottom"/>
            <w:hideMark/>
          </w:tcPr>
          <w:p w14:paraId="0D6931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9AA9CF2" w14:textId="77777777" w:rsidTr="00AC4931">
        <w:tc>
          <w:tcPr>
            <w:tcW w:w="13485" w:type="dxa"/>
            <w:shd w:val="clear" w:color="auto" w:fill="FFFFFF"/>
            <w:tcMar>
              <w:top w:w="15" w:type="dxa"/>
              <w:left w:w="0" w:type="dxa"/>
              <w:bottom w:w="0" w:type="dxa"/>
              <w:right w:w="15" w:type="dxa"/>
            </w:tcMar>
            <w:hideMark/>
          </w:tcPr>
          <w:p w14:paraId="282DFB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non-current liabilities</w:t>
            </w:r>
          </w:p>
        </w:tc>
        <w:tc>
          <w:tcPr>
            <w:tcW w:w="311" w:type="dxa"/>
            <w:shd w:val="clear" w:color="auto" w:fill="FFFFFF"/>
            <w:tcMar>
              <w:top w:w="15" w:type="dxa"/>
              <w:left w:w="0" w:type="dxa"/>
              <w:bottom w:w="0" w:type="dxa"/>
              <w:right w:w="15" w:type="dxa"/>
            </w:tcMar>
            <w:vAlign w:val="bottom"/>
            <w:hideMark/>
          </w:tcPr>
          <w:p w14:paraId="071718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1C05524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133323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BD928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FFFFFF"/>
            <w:noWrap/>
            <w:tcMar>
              <w:top w:w="15" w:type="dxa"/>
              <w:left w:w="0" w:type="dxa"/>
              <w:bottom w:w="0" w:type="dxa"/>
              <w:right w:w="15" w:type="dxa"/>
            </w:tcMar>
            <w:vAlign w:val="bottom"/>
            <w:hideMark/>
          </w:tcPr>
          <w:p w14:paraId="44F758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125.7</w:t>
            </w:r>
          </w:p>
        </w:tc>
        <w:tc>
          <w:tcPr>
            <w:tcW w:w="191" w:type="dxa"/>
            <w:shd w:val="clear" w:color="auto" w:fill="FFFFFF"/>
            <w:noWrap/>
            <w:tcMar>
              <w:top w:w="15" w:type="dxa"/>
              <w:left w:w="0" w:type="dxa"/>
              <w:bottom w:w="0" w:type="dxa"/>
              <w:right w:w="15" w:type="dxa"/>
            </w:tcMar>
            <w:vAlign w:val="bottom"/>
            <w:hideMark/>
          </w:tcPr>
          <w:p w14:paraId="601323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953EF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40901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FFFFFF"/>
            <w:noWrap/>
            <w:tcMar>
              <w:top w:w="15" w:type="dxa"/>
              <w:left w:w="0" w:type="dxa"/>
              <w:bottom w:w="0" w:type="dxa"/>
              <w:right w:w="15" w:type="dxa"/>
            </w:tcMar>
            <w:vAlign w:val="bottom"/>
            <w:hideMark/>
          </w:tcPr>
          <w:p w14:paraId="6898EB9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152.9</w:t>
            </w:r>
          </w:p>
        </w:tc>
        <w:tc>
          <w:tcPr>
            <w:tcW w:w="192" w:type="dxa"/>
            <w:shd w:val="clear" w:color="auto" w:fill="FFFFFF"/>
            <w:noWrap/>
            <w:tcMar>
              <w:top w:w="15" w:type="dxa"/>
              <w:left w:w="0" w:type="dxa"/>
              <w:bottom w:w="0" w:type="dxa"/>
              <w:right w:w="15" w:type="dxa"/>
            </w:tcMar>
            <w:vAlign w:val="bottom"/>
            <w:hideMark/>
          </w:tcPr>
          <w:p w14:paraId="4D9434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F81B747" w14:textId="77777777" w:rsidTr="00AC4931">
        <w:tc>
          <w:tcPr>
            <w:tcW w:w="13485" w:type="dxa"/>
            <w:shd w:val="clear" w:color="auto" w:fill="CFF0FC"/>
            <w:tcMar>
              <w:top w:w="15" w:type="dxa"/>
              <w:left w:w="0" w:type="dxa"/>
              <w:bottom w:w="0" w:type="dxa"/>
              <w:right w:w="15" w:type="dxa"/>
            </w:tcMar>
            <w:hideMark/>
          </w:tcPr>
          <w:p w14:paraId="3153C7B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non-current liabilities</w:t>
            </w:r>
          </w:p>
        </w:tc>
        <w:tc>
          <w:tcPr>
            <w:tcW w:w="311" w:type="dxa"/>
            <w:shd w:val="clear" w:color="auto" w:fill="CFF0FC"/>
            <w:tcMar>
              <w:top w:w="15" w:type="dxa"/>
              <w:left w:w="0" w:type="dxa"/>
              <w:bottom w:w="0" w:type="dxa"/>
              <w:right w:w="15" w:type="dxa"/>
            </w:tcMar>
            <w:vAlign w:val="bottom"/>
            <w:hideMark/>
          </w:tcPr>
          <w:p w14:paraId="762226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1723475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3F757F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997B50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C093DF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2,586.8</w:t>
            </w:r>
          </w:p>
        </w:tc>
        <w:tc>
          <w:tcPr>
            <w:tcW w:w="191" w:type="dxa"/>
            <w:shd w:val="clear" w:color="auto" w:fill="CFF0FC"/>
            <w:noWrap/>
            <w:tcMar>
              <w:top w:w="15" w:type="dxa"/>
              <w:left w:w="0" w:type="dxa"/>
              <w:bottom w:w="0" w:type="dxa"/>
              <w:right w:w="15" w:type="dxa"/>
            </w:tcMar>
            <w:vAlign w:val="bottom"/>
            <w:hideMark/>
          </w:tcPr>
          <w:p w14:paraId="399BE85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D2CBB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810C81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6D85F6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2,238.6</w:t>
            </w:r>
          </w:p>
        </w:tc>
        <w:tc>
          <w:tcPr>
            <w:tcW w:w="192" w:type="dxa"/>
            <w:shd w:val="clear" w:color="auto" w:fill="CFF0FC"/>
            <w:noWrap/>
            <w:tcMar>
              <w:top w:w="15" w:type="dxa"/>
              <w:left w:w="0" w:type="dxa"/>
              <w:bottom w:w="0" w:type="dxa"/>
              <w:right w:w="15" w:type="dxa"/>
            </w:tcMar>
            <w:vAlign w:val="bottom"/>
            <w:hideMark/>
          </w:tcPr>
          <w:p w14:paraId="55D034A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7213E25E" w14:textId="77777777" w:rsidTr="00AC4931">
        <w:tc>
          <w:tcPr>
            <w:tcW w:w="13485" w:type="dxa"/>
            <w:shd w:val="clear" w:color="auto" w:fill="FFFFFF"/>
            <w:tcMar>
              <w:top w:w="15" w:type="dxa"/>
              <w:left w:w="0" w:type="dxa"/>
              <w:bottom w:w="0" w:type="dxa"/>
              <w:right w:w="15" w:type="dxa"/>
            </w:tcMar>
            <w:hideMark/>
          </w:tcPr>
          <w:p w14:paraId="1E60DD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Commitments and contingencies</w:t>
            </w:r>
          </w:p>
        </w:tc>
        <w:tc>
          <w:tcPr>
            <w:tcW w:w="311" w:type="dxa"/>
            <w:shd w:val="clear" w:color="auto" w:fill="FFFFFF"/>
            <w:tcMar>
              <w:top w:w="15" w:type="dxa"/>
              <w:left w:w="0" w:type="dxa"/>
              <w:bottom w:w="0" w:type="dxa"/>
              <w:right w:w="15" w:type="dxa"/>
            </w:tcMar>
            <w:vAlign w:val="bottom"/>
            <w:hideMark/>
          </w:tcPr>
          <w:p w14:paraId="052CFE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2A33B31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18</w:t>
            </w:r>
          </w:p>
        </w:tc>
        <w:tc>
          <w:tcPr>
            <w:tcW w:w="311" w:type="dxa"/>
            <w:shd w:val="clear" w:color="auto" w:fill="FFFFFF"/>
            <w:tcMar>
              <w:top w:w="15" w:type="dxa"/>
              <w:left w:w="0" w:type="dxa"/>
              <w:bottom w:w="0" w:type="dxa"/>
              <w:right w:w="15" w:type="dxa"/>
            </w:tcMar>
            <w:vAlign w:val="bottom"/>
            <w:hideMark/>
          </w:tcPr>
          <w:p w14:paraId="1C6ACE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87C22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5D39CD6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D88F8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AC26B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F955C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5009C60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21FFEC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9B1AF89" w14:textId="77777777" w:rsidTr="00AC4931">
        <w:tc>
          <w:tcPr>
            <w:tcW w:w="13485" w:type="dxa"/>
            <w:shd w:val="clear" w:color="auto" w:fill="CFF0FC"/>
            <w:tcMar>
              <w:top w:w="15" w:type="dxa"/>
              <w:left w:w="0" w:type="dxa"/>
              <w:bottom w:w="0" w:type="dxa"/>
              <w:right w:w="15" w:type="dxa"/>
            </w:tcMar>
            <w:hideMark/>
          </w:tcPr>
          <w:p w14:paraId="7FE02B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Common stock</w:t>
            </w:r>
            <w:r w:rsidRPr="00AC4931">
              <w:rPr>
                <w:rFonts w:ascii="Arial" w:eastAsia="宋体" w:hAnsi="Arial" w:cs="Arial"/>
                <w:color w:val="000000"/>
                <w:kern w:val="0"/>
                <w:sz w:val="18"/>
                <w:szCs w:val="18"/>
                <w:vertAlign w:val="superscript"/>
              </w:rPr>
              <w:t>1)</w:t>
            </w:r>
          </w:p>
        </w:tc>
        <w:tc>
          <w:tcPr>
            <w:tcW w:w="311" w:type="dxa"/>
            <w:shd w:val="clear" w:color="auto" w:fill="CFF0FC"/>
            <w:tcMar>
              <w:top w:w="15" w:type="dxa"/>
              <w:left w:w="0" w:type="dxa"/>
              <w:bottom w:w="0" w:type="dxa"/>
              <w:right w:w="15" w:type="dxa"/>
            </w:tcMar>
            <w:vAlign w:val="bottom"/>
            <w:hideMark/>
          </w:tcPr>
          <w:p w14:paraId="55F3C6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041B5C7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8B7BA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B6CE0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AF33DE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102.8</w:t>
            </w:r>
          </w:p>
        </w:tc>
        <w:tc>
          <w:tcPr>
            <w:tcW w:w="191" w:type="dxa"/>
            <w:shd w:val="clear" w:color="auto" w:fill="CFF0FC"/>
            <w:noWrap/>
            <w:tcMar>
              <w:top w:w="15" w:type="dxa"/>
              <w:left w:w="0" w:type="dxa"/>
              <w:bottom w:w="0" w:type="dxa"/>
              <w:right w:w="15" w:type="dxa"/>
            </w:tcMar>
            <w:vAlign w:val="bottom"/>
            <w:hideMark/>
          </w:tcPr>
          <w:p w14:paraId="3099F1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1CCFB2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70A17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922D4E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102.8</w:t>
            </w:r>
          </w:p>
        </w:tc>
        <w:tc>
          <w:tcPr>
            <w:tcW w:w="192" w:type="dxa"/>
            <w:shd w:val="clear" w:color="auto" w:fill="CFF0FC"/>
            <w:noWrap/>
            <w:tcMar>
              <w:top w:w="15" w:type="dxa"/>
              <w:left w:w="0" w:type="dxa"/>
              <w:bottom w:w="0" w:type="dxa"/>
              <w:right w:w="15" w:type="dxa"/>
            </w:tcMar>
            <w:vAlign w:val="bottom"/>
            <w:hideMark/>
          </w:tcPr>
          <w:p w14:paraId="184EFF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D41686A" w14:textId="77777777" w:rsidTr="00AC4931">
        <w:tc>
          <w:tcPr>
            <w:tcW w:w="13485" w:type="dxa"/>
            <w:shd w:val="clear" w:color="auto" w:fill="FFFFFF"/>
            <w:tcMar>
              <w:top w:w="15" w:type="dxa"/>
              <w:left w:w="0" w:type="dxa"/>
              <w:bottom w:w="0" w:type="dxa"/>
              <w:right w:w="15" w:type="dxa"/>
            </w:tcMar>
            <w:hideMark/>
          </w:tcPr>
          <w:p w14:paraId="20A7F1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Additional paid-in capital</w:t>
            </w:r>
          </w:p>
        </w:tc>
        <w:tc>
          <w:tcPr>
            <w:tcW w:w="311" w:type="dxa"/>
            <w:shd w:val="clear" w:color="auto" w:fill="FFFFFF"/>
            <w:tcMar>
              <w:top w:w="15" w:type="dxa"/>
              <w:left w:w="0" w:type="dxa"/>
              <w:bottom w:w="0" w:type="dxa"/>
              <w:right w:w="15" w:type="dxa"/>
            </w:tcMar>
            <w:vAlign w:val="bottom"/>
            <w:hideMark/>
          </w:tcPr>
          <w:p w14:paraId="65F29B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273B0F8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1FCEFA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27DCE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F560AF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1,329.3</w:t>
            </w:r>
          </w:p>
        </w:tc>
        <w:tc>
          <w:tcPr>
            <w:tcW w:w="191" w:type="dxa"/>
            <w:shd w:val="clear" w:color="auto" w:fill="FFFFFF"/>
            <w:noWrap/>
            <w:tcMar>
              <w:top w:w="15" w:type="dxa"/>
              <w:left w:w="0" w:type="dxa"/>
              <w:bottom w:w="0" w:type="dxa"/>
              <w:right w:w="15" w:type="dxa"/>
            </w:tcMar>
            <w:vAlign w:val="bottom"/>
            <w:hideMark/>
          </w:tcPr>
          <w:p w14:paraId="72F025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01DFB7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E811E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3A76CA8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1,329.3</w:t>
            </w:r>
          </w:p>
        </w:tc>
        <w:tc>
          <w:tcPr>
            <w:tcW w:w="192" w:type="dxa"/>
            <w:shd w:val="clear" w:color="auto" w:fill="FFFFFF"/>
            <w:noWrap/>
            <w:tcMar>
              <w:top w:w="15" w:type="dxa"/>
              <w:left w:w="0" w:type="dxa"/>
              <w:bottom w:w="0" w:type="dxa"/>
              <w:right w:w="15" w:type="dxa"/>
            </w:tcMar>
            <w:vAlign w:val="bottom"/>
            <w:hideMark/>
          </w:tcPr>
          <w:p w14:paraId="7A4467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E560E54" w14:textId="77777777" w:rsidTr="00AC4931">
        <w:tc>
          <w:tcPr>
            <w:tcW w:w="13485" w:type="dxa"/>
            <w:shd w:val="clear" w:color="auto" w:fill="CFF0FC"/>
            <w:tcMar>
              <w:top w:w="15" w:type="dxa"/>
              <w:left w:w="0" w:type="dxa"/>
              <w:bottom w:w="0" w:type="dxa"/>
              <w:right w:w="15" w:type="dxa"/>
            </w:tcMar>
            <w:hideMark/>
          </w:tcPr>
          <w:p w14:paraId="414F88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Retained earnings</w:t>
            </w:r>
          </w:p>
        </w:tc>
        <w:tc>
          <w:tcPr>
            <w:tcW w:w="311" w:type="dxa"/>
            <w:shd w:val="clear" w:color="auto" w:fill="CFF0FC"/>
            <w:tcMar>
              <w:top w:w="15" w:type="dxa"/>
              <w:left w:w="0" w:type="dxa"/>
              <w:bottom w:w="0" w:type="dxa"/>
              <w:right w:w="15" w:type="dxa"/>
            </w:tcMar>
            <w:vAlign w:val="bottom"/>
            <w:hideMark/>
          </w:tcPr>
          <w:p w14:paraId="234194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25E0FD3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35E25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DD1A4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3EA085C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2,471.1</w:t>
            </w:r>
          </w:p>
        </w:tc>
        <w:tc>
          <w:tcPr>
            <w:tcW w:w="191" w:type="dxa"/>
            <w:shd w:val="clear" w:color="auto" w:fill="CFF0FC"/>
            <w:noWrap/>
            <w:tcMar>
              <w:top w:w="15" w:type="dxa"/>
              <w:left w:w="0" w:type="dxa"/>
              <w:bottom w:w="0" w:type="dxa"/>
              <w:right w:w="15" w:type="dxa"/>
            </w:tcMar>
            <w:vAlign w:val="bottom"/>
            <w:hideMark/>
          </w:tcPr>
          <w:p w14:paraId="2F394E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47A07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86EF4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739DB8A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2,283.5</w:t>
            </w:r>
          </w:p>
        </w:tc>
        <w:tc>
          <w:tcPr>
            <w:tcW w:w="192" w:type="dxa"/>
            <w:shd w:val="clear" w:color="auto" w:fill="CFF0FC"/>
            <w:noWrap/>
            <w:tcMar>
              <w:top w:w="15" w:type="dxa"/>
              <w:left w:w="0" w:type="dxa"/>
              <w:bottom w:w="0" w:type="dxa"/>
              <w:right w:w="15" w:type="dxa"/>
            </w:tcMar>
            <w:vAlign w:val="bottom"/>
            <w:hideMark/>
          </w:tcPr>
          <w:p w14:paraId="04C1EA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C521B80" w14:textId="77777777" w:rsidTr="00AC4931">
        <w:tc>
          <w:tcPr>
            <w:tcW w:w="13485" w:type="dxa"/>
            <w:shd w:val="clear" w:color="auto" w:fill="FFFFFF"/>
            <w:tcMar>
              <w:top w:w="15" w:type="dxa"/>
              <w:left w:w="0" w:type="dxa"/>
              <w:bottom w:w="0" w:type="dxa"/>
              <w:right w:w="15" w:type="dxa"/>
            </w:tcMar>
            <w:hideMark/>
          </w:tcPr>
          <w:p w14:paraId="667067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Accumulated other comprehensive loss</w:t>
            </w:r>
          </w:p>
        </w:tc>
        <w:tc>
          <w:tcPr>
            <w:tcW w:w="311" w:type="dxa"/>
            <w:shd w:val="clear" w:color="auto" w:fill="FFFFFF"/>
            <w:tcMar>
              <w:top w:w="15" w:type="dxa"/>
              <w:left w:w="0" w:type="dxa"/>
              <w:bottom w:w="0" w:type="dxa"/>
              <w:right w:w="15" w:type="dxa"/>
            </w:tcMar>
            <w:vAlign w:val="bottom"/>
            <w:hideMark/>
          </w:tcPr>
          <w:p w14:paraId="0141B7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5138384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Note 15</w:t>
            </w:r>
          </w:p>
        </w:tc>
        <w:tc>
          <w:tcPr>
            <w:tcW w:w="311" w:type="dxa"/>
            <w:shd w:val="clear" w:color="auto" w:fill="FFFFFF"/>
            <w:tcMar>
              <w:top w:w="15" w:type="dxa"/>
              <w:left w:w="0" w:type="dxa"/>
              <w:bottom w:w="0" w:type="dxa"/>
              <w:right w:w="15" w:type="dxa"/>
            </w:tcMar>
            <w:vAlign w:val="bottom"/>
            <w:hideMark/>
          </w:tcPr>
          <w:p w14:paraId="74D330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4E6E2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8978C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(346.9</w:t>
            </w:r>
          </w:p>
        </w:tc>
        <w:tc>
          <w:tcPr>
            <w:tcW w:w="191" w:type="dxa"/>
            <w:shd w:val="clear" w:color="auto" w:fill="FFFFFF"/>
            <w:noWrap/>
            <w:tcMar>
              <w:top w:w="15" w:type="dxa"/>
              <w:left w:w="0" w:type="dxa"/>
              <w:bottom w:w="0" w:type="dxa"/>
              <w:right w:w="15" w:type="dxa"/>
            </w:tcMar>
            <w:vAlign w:val="bottom"/>
            <w:hideMark/>
          </w:tcPr>
          <w:p w14:paraId="3908C0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1FD901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31724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9DC83C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(448.9</w:t>
            </w:r>
          </w:p>
        </w:tc>
        <w:tc>
          <w:tcPr>
            <w:tcW w:w="192" w:type="dxa"/>
            <w:shd w:val="clear" w:color="auto" w:fill="FFFFFF"/>
            <w:noWrap/>
            <w:tcMar>
              <w:top w:w="15" w:type="dxa"/>
              <w:left w:w="0" w:type="dxa"/>
              <w:bottom w:w="0" w:type="dxa"/>
              <w:right w:w="15" w:type="dxa"/>
            </w:tcMar>
            <w:vAlign w:val="bottom"/>
            <w:hideMark/>
          </w:tcPr>
          <w:p w14:paraId="6BB7FC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54297CC" w14:textId="77777777" w:rsidTr="00AC4931">
        <w:tc>
          <w:tcPr>
            <w:tcW w:w="13485" w:type="dxa"/>
            <w:shd w:val="clear" w:color="auto" w:fill="CFF0FC"/>
            <w:tcMar>
              <w:top w:w="15" w:type="dxa"/>
              <w:left w:w="0" w:type="dxa"/>
              <w:bottom w:w="0" w:type="dxa"/>
              <w:right w:w="15" w:type="dxa"/>
            </w:tcMar>
            <w:hideMark/>
          </w:tcPr>
          <w:p w14:paraId="44F5A6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Treasury stock (15.4 and 15.6 shares, respectively)</w:t>
            </w:r>
          </w:p>
        </w:tc>
        <w:tc>
          <w:tcPr>
            <w:tcW w:w="311" w:type="dxa"/>
            <w:shd w:val="clear" w:color="auto" w:fill="CFF0FC"/>
            <w:tcMar>
              <w:top w:w="15" w:type="dxa"/>
              <w:left w:w="0" w:type="dxa"/>
              <w:bottom w:w="0" w:type="dxa"/>
              <w:right w:w="15" w:type="dxa"/>
            </w:tcMar>
            <w:vAlign w:val="bottom"/>
            <w:hideMark/>
          </w:tcPr>
          <w:p w14:paraId="1EF54B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434F82E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5C5DE3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8E53B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2D2EC1E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(1,147.4</w:t>
            </w:r>
          </w:p>
        </w:tc>
        <w:tc>
          <w:tcPr>
            <w:tcW w:w="191" w:type="dxa"/>
            <w:shd w:val="clear" w:color="auto" w:fill="CFF0FC"/>
            <w:noWrap/>
            <w:tcMar>
              <w:top w:w="15" w:type="dxa"/>
              <w:left w:w="0" w:type="dxa"/>
              <w:bottom w:w="0" w:type="dxa"/>
              <w:right w:w="15" w:type="dxa"/>
            </w:tcMar>
            <w:vAlign w:val="bottom"/>
            <w:hideMark/>
          </w:tcPr>
          <w:p w14:paraId="75D25A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CFF0FC"/>
            <w:tcMar>
              <w:top w:w="15" w:type="dxa"/>
              <w:left w:w="0" w:type="dxa"/>
              <w:bottom w:w="0" w:type="dxa"/>
              <w:right w:w="15" w:type="dxa"/>
            </w:tcMar>
            <w:vAlign w:val="bottom"/>
            <w:hideMark/>
          </w:tcPr>
          <w:p w14:paraId="21E392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28ABE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0FC52A4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(1,157.5</w:t>
            </w:r>
          </w:p>
        </w:tc>
        <w:tc>
          <w:tcPr>
            <w:tcW w:w="192" w:type="dxa"/>
            <w:shd w:val="clear" w:color="auto" w:fill="CFF0FC"/>
            <w:noWrap/>
            <w:tcMar>
              <w:top w:w="15" w:type="dxa"/>
              <w:left w:w="0" w:type="dxa"/>
              <w:bottom w:w="0" w:type="dxa"/>
              <w:right w:w="15" w:type="dxa"/>
            </w:tcMar>
            <w:vAlign w:val="bottom"/>
            <w:hideMark/>
          </w:tcPr>
          <w:p w14:paraId="19F41E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EBE1219" w14:textId="77777777" w:rsidTr="00AC4931">
        <w:tc>
          <w:tcPr>
            <w:tcW w:w="13485" w:type="dxa"/>
            <w:shd w:val="clear" w:color="auto" w:fill="FFFFFF"/>
            <w:tcMar>
              <w:top w:w="15" w:type="dxa"/>
              <w:left w:w="0" w:type="dxa"/>
              <w:bottom w:w="0" w:type="dxa"/>
              <w:right w:w="15" w:type="dxa"/>
            </w:tcMar>
            <w:hideMark/>
          </w:tcPr>
          <w:p w14:paraId="26C646A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controlling interest’s equity</w:t>
            </w:r>
          </w:p>
        </w:tc>
        <w:tc>
          <w:tcPr>
            <w:tcW w:w="311" w:type="dxa"/>
            <w:shd w:val="clear" w:color="auto" w:fill="FFFFFF"/>
            <w:tcMar>
              <w:top w:w="15" w:type="dxa"/>
              <w:left w:w="0" w:type="dxa"/>
              <w:bottom w:w="0" w:type="dxa"/>
              <w:right w:w="15" w:type="dxa"/>
            </w:tcMar>
            <w:vAlign w:val="bottom"/>
            <w:hideMark/>
          </w:tcPr>
          <w:p w14:paraId="1F912A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1F17011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09235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41CA29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9970C5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2,408.9</w:t>
            </w:r>
          </w:p>
        </w:tc>
        <w:tc>
          <w:tcPr>
            <w:tcW w:w="191" w:type="dxa"/>
            <w:shd w:val="clear" w:color="auto" w:fill="FFFFFF"/>
            <w:noWrap/>
            <w:tcMar>
              <w:top w:w="15" w:type="dxa"/>
              <w:left w:w="0" w:type="dxa"/>
              <w:bottom w:w="0" w:type="dxa"/>
              <w:right w:w="15" w:type="dxa"/>
            </w:tcMar>
            <w:vAlign w:val="bottom"/>
            <w:hideMark/>
          </w:tcPr>
          <w:p w14:paraId="22C1655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705A48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2A1D40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5510F8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2,109.2</w:t>
            </w:r>
          </w:p>
        </w:tc>
        <w:tc>
          <w:tcPr>
            <w:tcW w:w="192" w:type="dxa"/>
            <w:shd w:val="clear" w:color="auto" w:fill="FFFFFF"/>
            <w:noWrap/>
            <w:tcMar>
              <w:top w:w="15" w:type="dxa"/>
              <w:left w:w="0" w:type="dxa"/>
              <w:bottom w:w="0" w:type="dxa"/>
              <w:right w:w="15" w:type="dxa"/>
            </w:tcMar>
            <w:vAlign w:val="bottom"/>
            <w:hideMark/>
          </w:tcPr>
          <w:p w14:paraId="31CC895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3B1A7851" w14:textId="77777777" w:rsidTr="00AC4931">
        <w:tc>
          <w:tcPr>
            <w:tcW w:w="13485" w:type="dxa"/>
            <w:shd w:val="clear" w:color="auto" w:fill="CFF0FC"/>
            <w:tcMar>
              <w:top w:w="15" w:type="dxa"/>
              <w:left w:w="0" w:type="dxa"/>
              <w:bottom w:w="0" w:type="dxa"/>
              <w:right w:w="15" w:type="dxa"/>
            </w:tcMar>
            <w:hideMark/>
          </w:tcPr>
          <w:p w14:paraId="2CC8F8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Non-controlling interest</w:t>
            </w:r>
          </w:p>
        </w:tc>
        <w:tc>
          <w:tcPr>
            <w:tcW w:w="311" w:type="dxa"/>
            <w:shd w:val="clear" w:color="auto" w:fill="CFF0FC"/>
            <w:tcMar>
              <w:top w:w="15" w:type="dxa"/>
              <w:left w:w="0" w:type="dxa"/>
              <w:bottom w:w="0" w:type="dxa"/>
              <w:right w:w="15" w:type="dxa"/>
            </w:tcMar>
            <w:vAlign w:val="bottom"/>
            <w:hideMark/>
          </w:tcPr>
          <w:p w14:paraId="34FB32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23C253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112E8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D5D20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8B975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14.2</w:t>
            </w:r>
          </w:p>
        </w:tc>
        <w:tc>
          <w:tcPr>
            <w:tcW w:w="191" w:type="dxa"/>
            <w:shd w:val="clear" w:color="auto" w:fill="CFF0FC"/>
            <w:noWrap/>
            <w:tcMar>
              <w:top w:w="15" w:type="dxa"/>
              <w:left w:w="0" w:type="dxa"/>
              <w:bottom w:w="0" w:type="dxa"/>
              <w:right w:w="15" w:type="dxa"/>
            </w:tcMar>
            <w:vAlign w:val="bottom"/>
            <w:hideMark/>
          </w:tcPr>
          <w:p w14:paraId="7DD09A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6C073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008C4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B676C3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13.2</w:t>
            </w:r>
          </w:p>
        </w:tc>
        <w:tc>
          <w:tcPr>
            <w:tcW w:w="192" w:type="dxa"/>
            <w:shd w:val="clear" w:color="auto" w:fill="CFF0FC"/>
            <w:noWrap/>
            <w:tcMar>
              <w:top w:w="15" w:type="dxa"/>
              <w:left w:w="0" w:type="dxa"/>
              <w:bottom w:w="0" w:type="dxa"/>
              <w:right w:w="15" w:type="dxa"/>
            </w:tcMar>
            <w:vAlign w:val="bottom"/>
            <w:hideMark/>
          </w:tcPr>
          <w:p w14:paraId="59AF74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772DB67" w14:textId="77777777" w:rsidTr="00AC4931">
        <w:tc>
          <w:tcPr>
            <w:tcW w:w="13485" w:type="dxa"/>
            <w:shd w:val="clear" w:color="auto" w:fill="FFFFFF"/>
            <w:tcMar>
              <w:top w:w="15" w:type="dxa"/>
              <w:left w:w="0" w:type="dxa"/>
              <w:bottom w:w="0" w:type="dxa"/>
              <w:right w:w="15" w:type="dxa"/>
            </w:tcMar>
            <w:hideMark/>
          </w:tcPr>
          <w:p w14:paraId="018692D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equity</w:t>
            </w:r>
          </w:p>
        </w:tc>
        <w:tc>
          <w:tcPr>
            <w:tcW w:w="311" w:type="dxa"/>
            <w:shd w:val="clear" w:color="auto" w:fill="FFFFFF"/>
            <w:tcMar>
              <w:top w:w="15" w:type="dxa"/>
              <w:left w:w="0" w:type="dxa"/>
              <w:bottom w:w="0" w:type="dxa"/>
              <w:right w:w="15" w:type="dxa"/>
            </w:tcMar>
            <w:vAlign w:val="bottom"/>
            <w:hideMark/>
          </w:tcPr>
          <w:p w14:paraId="22BD27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FFFFFF"/>
            <w:tcMar>
              <w:top w:w="15" w:type="dxa"/>
              <w:left w:w="0" w:type="dxa"/>
              <w:bottom w:w="0" w:type="dxa"/>
              <w:right w:w="15" w:type="dxa"/>
            </w:tcMar>
            <w:vAlign w:val="bottom"/>
            <w:hideMark/>
          </w:tcPr>
          <w:p w14:paraId="4DA1B6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4FED4A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60D78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738C63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2,423.1</w:t>
            </w:r>
          </w:p>
        </w:tc>
        <w:tc>
          <w:tcPr>
            <w:tcW w:w="191" w:type="dxa"/>
            <w:shd w:val="clear" w:color="auto" w:fill="FFFFFF"/>
            <w:noWrap/>
            <w:tcMar>
              <w:top w:w="15" w:type="dxa"/>
              <w:left w:w="0" w:type="dxa"/>
              <w:bottom w:w="0" w:type="dxa"/>
              <w:right w:w="15" w:type="dxa"/>
            </w:tcMar>
            <w:vAlign w:val="bottom"/>
            <w:hideMark/>
          </w:tcPr>
          <w:p w14:paraId="0819B92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DDFC5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CA7FD1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3A61DE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2,122.4</w:t>
            </w:r>
          </w:p>
        </w:tc>
        <w:tc>
          <w:tcPr>
            <w:tcW w:w="192" w:type="dxa"/>
            <w:shd w:val="clear" w:color="auto" w:fill="FFFFFF"/>
            <w:noWrap/>
            <w:tcMar>
              <w:top w:w="15" w:type="dxa"/>
              <w:left w:w="0" w:type="dxa"/>
              <w:bottom w:w="0" w:type="dxa"/>
              <w:right w:w="15" w:type="dxa"/>
            </w:tcMar>
            <w:vAlign w:val="bottom"/>
            <w:hideMark/>
          </w:tcPr>
          <w:p w14:paraId="16D6BF3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E620625" w14:textId="77777777" w:rsidTr="00AC4931">
        <w:tc>
          <w:tcPr>
            <w:tcW w:w="13485" w:type="dxa"/>
            <w:shd w:val="clear" w:color="auto" w:fill="CFF0FC"/>
            <w:tcMar>
              <w:top w:w="15" w:type="dxa"/>
              <w:left w:w="0" w:type="dxa"/>
              <w:bottom w:w="0" w:type="dxa"/>
              <w:right w:w="15" w:type="dxa"/>
            </w:tcMar>
            <w:hideMark/>
          </w:tcPr>
          <w:p w14:paraId="1C57D54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liabilities and equity</w:t>
            </w:r>
          </w:p>
        </w:tc>
        <w:tc>
          <w:tcPr>
            <w:tcW w:w="311" w:type="dxa"/>
            <w:shd w:val="clear" w:color="auto" w:fill="CFF0FC"/>
            <w:tcMar>
              <w:top w:w="15" w:type="dxa"/>
              <w:left w:w="0" w:type="dxa"/>
              <w:bottom w:w="0" w:type="dxa"/>
              <w:right w:w="15" w:type="dxa"/>
            </w:tcMar>
            <w:vAlign w:val="bottom"/>
            <w:hideMark/>
          </w:tcPr>
          <w:p w14:paraId="709D32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31" w:type="dxa"/>
            <w:shd w:val="clear" w:color="auto" w:fill="CFF0FC"/>
            <w:tcMar>
              <w:top w:w="15" w:type="dxa"/>
              <w:left w:w="0" w:type="dxa"/>
              <w:bottom w:w="0" w:type="dxa"/>
              <w:right w:w="15" w:type="dxa"/>
            </w:tcMar>
            <w:vAlign w:val="bottom"/>
            <w:hideMark/>
          </w:tcPr>
          <w:p w14:paraId="59B3871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57517C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C2FA3B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AA797B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8,156.8</w:t>
            </w:r>
          </w:p>
        </w:tc>
        <w:tc>
          <w:tcPr>
            <w:tcW w:w="191" w:type="dxa"/>
            <w:shd w:val="clear" w:color="auto" w:fill="CFF0FC"/>
            <w:noWrap/>
            <w:tcMar>
              <w:top w:w="15" w:type="dxa"/>
              <w:left w:w="0" w:type="dxa"/>
              <w:bottom w:w="0" w:type="dxa"/>
              <w:right w:w="15" w:type="dxa"/>
            </w:tcMar>
            <w:vAlign w:val="bottom"/>
            <w:hideMark/>
          </w:tcPr>
          <w:p w14:paraId="0A7510C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811FB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4DF1AA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E0FA42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6,771.2</w:t>
            </w:r>
          </w:p>
        </w:tc>
        <w:tc>
          <w:tcPr>
            <w:tcW w:w="192" w:type="dxa"/>
            <w:shd w:val="clear" w:color="auto" w:fill="CFF0FC"/>
            <w:noWrap/>
            <w:tcMar>
              <w:top w:w="15" w:type="dxa"/>
              <w:left w:w="0" w:type="dxa"/>
              <w:bottom w:w="0" w:type="dxa"/>
              <w:right w:w="15" w:type="dxa"/>
            </w:tcMar>
            <w:vAlign w:val="bottom"/>
            <w:hideMark/>
          </w:tcPr>
          <w:p w14:paraId="2918903C"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019283B3"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77713D71" w14:textId="77777777" w:rsidTr="00AC4931">
        <w:tc>
          <w:tcPr>
            <w:tcW w:w="919" w:type="dxa"/>
            <w:noWrap/>
            <w:hideMark/>
          </w:tcPr>
          <w:p w14:paraId="6CD31DBA"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7A284F25"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Number</w:t>
            </w:r>
            <w:r w:rsidRPr="00AC4931">
              <w:rPr>
                <w:rFonts w:ascii="Arial" w:eastAsia="宋体" w:hAnsi="Arial" w:cs="Arial"/>
                <w:spacing w:val="6"/>
                <w:kern w:val="0"/>
                <w:sz w:val="16"/>
                <w:szCs w:val="16"/>
              </w:rPr>
              <w:t> </w:t>
            </w:r>
            <w:r w:rsidRPr="00AC4931">
              <w:rPr>
                <w:rFonts w:ascii="Arial" w:eastAsia="宋体" w:hAnsi="Arial" w:cs="Arial"/>
                <w:kern w:val="0"/>
                <w:sz w:val="16"/>
                <w:szCs w:val="16"/>
              </w:rPr>
              <w:t>of</w:t>
            </w:r>
            <w:r w:rsidRPr="00AC4931">
              <w:rPr>
                <w:rFonts w:ascii="Arial" w:eastAsia="宋体" w:hAnsi="Arial" w:cs="Arial"/>
                <w:spacing w:val="-4"/>
                <w:kern w:val="0"/>
                <w:sz w:val="16"/>
                <w:szCs w:val="16"/>
              </w:rPr>
              <w:t> </w:t>
            </w:r>
            <w:r w:rsidRPr="00AC4931">
              <w:rPr>
                <w:rFonts w:ascii="Arial" w:eastAsia="宋体" w:hAnsi="Arial" w:cs="Arial"/>
                <w:kern w:val="0"/>
                <w:sz w:val="16"/>
                <w:szCs w:val="16"/>
              </w:rPr>
              <w:t>sha</w:t>
            </w:r>
            <w:r w:rsidRPr="00AC4931">
              <w:rPr>
                <w:rFonts w:ascii="Arial" w:eastAsia="宋体" w:hAnsi="Arial" w:cs="Arial"/>
                <w:spacing w:val="-4"/>
                <w:kern w:val="0"/>
                <w:sz w:val="16"/>
                <w:szCs w:val="16"/>
              </w:rPr>
              <w:t>r</w:t>
            </w:r>
            <w:r w:rsidRPr="00AC4931">
              <w:rPr>
                <w:rFonts w:ascii="Arial" w:eastAsia="宋体" w:hAnsi="Arial" w:cs="Arial"/>
                <w:kern w:val="0"/>
                <w:sz w:val="16"/>
                <w:szCs w:val="16"/>
              </w:rPr>
              <w:t>es:</w:t>
            </w:r>
            <w:r w:rsidRPr="00AC4931">
              <w:rPr>
                <w:rFonts w:ascii="Arial" w:eastAsia="宋体" w:hAnsi="Arial" w:cs="Arial"/>
                <w:spacing w:val="-2"/>
                <w:kern w:val="0"/>
                <w:sz w:val="16"/>
                <w:szCs w:val="16"/>
              </w:rPr>
              <w:t> </w:t>
            </w:r>
            <w:r w:rsidRPr="00AC4931">
              <w:rPr>
                <w:rFonts w:ascii="Arial" w:eastAsia="宋体" w:hAnsi="Arial" w:cs="Arial"/>
                <w:kern w:val="0"/>
                <w:sz w:val="16"/>
                <w:szCs w:val="16"/>
              </w:rPr>
              <w:t>350 million</w:t>
            </w:r>
            <w:r w:rsidRPr="00AC4931">
              <w:rPr>
                <w:rFonts w:ascii="Arial" w:eastAsia="宋体" w:hAnsi="Arial" w:cs="Arial"/>
                <w:spacing w:val="17"/>
                <w:kern w:val="0"/>
                <w:sz w:val="16"/>
                <w:szCs w:val="16"/>
              </w:rPr>
              <w:t> </w:t>
            </w:r>
            <w:r w:rsidRPr="00AC4931">
              <w:rPr>
                <w:rFonts w:ascii="Arial" w:eastAsia="宋体" w:hAnsi="Arial" w:cs="Arial"/>
                <w:kern w:val="0"/>
                <w:sz w:val="16"/>
                <w:szCs w:val="16"/>
              </w:rPr>
              <w:t>authorized,</w:t>
            </w:r>
            <w:r w:rsidRPr="00AC4931">
              <w:rPr>
                <w:rFonts w:ascii="Arial" w:eastAsia="宋体" w:hAnsi="Arial" w:cs="Arial"/>
                <w:spacing w:val="-9"/>
                <w:kern w:val="0"/>
                <w:sz w:val="16"/>
                <w:szCs w:val="16"/>
              </w:rPr>
              <w:t> </w:t>
            </w:r>
            <w:r w:rsidRPr="00AC4931">
              <w:rPr>
                <w:rFonts w:ascii="Arial" w:eastAsia="宋体" w:hAnsi="Arial" w:cs="Arial"/>
                <w:kern w:val="0"/>
                <w:sz w:val="16"/>
                <w:szCs w:val="16"/>
              </w:rPr>
              <w:t>102.8 million</w:t>
            </w:r>
            <w:r w:rsidRPr="00AC4931">
              <w:rPr>
                <w:rFonts w:ascii="Arial" w:eastAsia="宋体" w:hAnsi="Arial" w:cs="Arial"/>
                <w:spacing w:val="17"/>
                <w:kern w:val="0"/>
                <w:sz w:val="16"/>
                <w:szCs w:val="16"/>
              </w:rPr>
              <w:t> </w:t>
            </w:r>
            <w:r w:rsidRPr="00AC4931">
              <w:rPr>
                <w:rFonts w:ascii="Arial" w:eastAsia="宋体" w:hAnsi="Arial" w:cs="Arial"/>
                <w:kern w:val="0"/>
                <w:sz w:val="16"/>
                <w:szCs w:val="16"/>
              </w:rPr>
              <w:t>i</w:t>
            </w:r>
            <w:r w:rsidRPr="00AC4931">
              <w:rPr>
                <w:rFonts w:ascii="Arial" w:eastAsia="宋体" w:hAnsi="Arial" w:cs="Arial"/>
                <w:spacing w:val="-1"/>
                <w:kern w:val="0"/>
                <w:sz w:val="16"/>
                <w:szCs w:val="16"/>
              </w:rPr>
              <w:t>s</w:t>
            </w:r>
            <w:r w:rsidRPr="00AC4931">
              <w:rPr>
                <w:rFonts w:ascii="Arial" w:eastAsia="宋体" w:hAnsi="Arial" w:cs="Arial"/>
                <w:kern w:val="0"/>
                <w:sz w:val="16"/>
                <w:szCs w:val="16"/>
              </w:rPr>
              <w:t>sued</w:t>
            </w:r>
            <w:r w:rsidRPr="00AC4931">
              <w:rPr>
                <w:rFonts w:ascii="Arial" w:eastAsia="宋体" w:hAnsi="Arial" w:cs="Arial"/>
                <w:spacing w:val="-9"/>
                <w:kern w:val="0"/>
                <w:sz w:val="16"/>
                <w:szCs w:val="16"/>
              </w:rPr>
              <w:t> </w:t>
            </w:r>
            <w:r w:rsidRPr="00AC4931">
              <w:rPr>
                <w:rFonts w:ascii="Arial" w:eastAsia="宋体" w:hAnsi="Arial" w:cs="Arial"/>
                <w:spacing w:val="-2"/>
                <w:kern w:val="0"/>
                <w:sz w:val="16"/>
                <w:szCs w:val="16"/>
              </w:rPr>
              <w:t>f</w:t>
            </w:r>
            <w:r w:rsidRPr="00AC4931">
              <w:rPr>
                <w:rFonts w:ascii="Arial" w:eastAsia="宋体" w:hAnsi="Arial" w:cs="Arial"/>
                <w:kern w:val="0"/>
                <w:sz w:val="16"/>
                <w:szCs w:val="16"/>
              </w:rPr>
              <w:t>or</w:t>
            </w:r>
            <w:r w:rsidRPr="00AC4931">
              <w:rPr>
                <w:rFonts w:ascii="Arial" w:eastAsia="宋体" w:hAnsi="Arial" w:cs="Arial"/>
                <w:spacing w:val="5"/>
                <w:kern w:val="0"/>
                <w:sz w:val="16"/>
                <w:szCs w:val="16"/>
              </w:rPr>
              <w:t> </w:t>
            </w:r>
            <w:r w:rsidRPr="00AC4931">
              <w:rPr>
                <w:rFonts w:ascii="Arial" w:eastAsia="宋体" w:hAnsi="Arial" w:cs="Arial"/>
                <w:kern w:val="0"/>
                <w:sz w:val="16"/>
                <w:szCs w:val="16"/>
              </w:rPr>
              <w:t>both</w:t>
            </w:r>
            <w:r w:rsidRPr="00AC4931">
              <w:rPr>
                <w:rFonts w:ascii="Arial" w:eastAsia="宋体" w:hAnsi="Arial" w:cs="Arial"/>
                <w:spacing w:val="-3"/>
                <w:kern w:val="0"/>
                <w:sz w:val="16"/>
                <w:szCs w:val="16"/>
              </w:rPr>
              <w:t> </w:t>
            </w:r>
            <w:r w:rsidRPr="00AC4931">
              <w:rPr>
                <w:rFonts w:ascii="Arial" w:eastAsia="宋体" w:hAnsi="Arial" w:cs="Arial"/>
                <w:spacing w:val="-1"/>
                <w:kern w:val="0"/>
                <w:sz w:val="16"/>
                <w:szCs w:val="16"/>
              </w:rPr>
              <w:t>y</w:t>
            </w:r>
            <w:r w:rsidRPr="00AC4931">
              <w:rPr>
                <w:rFonts w:ascii="Arial" w:eastAsia="宋体" w:hAnsi="Arial" w:cs="Arial"/>
                <w:kern w:val="0"/>
                <w:sz w:val="16"/>
                <w:szCs w:val="16"/>
              </w:rPr>
              <w:t>ea</w:t>
            </w:r>
            <w:r w:rsidRPr="00AC4931">
              <w:rPr>
                <w:rFonts w:ascii="Arial" w:eastAsia="宋体" w:hAnsi="Arial" w:cs="Arial"/>
                <w:spacing w:val="-1"/>
                <w:kern w:val="0"/>
                <w:sz w:val="16"/>
                <w:szCs w:val="16"/>
              </w:rPr>
              <w:t>r</w:t>
            </w:r>
            <w:r w:rsidRPr="00AC4931">
              <w:rPr>
                <w:rFonts w:ascii="Arial" w:eastAsia="宋体" w:hAnsi="Arial" w:cs="Arial"/>
                <w:kern w:val="0"/>
                <w:sz w:val="16"/>
                <w:szCs w:val="16"/>
              </w:rPr>
              <w:t>s,</w:t>
            </w:r>
            <w:r w:rsidRPr="00AC4931">
              <w:rPr>
                <w:rFonts w:ascii="Arial" w:eastAsia="宋体" w:hAnsi="Arial" w:cs="Arial"/>
                <w:spacing w:val="-1"/>
                <w:kern w:val="0"/>
                <w:sz w:val="16"/>
                <w:szCs w:val="16"/>
              </w:rPr>
              <w:t> </w:t>
            </w:r>
            <w:r w:rsidRPr="00AC4931">
              <w:rPr>
                <w:rFonts w:ascii="Arial" w:eastAsia="宋体" w:hAnsi="Arial" w:cs="Arial"/>
                <w:kern w:val="0"/>
                <w:sz w:val="16"/>
                <w:szCs w:val="16"/>
              </w:rPr>
              <w:t>and</w:t>
            </w:r>
            <w:r w:rsidRPr="00AC4931">
              <w:rPr>
                <w:rFonts w:ascii="Arial" w:eastAsia="宋体" w:hAnsi="Arial" w:cs="Arial"/>
                <w:spacing w:val="-9"/>
                <w:kern w:val="0"/>
                <w:sz w:val="16"/>
                <w:szCs w:val="16"/>
              </w:rPr>
              <w:t> </w:t>
            </w:r>
            <w:r w:rsidRPr="00AC4931">
              <w:rPr>
                <w:rFonts w:ascii="Arial" w:eastAsia="宋体" w:hAnsi="Arial" w:cs="Arial"/>
                <w:kern w:val="0"/>
                <w:sz w:val="16"/>
                <w:szCs w:val="16"/>
              </w:rPr>
              <w:t>87.4 and</w:t>
            </w:r>
            <w:r w:rsidRPr="00AC4931">
              <w:rPr>
                <w:rFonts w:ascii="Arial" w:eastAsia="宋体" w:hAnsi="Arial" w:cs="Arial"/>
                <w:spacing w:val="-9"/>
                <w:kern w:val="0"/>
                <w:sz w:val="16"/>
                <w:szCs w:val="16"/>
              </w:rPr>
              <w:t> </w:t>
            </w:r>
            <w:r w:rsidRPr="00AC4931">
              <w:rPr>
                <w:rFonts w:ascii="Arial" w:eastAsia="宋体" w:hAnsi="Arial" w:cs="Arial"/>
                <w:kern w:val="0"/>
                <w:sz w:val="16"/>
                <w:szCs w:val="16"/>
              </w:rPr>
              <w:t>87.2 million</w:t>
            </w:r>
            <w:r w:rsidRPr="00AC4931">
              <w:rPr>
                <w:rFonts w:ascii="Arial" w:eastAsia="宋体" w:hAnsi="Arial" w:cs="Arial"/>
                <w:spacing w:val="17"/>
                <w:kern w:val="0"/>
                <w:sz w:val="16"/>
                <w:szCs w:val="16"/>
              </w:rPr>
              <w:t> </w:t>
            </w:r>
            <w:r w:rsidRPr="00AC4931">
              <w:rPr>
                <w:rFonts w:ascii="Arial" w:eastAsia="宋体" w:hAnsi="Arial" w:cs="Arial"/>
                <w:kern w:val="0"/>
                <w:sz w:val="16"/>
                <w:szCs w:val="16"/>
              </w:rPr>
              <w:t>ou</w:t>
            </w:r>
            <w:r w:rsidRPr="00AC4931">
              <w:rPr>
                <w:rFonts w:ascii="Arial" w:eastAsia="宋体" w:hAnsi="Arial" w:cs="Arial"/>
                <w:spacing w:val="-1"/>
                <w:kern w:val="0"/>
                <w:sz w:val="16"/>
                <w:szCs w:val="16"/>
              </w:rPr>
              <w:t>tst</w:t>
            </w:r>
            <w:r w:rsidRPr="00AC4931">
              <w:rPr>
                <w:rFonts w:ascii="Arial" w:eastAsia="宋体" w:hAnsi="Arial" w:cs="Arial"/>
                <w:kern w:val="0"/>
                <w:sz w:val="16"/>
                <w:szCs w:val="16"/>
              </w:rPr>
              <w:t>anding,</w:t>
            </w:r>
            <w:r w:rsidRPr="00AC4931">
              <w:rPr>
                <w:rFonts w:ascii="Arial" w:eastAsia="宋体" w:hAnsi="Arial" w:cs="Arial"/>
                <w:spacing w:val="-5"/>
                <w:kern w:val="0"/>
                <w:sz w:val="16"/>
                <w:szCs w:val="16"/>
              </w:rPr>
              <w:t> </w:t>
            </w:r>
            <w:r w:rsidRPr="00AC4931">
              <w:rPr>
                <w:rFonts w:ascii="Arial" w:eastAsia="宋体" w:hAnsi="Arial" w:cs="Arial"/>
                <w:kern w:val="0"/>
                <w:sz w:val="16"/>
                <w:szCs w:val="16"/>
              </w:rPr>
              <w:t>net</w:t>
            </w:r>
            <w:r w:rsidRPr="00AC4931">
              <w:rPr>
                <w:rFonts w:ascii="Arial" w:eastAsia="宋体" w:hAnsi="Arial" w:cs="Arial"/>
                <w:spacing w:val="-1"/>
                <w:kern w:val="0"/>
                <w:sz w:val="16"/>
                <w:szCs w:val="16"/>
              </w:rPr>
              <w:t> </w:t>
            </w:r>
            <w:r w:rsidRPr="00AC4931">
              <w:rPr>
                <w:rFonts w:ascii="Arial" w:eastAsia="宋体" w:hAnsi="Arial" w:cs="Arial"/>
                <w:kern w:val="0"/>
                <w:sz w:val="16"/>
                <w:szCs w:val="16"/>
              </w:rPr>
              <w:t>of</w:t>
            </w:r>
            <w:r w:rsidRPr="00AC4931">
              <w:rPr>
                <w:rFonts w:ascii="Arial" w:eastAsia="宋体" w:hAnsi="Arial" w:cs="Arial"/>
                <w:spacing w:val="-4"/>
                <w:kern w:val="0"/>
                <w:sz w:val="16"/>
                <w:szCs w:val="16"/>
              </w:rPr>
              <w:t> </w:t>
            </w:r>
            <w:r w:rsidRPr="00AC4931">
              <w:rPr>
                <w:rFonts w:ascii="Arial" w:eastAsia="宋体" w:hAnsi="Arial" w:cs="Arial"/>
                <w:kern w:val="0"/>
                <w:sz w:val="16"/>
                <w:szCs w:val="16"/>
              </w:rPr>
              <w:t>t</w:t>
            </w:r>
            <w:r w:rsidRPr="00AC4931">
              <w:rPr>
                <w:rFonts w:ascii="Arial" w:eastAsia="宋体" w:hAnsi="Arial" w:cs="Arial"/>
                <w:spacing w:val="-4"/>
                <w:kern w:val="0"/>
                <w:sz w:val="16"/>
                <w:szCs w:val="16"/>
              </w:rPr>
              <w:t>r</w:t>
            </w:r>
            <w:r w:rsidRPr="00AC4931">
              <w:rPr>
                <w:rFonts w:ascii="Arial" w:eastAsia="宋体" w:hAnsi="Arial" w:cs="Arial"/>
                <w:kern w:val="0"/>
                <w:sz w:val="16"/>
                <w:szCs w:val="16"/>
              </w:rPr>
              <w:t>easury</w:t>
            </w:r>
            <w:r w:rsidRPr="00AC4931">
              <w:rPr>
                <w:rFonts w:ascii="Arial" w:eastAsia="宋体" w:hAnsi="Arial" w:cs="Arial"/>
                <w:spacing w:val="1"/>
                <w:kern w:val="0"/>
                <w:sz w:val="16"/>
                <w:szCs w:val="16"/>
              </w:rPr>
              <w:t> </w:t>
            </w:r>
            <w:r w:rsidRPr="00AC4931">
              <w:rPr>
                <w:rFonts w:ascii="Arial" w:eastAsia="宋体" w:hAnsi="Arial" w:cs="Arial"/>
                <w:kern w:val="0"/>
                <w:sz w:val="16"/>
                <w:szCs w:val="16"/>
              </w:rPr>
              <w:t>sha</w:t>
            </w:r>
            <w:r w:rsidRPr="00AC4931">
              <w:rPr>
                <w:rFonts w:ascii="Arial" w:eastAsia="宋体" w:hAnsi="Arial" w:cs="Arial"/>
                <w:spacing w:val="-4"/>
                <w:kern w:val="0"/>
                <w:sz w:val="16"/>
                <w:szCs w:val="16"/>
              </w:rPr>
              <w:t>r</w:t>
            </w:r>
            <w:r w:rsidRPr="00AC4931">
              <w:rPr>
                <w:rFonts w:ascii="Arial" w:eastAsia="宋体" w:hAnsi="Arial" w:cs="Arial"/>
                <w:kern w:val="0"/>
                <w:sz w:val="16"/>
                <w:szCs w:val="16"/>
              </w:rPr>
              <w:t>es,</w:t>
            </w:r>
            <w:r w:rsidRPr="00AC4931">
              <w:rPr>
                <w:rFonts w:ascii="Arial" w:eastAsia="宋体" w:hAnsi="Arial" w:cs="Arial"/>
                <w:spacing w:val="-6"/>
                <w:kern w:val="0"/>
                <w:sz w:val="16"/>
                <w:szCs w:val="16"/>
              </w:rPr>
              <w:t> </w:t>
            </w:r>
            <w:r w:rsidRPr="00AC4931">
              <w:rPr>
                <w:rFonts w:ascii="Arial" w:eastAsia="宋体" w:hAnsi="Arial" w:cs="Arial"/>
                <w:spacing w:val="-2"/>
                <w:kern w:val="0"/>
                <w:sz w:val="16"/>
                <w:szCs w:val="16"/>
              </w:rPr>
              <w:t>f</w:t>
            </w:r>
            <w:r w:rsidRPr="00AC4931">
              <w:rPr>
                <w:rFonts w:ascii="Arial" w:eastAsia="宋体" w:hAnsi="Arial" w:cs="Arial"/>
                <w:kern w:val="0"/>
                <w:sz w:val="16"/>
                <w:szCs w:val="16"/>
              </w:rPr>
              <w:t>or</w:t>
            </w:r>
            <w:r w:rsidRPr="00AC4931">
              <w:rPr>
                <w:rFonts w:ascii="Arial" w:eastAsia="宋体" w:hAnsi="Arial" w:cs="Arial"/>
                <w:spacing w:val="5"/>
                <w:kern w:val="0"/>
                <w:sz w:val="16"/>
                <w:szCs w:val="16"/>
              </w:rPr>
              <w:t> </w:t>
            </w:r>
            <w:r w:rsidRPr="00AC4931">
              <w:rPr>
                <w:rFonts w:ascii="Arial" w:eastAsia="宋体" w:hAnsi="Arial" w:cs="Arial"/>
                <w:kern w:val="0"/>
                <w:sz w:val="16"/>
                <w:szCs w:val="16"/>
              </w:rPr>
              <w:t>2020 and</w:t>
            </w:r>
            <w:r w:rsidRPr="00AC4931">
              <w:rPr>
                <w:rFonts w:ascii="Arial" w:eastAsia="宋体" w:hAnsi="Arial" w:cs="Arial"/>
                <w:spacing w:val="-9"/>
                <w:kern w:val="0"/>
                <w:sz w:val="16"/>
                <w:szCs w:val="16"/>
              </w:rPr>
              <w:t> </w:t>
            </w:r>
            <w:r w:rsidRPr="00AC4931">
              <w:rPr>
                <w:rFonts w:ascii="Arial" w:eastAsia="宋体" w:hAnsi="Arial" w:cs="Arial"/>
                <w:kern w:val="0"/>
                <w:sz w:val="16"/>
                <w:szCs w:val="16"/>
              </w:rPr>
              <w:t>2019, </w:t>
            </w:r>
            <w:r w:rsidRPr="00AC4931">
              <w:rPr>
                <w:rFonts w:ascii="Arial" w:eastAsia="宋体" w:hAnsi="Arial" w:cs="Arial"/>
                <w:spacing w:val="-4"/>
                <w:kern w:val="0"/>
                <w:sz w:val="16"/>
                <w:szCs w:val="16"/>
              </w:rPr>
              <w:t>r</w:t>
            </w:r>
            <w:r w:rsidRPr="00AC4931">
              <w:rPr>
                <w:rFonts w:ascii="Arial" w:eastAsia="宋体" w:hAnsi="Arial" w:cs="Arial"/>
                <w:kern w:val="0"/>
                <w:sz w:val="16"/>
                <w:szCs w:val="16"/>
              </w:rPr>
              <w:t>especti</w:t>
            </w:r>
            <w:r w:rsidRPr="00AC4931">
              <w:rPr>
                <w:rFonts w:ascii="Arial" w:eastAsia="宋体" w:hAnsi="Arial" w:cs="Arial"/>
                <w:spacing w:val="-1"/>
                <w:kern w:val="0"/>
                <w:sz w:val="16"/>
                <w:szCs w:val="16"/>
              </w:rPr>
              <w:t>v</w:t>
            </w:r>
            <w:r w:rsidRPr="00AC4931">
              <w:rPr>
                <w:rFonts w:ascii="Arial" w:eastAsia="宋体" w:hAnsi="Arial" w:cs="Arial"/>
                <w:kern w:val="0"/>
                <w:sz w:val="16"/>
                <w:szCs w:val="16"/>
              </w:rPr>
              <w:t>e</w:t>
            </w:r>
            <w:r w:rsidRPr="00AC4931">
              <w:rPr>
                <w:rFonts w:ascii="Arial" w:eastAsia="宋体" w:hAnsi="Arial" w:cs="Arial"/>
                <w:spacing w:val="-4"/>
                <w:kern w:val="0"/>
                <w:sz w:val="16"/>
                <w:szCs w:val="16"/>
              </w:rPr>
              <w:t>l</w:t>
            </w:r>
            <w:r w:rsidRPr="00AC4931">
              <w:rPr>
                <w:rFonts w:ascii="Arial" w:eastAsia="宋体" w:hAnsi="Arial" w:cs="Arial"/>
                <w:spacing w:val="-8"/>
                <w:kern w:val="0"/>
                <w:sz w:val="16"/>
                <w:szCs w:val="16"/>
              </w:rPr>
              <w:t>y</w:t>
            </w:r>
            <w:r w:rsidRPr="00AC4931">
              <w:rPr>
                <w:rFonts w:ascii="Arial" w:eastAsia="宋体" w:hAnsi="Arial" w:cs="Arial"/>
                <w:kern w:val="0"/>
                <w:sz w:val="16"/>
                <w:szCs w:val="16"/>
              </w:rPr>
              <w:t>.</w:t>
            </w:r>
          </w:p>
        </w:tc>
      </w:tr>
    </w:tbl>
    <w:p w14:paraId="4E4F13C2" w14:textId="77777777" w:rsidR="00AC4931" w:rsidRPr="00AC4931" w:rsidRDefault="00AC4931" w:rsidP="00AC4931">
      <w:pPr>
        <w:widowControl/>
        <w:spacing w:before="180"/>
        <w:rPr>
          <w:rFonts w:ascii="Arial" w:eastAsia="宋体" w:hAnsi="Arial" w:cs="Arial"/>
          <w:color w:val="000000"/>
          <w:kern w:val="0"/>
          <w:sz w:val="18"/>
          <w:szCs w:val="18"/>
        </w:rPr>
      </w:pPr>
      <w:r w:rsidRPr="00AC4931">
        <w:rPr>
          <w:rFonts w:ascii="Arial" w:eastAsia="宋体" w:hAnsi="Arial" w:cs="Arial"/>
          <w:color w:val="000000"/>
          <w:kern w:val="0"/>
          <w:sz w:val="18"/>
          <w:szCs w:val="18"/>
        </w:rPr>
        <w:t>See No</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es</w:t>
      </w:r>
      <w:r w:rsidRPr="00AC4931">
        <w:rPr>
          <w:rFonts w:ascii="Arial" w:eastAsia="宋体" w:hAnsi="Arial" w:cs="Arial"/>
          <w:color w:val="000000"/>
          <w:spacing w:val="-4"/>
          <w:kern w:val="0"/>
          <w:sz w:val="18"/>
          <w:szCs w:val="18"/>
        </w:rPr>
        <w:t> </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o</w:t>
      </w:r>
      <w:r w:rsidRPr="00AC4931">
        <w:rPr>
          <w:rFonts w:ascii="Arial" w:eastAsia="宋体" w:hAnsi="Arial" w:cs="Arial"/>
          <w:color w:val="000000"/>
          <w:spacing w:val="-2"/>
          <w:kern w:val="0"/>
          <w:sz w:val="18"/>
          <w:szCs w:val="18"/>
        </w:rPr>
        <w:t> the </w:t>
      </w:r>
      <w:r w:rsidRPr="00AC4931">
        <w:rPr>
          <w:rFonts w:ascii="Arial" w:eastAsia="宋体" w:hAnsi="Arial" w:cs="Arial"/>
          <w:color w:val="000000"/>
          <w:kern w:val="0"/>
          <w:sz w:val="18"/>
          <w:szCs w:val="18"/>
        </w:rPr>
        <w:t>Consolida</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ed</w:t>
      </w:r>
      <w:r w:rsidRPr="00AC4931">
        <w:rPr>
          <w:rFonts w:ascii="Arial" w:eastAsia="宋体" w:hAnsi="Arial" w:cs="Arial"/>
          <w:color w:val="000000"/>
          <w:spacing w:val="1"/>
          <w:kern w:val="0"/>
          <w:sz w:val="18"/>
          <w:szCs w:val="18"/>
        </w:rPr>
        <w:t> </w:t>
      </w:r>
      <w:r w:rsidRPr="00AC4931">
        <w:rPr>
          <w:rFonts w:ascii="Arial" w:eastAsia="宋体" w:hAnsi="Arial" w:cs="Arial"/>
          <w:color w:val="000000"/>
          <w:kern w:val="0"/>
          <w:sz w:val="18"/>
          <w:szCs w:val="18"/>
        </w:rPr>
        <w:t>Financial</w:t>
      </w:r>
      <w:r w:rsidRPr="00AC4931">
        <w:rPr>
          <w:rFonts w:ascii="Arial" w:eastAsia="宋体" w:hAnsi="Arial" w:cs="Arial"/>
          <w:color w:val="000000"/>
          <w:spacing w:val="-3"/>
          <w:kern w:val="0"/>
          <w:sz w:val="18"/>
          <w:szCs w:val="18"/>
        </w:rPr>
        <w:t> </w:t>
      </w:r>
      <w:r w:rsidRPr="00AC4931">
        <w:rPr>
          <w:rFonts w:ascii="Arial" w:eastAsia="宋体" w:hAnsi="Arial" w:cs="Arial"/>
          <w:color w:val="000000"/>
          <w:kern w:val="0"/>
          <w:sz w:val="18"/>
          <w:szCs w:val="18"/>
        </w:rPr>
        <w:t>S</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a</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emen</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s.</w:t>
      </w:r>
    </w:p>
    <w:p w14:paraId="4AB5CF1F"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56</w:t>
      </w:r>
    </w:p>
    <w:p w14:paraId="3BD7A35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AA21A98"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7E318D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E3C4E29"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E26283D">
          <v:rect id="_x0000_i1083" style="width:0;height:1.5pt" o:hralign="center" o:hrstd="t" o:hrnoshade="t" o:hr="t" fillcolor="black" stroked="f"/>
        </w:pict>
      </w:r>
    </w:p>
    <w:p w14:paraId="6A8F703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BD172A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D286E1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3149179" w14:textId="77777777" w:rsidR="00AC4931" w:rsidRPr="00AC4931" w:rsidRDefault="00AC4931" w:rsidP="00AC4931">
      <w:pPr>
        <w:widowControl/>
        <w:rPr>
          <w:rFonts w:ascii="Arial" w:eastAsia="宋体" w:hAnsi="Arial" w:cs="Arial" w:hint="eastAsia"/>
          <w:b/>
          <w:bCs/>
          <w:color w:val="000000"/>
          <w:kern w:val="0"/>
          <w:sz w:val="22"/>
        </w:rPr>
      </w:pPr>
      <w:r w:rsidRPr="00AC4931">
        <w:rPr>
          <w:rFonts w:ascii="Arial" w:eastAsia="宋体" w:hAnsi="Arial" w:cs="Arial"/>
          <w:b/>
          <w:bCs/>
          <w:color w:val="000000"/>
          <w:kern w:val="0"/>
          <w:sz w:val="22"/>
        </w:rPr>
        <w:t>Consolidated Statements of Cash Flows</w:t>
      </w:r>
    </w:p>
    <w:p w14:paraId="671D8102"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3493"/>
        <w:gridCol w:w="311"/>
        <w:gridCol w:w="199"/>
        <w:gridCol w:w="1634"/>
        <w:gridCol w:w="199"/>
        <w:gridCol w:w="311"/>
        <w:gridCol w:w="199"/>
        <w:gridCol w:w="1634"/>
        <w:gridCol w:w="199"/>
        <w:gridCol w:w="311"/>
        <w:gridCol w:w="199"/>
        <w:gridCol w:w="1725"/>
        <w:gridCol w:w="200"/>
      </w:tblGrid>
      <w:tr w:rsidR="00AC4931" w:rsidRPr="00AC4931" w14:paraId="52DF1653" w14:textId="77777777" w:rsidTr="00AC4931">
        <w:tc>
          <w:tcPr>
            <w:tcW w:w="13485" w:type="dxa"/>
            <w:shd w:val="clear" w:color="auto" w:fill="FFFFFF"/>
            <w:tcMar>
              <w:top w:w="15" w:type="dxa"/>
              <w:left w:w="0" w:type="dxa"/>
              <w:bottom w:w="0" w:type="dxa"/>
              <w:right w:w="15" w:type="dxa"/>
            </w:tcMar>
            <w:vAlign w:val="bottom"/>
            <w:hideMark/>
          </w:tcPr>
          <w:p w14:paraId="71EB1073" w14:textId="77777777" w:rsidR="00AC4931" w:rsidRPr="00AC4931" w:rsidRDefault="00AC4931" w:rsidP="00AC4931">
            <w:pPr>
              <w:widowControl/>
              <w:jc w:val="center"/>
              <w:rPr>
                <w:rFonts w:ascii="Arial" w:eastAsia="宋体" w:hAnsi="Arial" w:cs="Arial" w:hint="eastAsia"/>
                <w:kern w:val="0"/>
                <w:sz w:val="20"/>
                <w:szCs w:val="20"/>
              </w:rPr>
            </w:pPr>
            <w:r w:rsidRPr="00AC4931">
              <w:rPr>
                <w:rFonts w:ascii="Arial" w:eastAsia="宋体" w:hAnsi="Arial" w:cs="Arial"/>
                <w:kern w:val="0"/>
                <w:sz w:val="20"/>
                <w:szCs w:val="20"/>
              </w:rPr>
              <w:t> </w:t>
            </w:r>
          </w:p>
        </w:tc>
        <w:tc>
          <w:tcPr>
            <w:tcW w:w="311" w:type="dxa"/>
            <w:shd w:val="clear" w:color="auto" w:fill="FFFFFF"/>
            <w:tcMar>
              <w:top w:w="15" w:type="dxa"/>
              <w:left w:w="0" w:type="dxa"/>
              <w:bottom w:w="0" w:type="dxa"/>
              <w:right w:w="15" w:type="dxa"/>
            </w:tcMar>
            <w:vAlign w:val="bottom"/>
            <w:hideMark/>
          </w:tcPr>
          <w:p w14:paraId="61E30D1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6567" w:type="dxa"/>
            <w:gridSpan w:val="10"/>
            <w:tcBorders>
              <w:bottom w:val="single" w:sz="6" w:space="0" w:color="000000"/>
            </w:tcBorders>
            <w:shd w:val="clear" w:color="auto" w:fill="FFFFFF"/>
            <w:tcMar>
              <w:top w:w="15" w:type="dxa"/>
              <w:left w:w="0" w:type="dxa"/>
              <w:bottom w:w="0" w:type="dxa"/>
              <w:right w:w="15" w:type="dxa"/>
            </w:tcMar>
            <w:vAlign w:val="bottom"/>
            <w:hideMark/>
          </w:tcPr>
          <w:p w14:paraId="5E7A8C1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Years ended December 31</w:t>
            </w:r>
          </w:p>
        </w:tc>
        <w:tc>
          <w:tcPr>
            <w:tcW w:w="192" w:type="dxa"/>
            <w:shd w:val="clear" w:color="auto" w:fill="FFFFFF"/>
            <w:noWrap/>
            <w:tcMar>
              <w:top w:w="15" w:type="dxa"/>
              <w:left w:w="0" w:type="dxa"/>
              <w:bottom w:w="0" w:type="dxa"/>
              <w:right w:w="15" w:type="dxa"/>
            </w:tcMar>
            <w:vAlign w:val="bottom"/>
            <w:hideMark/>
          </w:tcPr>
          <w:p w14:paraId="1E5C380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D6F9249" w14:textId="77777777" w:rsidTr="00AC4931">
        <w:tc>
          <w:tcPr>
            <w:tcW w:w="13485" w:type="dxa"/>
            <w:shd w:val="clear" w:color="auto" w:fill="FFFFFF"/>
            <w:tcMar>
              <w:top w:w="15" w:type="dxa"/>
              <w:left w:w="0" w:type="dxa"/>
              <w:bottom w:w="0" w:type="dxa"/>
              <w:right w:w="15" w:type="dxa"/>
            </w:tcMar>
            <w:vAlign w:val="bottom"/>
            <w:hideMark/>
          </w:tcPr>
          <w:p w14:paraId="5368528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(DOLLARS IN MILLIONS)</w:t>
            </w:r>
          </w:p>
        </w:tc>
        <w:tc>
          <w:tcPr>
            <w:tcW w:w="311" w:type="dxa"/>
            <w:shd w:val="clear" w:color="auto" w:fill="FFFFFF"/>
            <w:tcMar>
              <w:top w:w="15" w:type="dxa"/>
              <w:left w:w="0" w:type="dxa"/>
              <w:bottom w:w="0" w:type="dxa"/>
              <w:right w:w="15" w:type="dxa"/>
            </w:tcMar>
            <w:vAlign w:val="bottom"/>
            <w:hideMark/>
          </w:tcPr>
          <w:p w14:paraId="6433FAB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2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925EBE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7ED7402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22C4E61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2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BBFCF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1" w:type="dxa"/>
            <w:shd w:val="clear" w:color="auto" w:fill="FFFFFF"/>
            <w:noWrap/>
            <w:tcMar>
              <w:top w:w="15" w:type="dxa"/>
              <w:left w:w="0" w:type="dxa"/>
              <w:bottom w:w="0" w:type="dxa"/>
              <w:right w:w="15" w:type="dxa"/>
            </w:tcMar>
            <w:vAlign w:val="bottom"/>
            <w:hideMark/>
          </w:tcPr>
          <w:p w14:paraId="24E445D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6457B58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2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DCAC6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92" w:type="dxa"/>
            <w:shd w:val="clear" w:color="auto" w:fill="FFFFFF"/>
            <w:noWrap/>
            <w:tcMar>
              <w:top w:w="15" w:type="dxa"/>
              <w:left w:w="0" w:type="dxa"/>
              <w:bottom w:w="0" w:type="dxa"/>
              <w:right w:w="15" w:type="dxa"/>
            </w:tcMar>
            <w:vAlign w:val="bottom"/>
            <w:hideMark/>
          </w:tcPr>
          <w:p w14:paraId="13CEBE8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E60F182" w14:textId="77777777" w:rsidTr="00AC4931">
        <w:tc>
          <w:tcPr>
            <w:tcW w:w="13485" w:type="dxa"/>
            <w:shd w:val="clear" w:color="auto" w:fill="CFF0FC"/>
            <w:tcMar>
              <w:top w:w="15" w:type="dxa"/>
              <w:left w:w="0" w:type="dxa"/>
              <w:bottom w:w="0" w:type="dxa"/>
              <w:right w:w="15" w:type="dxa"/>
            </w:tcMar>
            <w:hideMark/>
          </w:tcPr>
          <w:p w14:paraId="3C4BED8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Operating activities</w:t>
            </w:r>
          </w:p>
        </w:tc>
        <w:tc>
          <w:tcPr>
            <w:tcW w:w="311" w:type="dxa"/>
            <w:shd w:val="clear" w:color="auto" w:fill="CFF0FC"/>
            <w:tcMar>
              <w:top w:w="15" w:type="dxa"/>
              <w:left w:w="0" w:type="dxa"/>
              <w:bottom w:w="0" w:type="dxa"/>
              <w:right w:w="15" w:type="dxa"/>
            </w:tcMar>
            <w:vAlign w:val="bottom"/>
            <w:hideMark/>
          </w:tcPr>
          <w:p w14:paraId="47E473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23810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top w:val="single" w:sz="6" w:space="0" w:color="000000"/>
            </w:tcBorders>
            <w:shd w:val="clear" w:color="auto" w:fill="CFF0FC"/>
            <w:noWrap/>
            <w:tcMar>
              <w:top w:w="15" w:type="dxa"/>
              <w:left w:w="0" w:type="dxa"/>
              <w:bottom w:w="0" w:type="dxa"/>
              <w:right w:w="15" w:type="dxa"/>
            </w:tcMar>
            <w:vAlign w:val="bottom"/>
            <w:hideMark/>
          </w:tcPr>
          <w:p w14:paraId="5BD3EF6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C94AD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1EE3C6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333FC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top w:val="single" w:sz="6" w:space="0" w:color="000000"/>
            </w:tcBorders>
            <w:shd w:val="clear" w:color="auto" w:fill="CFF0FC"/>
            <w:noWrap/>
            <w:tcMar>
              <w:top w:w="15" w:type="dxa"/>
              <w:left w:w="0" w:type="dxa"/>
              <w:bottom w:w="0" w:type="dxa"/>
              <w:right w:w="15" w:type="dxa"/>
            </w:tcMar>
            <w:vAlign w:val="bottom"/>
            <w:hideMark/>
          </w:tcPr>
          <w:p w14:paraId="1C5B932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028A5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32553B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AD22E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top w:val="single" w:sz="6" w:space="0" w:color="000000"/>
            </w:tcBorders>
            <w:shd w:val="clear" w:color="auto" w:fill="CFF0FC"/>
            <w:noWrap/>
            <w:tcMar>
              <w:top w:w="15" w:type="dxa"/>
              <w:left w:w="0" w:type="dxa"/>
              <w:bottom w:w="0" w:type="dxa"/>
              <w:right w:w="15" w:type="dxa"/>
            </w:tcMar>
            <w:vAlign w:val="bottom"/>
            <w:hideMark/>
          </w:tcPr>
          <w:p w14:paraId="3C4DFD8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1704CE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4B364DC" w14:textId="77777777" w:rsidTr="00AC4931">
        <w:tc>
          <w:tcPr>
            <w:tcW w:w="13485" w:type="dxa"/>
            <w:shd w:val="clear" w:color="auto" w:fill="FFFFFF"/>
            <w:tcMar>
              <w:top w:w="15" w:type="dxa"/>
              <w:left w:w="0" w:type="dxa"/>
              <w:bottom w:w="0" w:type="dxa"/>
              <w:right w:w="15" w:type="dxa"/>
            </w:tcMar>
            <w:hideMark/>
          </w:tcPr>
          <w:p w14:paraId="581DD1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Net income from continuing operations</w:t>
            </w:r>
          </w:p>
        </w:tc>
        <w:tc>
          <w:tcPr>
            <w:tcW w:w="311" w:type="dxa"/>
            <w:shd w:val="clear" w:color="auto" w:fill="FFFFFF"/>
            <w:tcMar>
              <w:top w:w="15" w:type="dxa"/>
              <w:left w:w="0" w:type="dxa"/>
              <w:bottom w:w="0" w:type="dxa"/>
              <w:right w:w="15" w:type="dxa"/>
            </w:tcMar>
            <w:vAlign w:val="bottom"/>
            <w:hideMark/>
          </w:tcPr>
          <w:p w14:paraId="0AFE14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05D99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18" w:type="dxa"/>
            <w:shd w:val="clear" w:color="auto" w:fill="FFFFFF"/>
            <w:noWrap/>
            <w:tcMar>
              <w:top w:w="15" w:type="dxa"/>
              <w:left w:w="0" w:type="dxa"/>
              <w:bottom w:w="0" w:type="dxa"/>
              <w:right w:w="15" w:type="dxa"/>
            </w:tcMar>
            <w:vAlign w:val="bottom"/>
            <w:hideMark/>
          </w:tcPr>
          <w:p w14:paraId="31CE01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188.3</w:t>
            </w:r>
          </w:p>
        </w:tc>
        <w:tc>
          <w:tcPr>
            <w:tcW w:w="191" w:type="dxa"/>
            <w:shd w:val="clear" w:color="auto" w:fill="FFFFFF"/>
            <w:noWrap/>
            <w:tcMar>
              <w:top w:w="15" w:type="dxa"/>
              <w:left w:w="0" w:type="dxa"/>
              <w:bottom w:w="0" w:type="dxa"/>
              <w:right w:w="15" w:type="dxa"/>
            </w:tcMar>
            <w:vAlign w:val="bottom"/>
            <w:hideMark/>
          </w:tcPr>
          <w:p w14:paraId="4715A0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3B73B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76BC9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18" w:type="dxa"/>
            <w:shd w:val="clear" w:color="auto" w:fill="FFFFFF"/>
            <w:noWrap/>
            <w:tcMar>
              <w:top w:w="15" w:type="dxa"/>
              <w:left w:w="0" w:type="dxa"/>
              <w:bottom w:w="0" w:type="dxa"/>
              <w:right w:w="15" w:type="dxa"/>
            </w:tcMar>
            <w:vAlign w:val="bottom"/>
            <w:hideMark/>
          </w:tcPr>
          <w:p w14:paraId="0D2E5CB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462.8</w:t>
            </w:r>
          </w:p>
        </w:tc>
        <w:tc>
          <w:tcPr>
            <w:tcW w:w="191" w:type="dxa"/>
            <w:shd w:val="clear" w:color="auto" w:fill="FFFFFF"/>
            <w:noWrap/>
            <w:tcMar>
              <w:top w:w="15" w:type="dxa"/>
              <w:left w:w="0" w:type="dxa"/>
              <w:bottom w:w="0" w:type="dxa"/>
              <w:right w:w="15" w:type="dxa"/>
            </w:tcMar>
            <w:vAlign w:val="bottom"/>
            <w:hideMark/>
          </w:tcPr>
          <w:p w14:paraId="46A7CD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E8716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F72A9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18" w:type="dxa"/>
            <w:shd w:val="clear" w:color="auto" w:fill="FFFFFF"/>
            <w:noWrap/>
            <w:tcMar>
              <w:top w:w="15" w:type="dxa"/>
              <w:left w:w="0" w:type="dxa"/>
              <w:bottom w:w="0" w:type="dxa"/>
              <w:right w:w="15" w:type="dxa"/>
            </w:tcMar>
            <w:vAlign w:val="bottom"/>
            <w:hideMark/>
          </w:tcPr>
          <w:p w14:paraId="3CDBD10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377.5</w:t>
            </w:r>
          </w:p>
        </w:tc>
        <w:tc>
          <w:tcPr>
            <w:tcW w:w="192" w:type="dxa"/>
            <w:shd w:val="clear" w:color="auto" w:fill="FFFFFF"/>
            <w:noWrap/>
            <w:tcMar>
              <w:top w:w="15" w:type="dxa"/>
              <w:left w:w="0" w:type="dxa"/>
              <w:bottom w:w="0" w:type="dxa"/>
              <w:right w:w="15" w:type="dxa"/>
            </w:tcMar>
            <w:vAlign w:val="bottom"/>
            <w:hideMark/>
          </w:tcPr>
          <w:p w14:paraId="57EE1B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829FF8E" w14:textId="77777777" w:rsidTr="00AC4931">
        <w:tc>
          <w:tcPr>
            <w:tcW w:w="13485" w:type="dxa"/>
            <w:shd w:val="clear" w:color="auto" w:fill="CFF0FC"/>
            <w:tcMar>
              <w:top w:w="15" w:type="dxa"/>
              <w:left w:w="0" w:type="dxa"/>
              <w:bottom w:w="0" w:type="dxa"/>
              <w:right w:w="15" w:type="dxa"/>
            </w:tcMar>
            <w:hideMark/>
          </w:tcPr>
          <w:p w14:paraId="51314A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loss from discontinued operations</w:t>
            </w:r>
          </w:p>
        </w:tc>
        <w:tc>
          <w:tcPr>
            <w:tcW w:w="311" w:type="dxa"/>
            <w:shd w:val="clear" w:color="auto" w:fill="CFF0FC"/>
            <w:tcMar>
              <w:top w:w="15" w:type="dxa"/>
              <w:left w:w="0" w:type="dxa"/>
              <w:bottom w:w="0" w:type="dxa"/>
              <w:right w:w="15" w:type="dxa"/>
            </w:tcMar>
            <w:vAlign w:val="bottom"/>
            <w:hideMark/>
          </w:tcPr>
          <w:p w14:paraId="6B02FC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C8FD8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656DD3D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4164B2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F2678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1E7AE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00D97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2471FF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45AF0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FD8B8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682C722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(193.8</w:t>
            </w:r>
          </w:p>
        </w:tc>
        <w:tc>
          <w:tcPr>
            <w:tcW w:w="192" w:type="dxa"/>
            <w:shd w:val="clear" w:color="auto" w:fill="CFF0FC"/>
            <w:noWrap/>
            <w:tcMar>
              <w:top w:w="15" w:type="dxa"/>
              <w:left w:w="0" w:type="dxa"/>
              <w:bottom w:w="0" w:type="dxa"/>
              <w:right w:w="15" w:type="dxa"/>
            </w:tcMar>
            <w:vAlign w:val="bottom"/>
            <w:hideMark/>
          </w:tcPr>
          <w:p w14:paraId="0C2525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F32D0E8" w14:textId="77777777" w:rsidTr="00AC4931">
        <w:tc>
          <w:tcPr>
            <w:tcW w:w="13485" w:type="dxa"/>
            <w:shd w:val="clear" w:color="auto" w:fill="FFFFFF"/>
            <w:tcMar>
              <w:top w:w="15" w:type="dxa"/>
              <w:left w:w="0" w:type="dxa"/>
              <w:bottom w:w="0" w:type="dxa"/>
              <w:right w:w="15" w:type="dxa"/>
            </w:tcMar>
            <w:hideMark/>
          </w:tcPr>
          <w:p w14:paraId="4E3D988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Adjustments (non-cash items) to reconcile net income to cash provided by</w:t>
            </w:r>
          </w:p>
          <w:p w14:paraId="2C10E70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operating activities:</w:t>
            </w:r>
          </w:p>
        </w:tc>
        <w:tc>
          <w:tcPr>
            <w:tcW w:w="311" w:type="dxa"/>
            <w:shd w:val="clear" w:color="auto" w:fill="FFFFFF"/>
            <w:tcMar>
              <w:top w:w="15" w:type="dxa"/>
              <w:left w:w="0" w:type="dxa"/>
              <w:bottom w:w="0" w:type="dxa"/>
              <w:right w:w="15" w:type="dxa"/>
            </w:tcMar>
            <w:vAlign w:val="bottom"/>
            <w:hideMark/>
          </w:tcPr>
          <w:p w14:paraId="1F7CDB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3FEA2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2ABC887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DCBB2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A94EC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E3D18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78DE3F7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134E7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659A94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650DA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16CF33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25F04F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52E27AC" w14:textId="77777777" w:rsidTr="00AC4931">
        <w:tc>
          <w:tcPr>
            <w:tcW w:w="13485" w:type="dxa"/>
            <w:shd w:val="clear" w:color="auto" w:fill="CFF0FC"/>
            <w:tcMar>
              <w:top w:w="15" w:type="dxa"/>
              <w:left w:w="0" w:type="dxa"/>
              <w:bottom w:w="0" w:type="dxa"/>
              <w:right w:w="15" w:type="dxa"/>
            </w:tcMar>
            <w:hideMark/>
          </w:tcPr>
          <w:p w14:paraId="2B850ECD"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Depreciation and amortization</w:t>
            </w:r>
          </w:p>
        </w:tc>
        <w:tc>
          <w:tcPr>
            <w:tcW w:w="311" w:type="dxa"/>
            <w:shd w:val="clear" w:color="auto" w:fill="CFF0FC"/>
            <w:tcMar>
              <w:top w:w="15" w:type="dxa"/>
              <w:left w:w="0" w:type="dxa"/>
              <w:bottom w:w="0" w:type="dxa"/>
              <w:right w:w="15" w:type="dxa"/>
            </w:tcMar>
            <w:vAlign w:val="bottom"/>
            <w:hideMark/>
          </w:tcPr>
          <w:p w14:paraId="2A95A2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99ABF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50C1657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370.9</w:t>
            </w:r>
          </w:p>
        </w:tc>
        <w:tc>
          <w:tcPr>
            <w:tcW w:w="191" w:type="dxa"/>
            <w:shd w:val="clear" w:color="auto" w:fill="CFF0FC"/>
            <w:noWrap/>
            <w:tcMar>
              <w:top w:w="15" w:type="dxa"/>
              <w:left w:w="0" w:type="dxa"/>
              <w:bottom w:w="0" w:type="dxa"/>
              <w:right w:w="15" w:type="dxa"/>
            </w:tcMar>
            <w:vAlign w:val="bottom"/>
            <w:hideMark/>
          </w:tcPr>
          <w:p w14:paraId="265DC6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69F2C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386F8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7C002D2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350.6</w:t>
            </w:r>
          </w:p>
        </w:tc>
        <w:tc>
          <w:tcPr>
            <w:tcW w:w="191" w:type="dxa"/>
            <w:shd w:val="clear" w:color="auto" w:fill="CFF0FC"/>
            <w:noWrap/>
            <w:tcMar>
              <w:top w:w="15" w:type="dxa"/>
              <w:left w:w="0" w:type="dxa"/>
              <w:bottom w:w="0" w:type="dxa"/>
              <w:right w:w="15" w:type="dxa"/>
            </w:tcMar>
            <w:vAlign w:val="bottom"/>
            <w:hideMark/>
          </w:tcPr>
          <w:p w14:paraId="2DD196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5C7FCD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DED5D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6393F5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397.1</w:t>
            </w:r>
          </w:p>
        </w:tc>
        <w:tc>
          <w:tcPr>
            <w:tcW w:w="192" w:type="dxa"/>
            <w:shd w:val="clear" w:color="auto" w:fill="CFF0FC"/>
            <w:noWrap/>
            <w:tcMar>
              <w:top w:w="15" w:type="dxa"/>
              <w:left w:w="0" w:type="dxa"/>
              <w:bottom w:w="0" w:type="dxa"/>
              <w:right w:w="15" w:type="dxa"/>
            </w:tcMar>
            <w:vAlign w:val="bottom"/>
            <w:hideMark/>
          </w:tcPr>
          <w:p w14:paraId="5D40AC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F24A055" w14:textId="77777777" w:rsidTr="00AC4931">
        <w:tc>
          <w:tcPr>
            <w:tcW w:w="13485" w:type="dxa"/>
            <w:shd w:val="clear" w:color="auto" w:fill="FFFFFF"/>
            <w:tcMar>
              <w:top w:w="15" w:type="dxa"/>
              <w:left w:w="0" w:type="dxa"/>
              <w:bottom w:w="0" w:type="dxa"/>
              <w:right w:w="15" w:type="dxa"/>
            </w:tcMar>
            <w:hideMark/>
          </w:tcPr>
          <w:p w14:paraId="26B4A064"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EC antitrust non-cash provision</w:t>
            </w:r>
          </w:p>
        </w:tc>
        <w:tc>
          <w:tcPr>
            <w:tcW w:w="311" w:type="dxa"/>
            <w:shd w:val="clear" w:color="auto" w:fill="FFFFFF"/>
            <w:tcMar>
              <w:top w:w="15" w:type="dxa"/>
              <w:left w:w="0" w:type="dxa"/>
              <w:bottom w:w="0" w:type="dxa"/>
              <w:right w:w="15" w:type="dxa"/>
            </w:tcMar>
            <w:vAlign w:val="bottom"/>
            <w:hideMark/>
          </w:tcPr>
          <w:p w14:paraId="7A79EA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23674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E27880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7D9AA4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309363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160FA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207D1E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7B185B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708536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1919D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A55AFD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210.0</w:t>
            </w:r>
          </w:p>
        </w:tc>
        <w:tc>
          <w:tcPr>
            <w:tcW w:w="192" w:type="dxa"/>
            <w:shd w:val="clear" w:color="auto" w:fill="FFFFFF"/>
            <w:noWrap/>
            <w:tcMar>
              <w:top w:w="15" w:type="dxa"/>
              <w:left w:w="0" w:type="dxa"/>
              <w:bottom w:w="0" w:type="dxa"/>
              <w:right w:w="15" w:type="dxa"/>
            </w:tcMar>
            <w:vAlign w:val="bottom"/>
            <w:hideMark/>
          </w:tcPr>
          <w:p w14:paraId="1447BC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43BAA4E" w14:textId="77777777" w:rsidTr="00AC4931">
        <w:tc>
          <w:tcPr>
            <w:tcW w:w="13485" w:type="dxa"/>
            <w:shd w:val="clear" w:color="auto" w:fill="CFF0FC"/>
            <w:tcMar>
              <w:top w:w="15" w:type="dxa"/>
              <w:left w:w="0" w:type="dxa"/>
              <w:bottom w:w="0" w:type="dxa"/>
              <w:right w:w="15" w:type="dxa"/>
            </w:tcMar>
            <w:hideMark/>
          </w:tcPr>
          <w:p w14:paraId="5B27AC00"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Deferred income taxes</w:t>
            </w:r>
          </w:p>
        </w:tc>
        <w:tc>
          <w:tcPr>
            <w:tcW w:w="311" w:type="dxa"/>
            <w:shd w:val="clear" w:color="auto" w:fill="CFF0FC"/>
            <w:tcMar>
              <w:top w:w="15" w:type="dxa"/>
              <w:left w:w="0" w:type="dxa"/>
              <w:bottom w:w="0" w:type="dxa"/>
              <w:right w:w="15" w:type="dxa"/>
            </w:tcMar>
            <w:vAlign w:val="bottom"/>
            <w:hideMark/>
          </w:tcPr>
          <w:p w14:paraId="1BFE75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BDBB4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6BAC03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(23.9</w:t>
            </w:r>
          </w:p>
        </w:tc>
        <w:tc>
          <w:tcPr>
            <w:tcW w:w="191" w:type="dxa"/>
            <w:shd w:val="clear" w:color="auto" w:fill="CFF0FC"/>
            <w:noWrap/>
            <w:tcMar>
              <w:top w:w="15" w:type="dxa"/>
              <w:left w:w="0" w:type="dxa"/>
              <w:bottom w:w="0" w:type="dxa"/>
              <w:right w:w="15" w:type="dxa"/>
            </w:tcMar>
            <w:vAlign w:val="bottom"/>
            <w:hideMark/>
          </w:tcPr>
          <w:p w14:paraId="456C35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CFF0FC"/>
            <w:tcMar>
              <w:top w:w="15" w:type="dxa"/>
              <w:left w:w="0" w:type="dxa"/>
              <w:bottom w:w="0" w:type="dxa"/>
              <w:right w:w="15" w:type="dxa"/>
            </w:tcMar>
            <w:vAlign w:val="bottom"/>
            <w:hideMark/>
          </w:tcPr>
          <w:p w14:paraId="633FDD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42A0A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7BD35A7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(16.0</w:t>
            </w:r>
          </w:p>
        </w:tc>
        <w:tc>
          <w:tcPr>
            <w:tcW w:w="191" w:type="dxa"/>
            <w:shd w:val="clear" w:color="auto" w:fill="CFF0FC"/>
            <w:noWrap/>
            <w:tcMar>
              <w:top w:w="15" w:type="dxa"/>
              <w:left w:w="0" w:type="dxa"/>
              <w:bottom w:w="0" w:type="dxa"/>
              <w:right w:w="15" w:type="dxa"/>
            </w:tcMar>
            <w:vAlign w:val="bottom"/>
            <w:hideMark/>
          </w:tcPr>
          <w:p w14:paraId="764391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CFF0FC"/>
            <w:tcMar>
              <w:top w:w="15" w:type="dxa"/>
              <w:left w:w="0" w:type="dxa"/>
              <w:bottom w:w="0" w:type="dxa"/>
              <w:right w:w="15" w:type="dxa"/>
            </w:tcMar>
            <w:vAlign w:val="bottom"/>
            <w:hideMark/>
          </w:tcPr>
          <w:p w14:paraId="192094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1EF2C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1F8B177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w:t>
            </w:r>
          </w:p>
        </w:tc>
        <w:tc>
          <w:tcPr>
            <w:tcW w:w="192" w:type="dxa"/>
            <w:shd w:val="clear" w:color="auto" w:fill="CFF0FC"/>
            <w:noWrap/>
            <w:tcMar>
              <w:top w:w="15" w:type="dxa"/>
              <w:left w:w="0" w:type="dxa"/>
              <w:bottom w:w="0" w:type="dxa"/>
              <w:right w:w="15" w:type="dxa"/>
            </w:tcMar>
            <w:vAlign w:val="bottom"/>
            <w:hideMark/>
          </w:tcPr>
          <w:p w14:paraId="360F4E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86EFD98" w14:textId="77777777" w:rsidTr="00AC4931">
        <w:tc>
          <w:tcPr>
            <w:tcW w:w="13485" w:type="dxa"/>
            <w:shd w:val="clear" w:color="auto" w:fill="FFFFFF"/>
            <w:tcMar>
              <w:top w:w="15" w:type="dxa"/>
              <w:left w:w="0" w:type="dxa"/>
              <w:bottom w:w="0" w:type="dxa"/>
              <w:right w:w="15" w:type="dxa"/>
            </w:tcMar>
            <w:hideMark/>
          </w:tcPr>
          <w:p w14:paraId="00012D02"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Loss from equity method investments, net of dividends</w:t>
            </w:r>
          </w:p>
        </w:tc>
        <w:tc>
          <w:tcPr>
            <w:tcW w:w="311" w:type="dxa"/>
            <w:shd w:val="clear" w:color="auto" w:fill="FFFFFF"/>
            <w:tcMar>
              <w:top w:w="15" w:type="dxa"/>
              <w:left w:w="0" w:type="dxa"/>
              <w:bottom w:w="0" w:type="dxa"/>
              <w:right w:w="15" w:type="dxa"/>
            </w:tcMar>
            <w:vAlign w:val="bottom"/>
            <w:hideMark/>
          </w:tcPr>
          <w:p w14:paraId="482861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03D82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2CB99F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91" w:type="dxa"/>
            <w:shd w:val="clear" w:color="auto" w:fill="FFFFFF"/>
            <w:noWrap/>
            <w:tcMar>
              <w:top w:w="15" w:type="dxa"/>
              <w:left w:w="0" w:type="dxa"/>
              <w:bottom w:w="0" w:type="dxa"/>
              <w:right w:w="15" w:type="dxa"/>
            </w:tcMar>
            <w:vAlign w:val="bottom"/>
            <w:hideMark/>
          </w:tcPr>
          <w:p w14:paraId="37DF69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10CC53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9A6BD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5CCFF35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w:t>
            </w:r>
          </w:p>
        </w:tc>
        <w:tc>
          <w:tcPr>
            <w:tcW w:w="191" w:type="dxa"/>
            <w:shd w:val="clear" w:color="auto" w:fill="FFFFFF"/>
            <w:noWrap/>
            <w:tcMar>
              <w:top w:w="15" w:type="dxa"/>
              <w:left w:w="0" w:type="dxa"/>
              <w:bottom w:w="0" w:type="dxa"/>
              <w:right w:w="15" w:type="dxa"/>
            </w:tcMar>
            <w:vAlign w:val="bottom"/>
            <w:hideMark/>
          </w:tcPr>
          <w:p w14:paraId="30B792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0D7CD5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91594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1BEF497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31.9</w:t>
            </w:r>
          </w:p>
        </w:tc>
        <w:tc>
          <w:tcPr>
            <w:tcW w:w="192" w:type="dxa"/>
            <w:shd w:val="clear" w:color="auto" w:fill="FFFFFF"/>
            <w:noWrap/>
            <w:tcMar>
              <w:top w:w="15" w:type="dxa"/>
              <w:left w:w="0" w:type="dxa"/>
              <w:bottom w:w="0" w:type="dxa"/>
              <w:right w:w="15" w:type="dxa"/>
            </w:tcMar>
            <w:vAlign w:val="bottom"/>
            <w:hideMark/>
          </w:tcPr>
          <w:p w14:paraId="45E25F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D4F87CA" w14:textId="77777777" w:rsidTr="00AC4931">
        <w:tc>
          <w:tcPr>
            <w:tcW w:w="13485" w:type="dxa"/>
            <w:shd w:val="clear" w:color="auto" w:fill="CFF0FC"/>
            <w:tcMar>
              <w:top w:w="15" w:type="dxa"/>
              <w:left w:w="0" w:type="dxa"/>
              <w:bottom w:w="0" w:type="dxa"/>
              <w:right w:w="15" w:type="dxa"/>
            </w:tcMar>
            <w:hideMark/>
          </w:tcPr>
          <w:p w14:paraId="750363E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Net change in operating capital:</w:t>
            </w:r>
          </w:p>
        </w:tc>
        <w:tc>
          <w:tcPr>
            <w:tcW w:w="311" w:type="dxa"/>
            <w:shd w:val="clear" w:color="auto" w:fill="CFF0FC"/>
            <w:tcMar>
              <w:top w:w="15" w:type="dxa"/>
              <w:left w:w="0" w:type="dxa"/>
              <w:bottom w:w="0" w:type="dxa"/>
              <w:right w:w="15" w:type="dxa"/>
            </w:tcMar>
            <w:vAlign w:val="bottom"/>
            <w:hideMark/>
          </w:tcPr>
          <w:p w14:paraId="1E1D14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CB97B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52BF0E8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69E41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003111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5817C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39092B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C5827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3CE8AC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51F80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6497F96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354904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D62135E" w14:textId="77777777" w:rsidTr="00AC4931">
        <w:tc>
          <w:tcPr>
            <w:tcW w:w="13485" w:type="dxa"/>
            <w:shd w:val="clear" w:color="auto" w:fill="FFFFFF"/>
            <w:tcMar>
              <w:top w:w="15" w:type="dxa"/>
              <w:left w:w="0" w:type="dxa"/>
              <w:bottom w:w="0" w:type="dxa"/>
              <w:right w:w="15" w:type="dxa"/>
            </w:tcMar>
            <w:hideMark/>
          </w:tcPr>
          <w:p w14:paraId="7F191BFB"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EC antitrust payment</w:t>
            </w:r>
          </w:p>
        </w:tc>
        <w:tc>
          <w:tcPr>
            <w:tcW w:w="311" w:type="dxa"/>
            <w:shd w:val="clear" w:color="auto" w:fill="FFFFFF"/>
            <w:tcMar>
              <w:top w:w="15" w:type="dxa"/>
              <w:left w:w="0" w:type="dxa"/>
              <w:bottom w:w="0" w:type="dxa"/>
              <w:right w:w="15" w:type="dxa"/>
            </w:tcMar>
            <w:vAlign w:val="bottom"/>
            <w:hideMark/>
          </w:tcPr>
          <w:p w14:paraId="015376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A0731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0FF103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541CE9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743CEB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02899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1085EF4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(203.0</w:t>
            </w:r>
          </w:p>
        </w:tc>
        <w:tc>
          <w:tcPr>
            <w:tcW w:w="191" w:type="dxa"/>
            <w:shd w:val="clear" w:color="auto" w:fill="FFFFFF"/>
            <w:noWrap/>
            <w:tcMar>
              <w:top w:w="15" w:type="dxa"/>
              <w:left w:w="0" w:type="dxa"/>
              <w:bottom w:w="0" w:type="dxa"/>
              <w:right w:w="15" w:type="dxa"/>
            </w:tcMar>
            <w:vAlign w:val="bottom"/>
            <w:hideMark/>
          </w:tcPr>
          <w:p w14:paraId="7D3974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20380A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0FA97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489D4FC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2" w:type="dxa"/>
            <w:shd w:val="clear" w:color="auto" w:fill="FFFFFF"/>
            <w:noWrap/>
            <w:tcMar>
              <w:top w:w="15" w:type="dxa"/>
              <w:left w:w="0" w:type="dxa"/>
              <w:bottom w:w="0" w:type="dxa"/>
              <w:right w:w="15" w:type="dxa"/>
            </w:tcMar>
            <w:vAlign w:val="bottom"/>
            <w:hideMark/>
          </w:tcPr>
          <w:p w14:paraId="5609B4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C7F3750" w14:textId="77777777" w:rsidTr="00AC4931">
        <w:tc>
          <w:tcPr>
            <w:tcW w:w="13485" w:type="dxa"/>
            <w:shd w:val="clear" w:color="auto" w:fill="CFF0FC"/>
            <w:tcMar>
              <w:top w:w="15" w:type="dxa"/>
              <w:left w:w="0" w:type="dxa"/>
              <w:bottom w:w="0" w:type="dxa"/>
              <w:right w:w="15" w:type="dxa"/>
            </w:tcMar>
            <w:hideMark/>
          </w:tcPr>
          <w:p w14:paraId="468DE96B"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Receivables and other assets, gross</w:t>
            </w:r>
          </w:p>
        </w:tc>
        <w:tc>
          <w:tcPr>
            <w:tcW w:w="311" w:type="dxa"/>
            <w:shd w:val="clear" w:color="auto" w:fill="CFF0FC"/>
            <w:tcMar>
              <w:top w:w="15" w:type="dxa"/>
              <w:left w:w="0" w:type="dxa"/>
              <w:bottom w:w="0" w:type="dxa"/>
              <w:right w:w="15" w:type="dxa"/>
            </w:tcMar>
            <w:vAlign w:val="bottom"/>
            <w:hideMark/>
          </w:tcPr>
          <w:p w14:paraId="4D4099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257E3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40C428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(414.7</w:t>
            </w:r>
          </w:p>
        </w:tc>
        <w:tc>
          <w:tcPr>
            <w:tcW w:w="191" w:type="dxa"/>
            <w:shd w:val="clear" w:color="auto" w:fill="CFF0FC"/>
            <w:noWrap/>
            <w:tcMar>
              <w:top w:w="15" w:type="dxa"/>
              <w:left w:w="0" w:type="dxa"/>
              <w:bottom w:w="0" w:type="dxa"/>
              <w:right w:w="15" w:type="dxa"/>
            </w:tcMar>
            <w:vAlign w:val="bottom"/>
            <w:hideMark/>
          </w:tcPr>
          <w:p w14:paraId="404F93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CFF0FC"/>
            <w:tcMar>
              <w:top w:w="15" w:type="dxa"/>
              <w:left w:w="0" w:type="dxa"/>
              <w:bottom w:w="0" w:type="dxa"/>
              <w:right w:w="15" w:type="dxa"/>
            </w:tcMar>
            <w:vAlign w:val="bottom"/>
            <w:hideMark/>
          </w:tcPr>
          <w:p w14:paraId="47C814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1BC3C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D7B0E3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25.4</w:t>
            </w:r>
          </w:p>
        </w:tc>
        <w:tc>
          <w:tcPr>
            <w:tcW w:w="191" w:type="dxa"/>
            <w:shd w:val="clear" w:color="auto" w:fill="CFF0FC"/>
            <w:noWrap/>
            <w:tcMar>
              <w:top w:w="15" w:type="dxa"/>
              <w:left w:w="0" w:type="dxa"/>
              <w:bottom w:w="0" w:type="dxa"/>
              <w:right w:w="15" w:type="dxa"/>
            </w:tcMar>
            <w:vAlign w:val="bottom"/>
            <w:hideMark/>
          </w:tcPr>
          <w:p w14:paraId="44DE43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1DDC03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C7227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625380F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(48.4</w:t>
            </w:r>
          </w:p>
        </w:tc>
        <w:tc>
          <w:tcPr>
            <w:tcW w:w="192" w:type="dxa"/>
            <w:shd w:val="clear" w:color="auto" w:fill="CFF0FC"/>
            <w:noWrap/>
            <w:tcMar>
              <w:top w:w="15" w:type="dxa"/>
              <w:left w:w="0" w:type="dxa"/>
              <w:bottom w:w="0" w:type="dxa"/>
              <w:right w:w="15" w:type="dxa"/>
            </w:tcMar>
            <w:vAlign w:val="bottom"/>
            <w:hideMark/>
          </w:tcPr>
          <w:p w14:paraId="388760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AA3AD2F" w14:textId="77777777" w:rsidTr="00AC4931">
        <w:tc>
          <w:tcPr>
            <w:tcW w:w="13485" w:type="dxa"/>
            <w:shd w:val="clear" w:color="auto" w:fill="FFFFFF"/>
            <w:tcMar>
              <w:top w:w="15" w:type="dxa"/>
              <w:left w:w="0" w:type="dxa"/>
              <w:bottom w:w="0" w:type="dxa"/>
              <w:right w:w="15" w:type="dxa"/>
            </w:tcMar>
            <w:hideMark/>
          </w:tcPr>
          <w:p w14:paraId="7779DEC9"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Inventories, gross</w:t>
            </w:r>
          </w:p>
        </w:tc>
        <w:tc>
          <w:tcPr>
            <w:tcW w:w="311" w:type="dxa"/>
            <w:shd w:val="clear" w:color="auto" w:fill="FFFFFF"/>
            <w:tcMar>
              <w:top w:w="15" w:type="dxa"/>
              <w:left w:w="0" w:type="dxa"/>
              <w:bottom w:w="0" w:type="dxa"/>
              <w:right w:w="15" w:type="dxa"/>
            </w:tcMar>
            <w:vAlign w:val="bottom"/>
            <w:hideMark/>
          </w:tcPr>
          <w:p w14:paraId="1964C6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A1A0B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43B6FB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(34.0</w:t>
            </w:r>
          </w:p>
        </w:tc>
        <w:tc>
          <w:tcPr>
            <w:tcW w:w="191" w:type="dxa"/>
            <w:shd w:val="clear" w:color="auto" w:fill="FFFFFF"/>
            <w:noWrap/>
            <w:tcMar>
              <w:top w:w="15" w:type="dxa"/>
              <w:left w:w="0" w:type="dxa"/>
              <w:bottom w:w="0" w:type="dxa"/>
              <w:right w:w="15" w:type="dxa"/>
            </w:tcMar>
            <w:vAlign w:val="bottom"/>
            <w:hideMark/>
          </w:tcPr>
          <w:p w14:paraId="573A24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6C9880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17A01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308963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15.4</w:t>
            </w:r>
          </w:p>
        </w:tc>
        <w:tc>
          <w:tcPr>
            <w:tcW w:w="191" w:type="dxa"/>
            <w:shd w:val="clear" w:color="auto" w:fill="FFFFFF"/>
            <w:noWrap/>
            <w:tcMar>
              <w:top w:w="15" w:type="dxa"/>
              <w:left w:w="0" w:type="dxa"/>
              <w:bottom w:w="0" w:type="dxa"/>
              <w:right w:w="15" w:type="dxa"/>
            </w:tcMar>
            <w:vAlign w:val="bottom"/>
            <w:hideMark/>
          </w:tcPr>
          <w:p w14:paraId="21A874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67B1F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C8690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15FF1A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(123.9</w:t>
            </w:r>
          </w:p>
        </w:tc>
        <w:tc>
          <w:tcPr>
            <w:tcW w:w="192" w:type="dxa"/>
            <w:shd w:val="clear" w:color="auto" w:fill="FFFFFF"/>
            <w:noWrap/>
            <w:tcMar>
              <w:top w:w="15" w:type="dxa"/>
              <w:left w:w="0" w:type="dxa"/>
              <w:bottom w:w="0" w:type="dxa"/>
              <w:right w:w="15" w:type="dxa"/>
            </w:tcMar>
            <w:vAlign w:val="bottom"/>
            <w:hideMark/>
          </w:tcPr>
          <w:p w14:paraId="38C578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76C82CC" w14:textId="77777777" w:rsidTr="00AC4931">
        <w:tc>
          <w:tcPr>
            <w:tcW w:w="13485" w:type="dxa"/>
            <w:shd w:val="clear" w:color="auto" w:fill="CFF0FC"/>
            <w:tcMar>
              <w:top w:w="15" w:type="dxa"/>
              <w:left w:w="0" w:type="dxa"/>
              <w:bottom w:w="0" w:type="dxa"/>
              <w:right w:w="15" w:type="dxa"/>
            </w:tcMar>
            <w:hideMark/>
          </w:tcPr>
          <w:p w14:paraId="4437ADCE"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Accounts payable and accrued expenses</w:t>
            </w:r>
          </w:p>
        </w:tc>
        <w:tc>
          <w:tcPr>
            <w:tcW w:w="311" w:type="dxa"/>
            <w:shd w:val="clear" w:color="auto" w:fill="CFF0FC"/>
            <w:tcMar>
              <w:top w:w="15" w:type="dxa"/>
              <w:left w:w="0" w:type="dxa"/>
              <w:bottom w:w="0" w:type="dxa"/>
              <w:right w:w="15" w:type="dxa"/>
            </w:tcMar>
            <w:vAlign w:val="bottom"/>
            <w:hideMark/>
          </w:tcPr>
          <w:p w14:paraId="271387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3417D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7269659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671.7</w:t>
            </w:r>
          </w:p>
        </w:tc>
        <w:tc>
          <w:tcPr>
            <w:tcW w:w="191" w:type="dxa"/>
            <w:shd w:val="clear" w:color="auto" w:fill="CFF0FC"/>
            <w:noWrap/>
            <w:tcMar>
              <w:top w:w="15" w:type="dxa"/>
              <w:left w:w="0" w:type="dxa"/>
              <w:bottom w:w="0" w:type="dxa"/>
              <w:right w:w="15" w:type="dxa"/>
            </w:tcMar>
            <w:vAlign w:val="bottom"/>
            <w:hideMark/>
          </w:tcPr>
          <w:p w14:paraId="506AA0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5986D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3B752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AF3BD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35.7</w:t>
            </w:r>
          </w:p>
        </w:tc>
        <w:tc>
          <w:tcPr>
            <w:tcW w:w="191" w:type="dxa"/>
            <w:shd w:val="clear" w:color="auto" w:fill="CFF0FC"/>
            <w:noWrap/>
            <w:tcMar>
              <w:top w:w="15" w:type="dxa"/>
              <w:left w:w="0" w:type="dxa"/>
              <w:bottom w:w="0" w:type="dxa"/>
              <w:right w:w="15" w:type="dxa"/>
            </w:tcMar>
            <w:vAlign w:val="bottom"/>
            <w:hideMark/>
          </w:tcPr>
          <w:p w14:paraId="43ABA6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B0E45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D958D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4D61F8F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(37.8</w:t>
            </w:r>
          </w:p>
        </w:tc>
        <w:tc>
          <w:tcPr>
            <w:tcW w:w="192" w:type="dxa"/>
            <w:shd w:val="clear" w:color="auto" w:fill="CFF0FC"/>
            <w:noWrap/>
            <w:tcMar>
              <w:top w:w="15" w:type="dxa"/>
              <w:left w:w="0" w:type="dxa"/>
              <w:bottom w:w="0" w:type="dxa"/>
              <w:right w:w="15" w:type="dxa"/>
            </w:tcMar>
            <w:vAlign w:val="bottom"/>
            <w:hideMark/>
          </w:tcPr>
          <w:p w14:paraId="4298B5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41FFE96" w14:textId="77777777" w:rsidTr="00AC4931">
        <w:tc>
          <w:tcPr>
            <w:tcW w:w="13485" w:type="dxa"/>
            <w:shd w:val="clear" w:color="auto" w:fill="FFFFFF"/>
            <w:tcMar>
              <w:top w:w="15" w:type="dxa"/>
              <w:left w:w="0" w:type="dxa"/>
              <w:bottom w:w="0" w:type="dxa"/>
              <w:right w:w="15" w:type="dxa"/>
            </w:tcMar>
            <w:hideMark/>
          </w:tcPr>
          <w:p w14:paraId="18E2D66E"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taxes</w:t>
            </w:r>
          </w:p>
        </w:tc>
        <w:tc>
          <w:tcPr>
            <w:tcW w:w="311" w:type="dxa"/>
            <w:shd w:val="clear" w:color="auto" w:fill="FFFFFF"/>
            <w:tcMar>
              <w:top w:w="15" w:type="dxa"/>
              <w:left w:w="0" w:type="dxa"/>
              <w:bottom w:w="0" w:type="dxa"/>
              <w:right w:w="15" w:type="dxa"/>
            </w:tcMar>
            <w:vAlign w:val="bottom"/>
            <w:hideMark/>
          </w:tcPr>
          <w:p w14:paraId="5148F9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7959E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41F4D85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53.5</w:t>
            </w:r>
          </w:p>
        </w:tc>
        <w:tc>
          <w:tcPr>
            <w:tcW w:w="191" w:type="dxa"/>
            <w:shd w:val="clear" w:color="auto" w:fill="FFFFFF"/>
            <w:noWrap/>
            <w:tcMar>
              <w:top w:w="15" w:type="dxa"/>
              <w:left w:w="0" w:type="dxa"/>
              <w:bottom w:w="0" w:type="dxa"/>
              <w:right w:w="15" w:type="dxa"/>
            </w:tcMar>
            <w:vAlign w:val="bottom"/>
            <w:hideMark/>
          </w:tcPr>
          <w:p w14:paraId="691B7F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EEFB2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C8E40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851A11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(29.3</w:t>
            </w:r>
          </w:p>
        </w:tc>
        <w:tc>
          <w:tcPr>
            <w:tcW w:w="191" w:type="dxa"/>
            <w:shd w:val="clear" w:color="auto" w:fill="FFFFFF"/>
            <w:noWrap/>
            <w:tcMar>
              <w:top w:w="15" w:type="dxa"/>
              <w:left w:w="0" w:type="dxa"/>
              <w:bottom w:w="0" w:type="dxa"/>
              <w:right w:w="15" w:type="dxa"/>
            </w:tcMar>
            <w:vAlign w:val="bottom"/>
            <w:hideMark/>
          </w:tcPr>
          <w:p w14:paraId="1E9E22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33A47A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7F950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42954BA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(19.2</w:t>
            </w:r>
          </w:p>
        </w:tc>
        <w:tc>
          <w:tcPr>
            <w:tcW w:w="192" w:type="dxa"/>
            <w:shd w:val="clear" w:color="auto" w:fill="FFFFFF"/>
            <w:noWrap/>
            <w:tcMar>
              <w:top w:w="15" w:type="dxa"/>
              <w:left w:w="0" w:type="dxa"/>
              <w:bottom w:w="0" w:type="dxa"/>
              <w:right w:w="15" w:type="dxa"/>
            </w:tcMar>
            <w:vAlign w:val="bottom"/>
            <w:hideMark/>
          </w:tcPr>
          <w:p w14:paraId="74852D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7A66859" w14:textId="77777777" w:rsidTr="00AC4931">
        <w:tc>
          <w:tcPr>
            <w:tcW w:w="13485" w:type="dxa"/>
            <w:shd w:val="clear" w:color="auto" w:fill="CFF0FC"/>
            <w:tcMar>
              <w:top w:w="15" w:type="dxa"/>
              <w:left w:w="0" w:type="dxa"/>
              <w:bottom w:w="0" w:type="dxa"/>
              <w:right w:w="15" w:type="dxa"/>
            </w:tcMar>
            <w:hideMark/>
          </w:tcPr>
          <w:p w14:paraId="4A7686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net</w:t>
            </w:r>
          </w:p>
        </w:tc>
        <w:tc>
          <w:tcPr>
            <w:tcW w:w="311" w:type="dxa"/>
            <w:shd w:val="clear" w:color="auto" w:fill="CFF0FC"/>
            <w:tcMar>
              <w:top w:w="15" w:type="dxa"/>
              <w:left w:w="0" w:type="dxa"/>
              <w:bottom w:w="0" w:type="dxa"/>
              <w:right w:w="15" w:type="dxa"/>
            </w:tcMar>
            <w:vAlign w:val="bottom"/>
            <w:hideMark/>
          </w:tcPr>
          <w:p w14:paraId="4014A2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2B247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3C6CF1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37.1</w:t>
            </w:r>
          </w:p>
        </w:tc>
        <w:tc>
          <w:tcPr>
            <w:tcW w:w="191" w:type="dxa"/>
            <w:shd w:val="clear" w:color="auto" w:fill="CFF0FC"/>
            <w:noWrap/>
            <w:tcMar>
              <w:top w:w="15" w:type="dxa"/>
              <w:left w:w="0" w:type="dxa"/>
              <w:bottom w:w="0" w:type="dxa"/>
              <w:right w:w="15" w:type="dxa"/>
            </w:tcMar>
            <w:vAlign w:val="bottom"/>
            <w:hideMark/>
          </w:tcPr>
          <w:p w14:paraId="3A8267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37D042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B9001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6EA0BDA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(4.9</w:t>
            </w:r>
          </w:p>
        </w:tc>
        <w:tc>
          <w:tcPr>
            <w:tcW w:w="191" w:type="dxa"/>
            <w:shd w:val="clear" w:color="auto" w:fill="CFF0FC"/>
            <w:noWrap/>
            <w:tcMar>
              <w:top w:w="15" w:type="dxa"/>
              <w:left w:w="0" w:type="dxa"/>
              <w:bottom w:w="0" w:type="dxa"/>
              <w:right w:w="15" w:type="dxa"/>
            </w:tcMar>
            <w:vAlign w:val="bottom"/>
            <w:hideMark/>
          </w:tcPr>
          <w:p w14:paraId="279991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CFF0FC"/>
            <w:tcMar>
              <w:top w:w="15" w:type="dxa"/>
              <w:left w:w="0" w:type="dxa"/>
              <w:bottom w:w="0" w:type="dxa"/>
              <w:right w:w="15" w:type="dxa"/>
            </w:tcMar>
            <w:vAlign w:val="bottom"/>
            <w:hideMark/>
          </w:tcPr>
          <w:p w14:paraId="49664A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44E5C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7D50AE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(5.8</w:t>
            </w:r>
          </w:p>
        </w:tc>
        <w:tc>
          <w:tcPr>
            <w:tcW w:w="192" w:type="dxa"/>
            <w:shd w:val="clear" w:color="auto" w:fill="CFF0FC"/>
            <w:noWrap/>
            <w:tcMar>
              <w:top w:w="15" w:type="dxa"/>
              <w:left w:w="0" w:type="dxa"/>
              <w:bottom w:w="0" w:type="dxa"/>
              <w:right w:w="15" w:type="dxa"/>
            </w:tcMar>
            <w:vAlign w:val="bottom"/>
            <w:hideMark/>
          </w:tcPr>
          <w:p w14:paraId="1B4D82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8734D48" w14:textId="77777777" w:rsidTr="00AC4931">
        <w:tc>
          <w:tcPr>
            <w:tcW w:w="13485" w:type="dxa"/>
            <w:shd w:val="clear" w:color="auto" w:fill="FFFFFF"/>
            <w:tcMar>
              <w:top w:w="15" w:type="dxa"/>
              <w:left w:w="0" w:type="dxa"/>
              <w:bottom w:w="0" w:type="dxa"/>
              <w:right w:w="15" w:type="dxa"/>
            </w:tcMar>
            <w:hideMark/>
          </w:tcPr>
          <w:p w14:paraId="15FDC24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cash provided by operating activities</w:t>
            </w:r>
          </w:p>
        </w:tc>
        <w:tc>
          <w:tcPr>
            <w:tcW w:w="311" w:type="dxa"/>
            <w:shd w:val="clear" w:color="auto" w:fill="FFFFFF"/>
            <w:tcMar>
              <w:top w:w="15" w:type="dxa"/>
              <w:left w:w="0" w:type="dxa"/>
              <w:bottom w:w="0" w:type="dxa"/>
              <w:right w:w="15" w:type="dxa"/>
            </w:tcMar>
            <w:vAlign w:val="bottom"/>
            <w:hideMark/>
          </w:tcPr>
          <w:p w14:paraId="4313BE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7857C0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06F432A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848.9</w:t>
            </w:r>
          </w:p>
        </w:tc>
        <w:tc>
          <w:tcPr>
            <w:tcW w:w="191" w:type="dxa"/>
            <w:shd w:val="clear" w:color="auto" w:fill="FFFFFF"/>
            <w:noWrap/>
            <w:tcMar>
              <w:top w:w="15" w:type="dxa"/>
              <w:left w:w="0" w:type="dxa"/>
              <w:bottom w:w="0" w:type="dxa"/>
              <w:right w:w="15" w:type="dxa"/>
            </w:tcMar>
            <w:vAlign w:val="bottom"/>
            <w:hideMark/>
          </w:tcPr>
          <w:p w14:paraId="6148BC4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3E6D1C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AD8557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5854714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640.7</w:t>
            </w:r>
          </w:p>
        </w:tc>
        <w:tc>
          <w:tcPr>
            <w:tcW w:w="191" w:type="dxa"/>
            <w:shd w:val="clear" w:color="auto" w:fill="FFFFFF"/>
            <w:noWrap/>
            <w:tcMar>
              <w:top w:w="15" w:type="dxa"/>
              <w:left w:w="0" w:type="dxa"/>
              <w:bottom w:w="0" w:type="dxa"/>
              <w:right w:w="15" w:type="dxa"/>
            </w:tcMar>
            <w:vAlign w:val="bottom"/>
            <w:hideMark/>
          </w:tcPr>
          <w:p w14:paraId="3A8B8F8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170E38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178F475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6EB162C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590.6</w:t>
            </w:r>
          </w:p>
        </w:tc>
        <w:tc>
          <w:tcPr>
            <w:tcW w:w="192" w:type="dxa"/>
            <w:shd w:val="clear" w:color="auto" w:fill="FFFFFF"/>
            <w:noWrap/>
            <w:tcMar>
              <w:top w:w="15" w:type="dxa"/>
              <w:left w:w="0" w:type="dxa"/>
              <w:bottom w:w="0" w:type="dxa"/>
              <w:right w:w="15" w:type="dxa"/>
            </w:tcMar>
            <w:vAlign w:val="bottom"/>
            <w:hideMark/>
          </w:tcPr>
          <w:p w14:paraId="262805C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454F7A90" w14:textId="77777777" w:rsidTr="00AC4931">
        <w:tc>
          <w:tcPr>
            <w:tcW w:w="13485" w:type="dxa"/>
            <w:shd w:val="clear" w:color="auto" w:fill="CFF0FC"/>
            <w:tcMar>
              <w:top w:w="15" w:type="dxa"/>
              <w:left w:w="0" w:type="dxa"/>
              <w:bottom w:w="0" w:type="dxa"/>
              <w:right w:w="15" w:type="dxa"/>
            </w:tcMar>
            <w:hideMark/>
          </w:tcPr>
          <w:p w14:paraId="2A68ABC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Investing activities</w:t>
            </w:r>
          </w:p>
        </w:tc>
        <w:tc>
          <w:tcPr>
            <w:tcW w:w="311" w:type="dxa"/>
            <w:shd w:val="clear" w:color="auto" w:fill="CFF0FC"/>
            <w:tcMar>
              <w:top w:w="15" w:type="dxa"/>
              <w:left w:w="0" w:type="dxa"/>
              <w:bottom w:w="0" w:type="dxa"/>
              <w:right w:w="15" w:type="dxa"/>
            </w:tcMar>
            <w:vAlign w:val="bottom"/>
            <w:hideMark/>
          </w:tcPr>
          <w:p w14:paraId="0C91FA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75090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48C63C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80CCF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1E840D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B0C6B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368AB10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1B6E8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61100F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01E12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5CA5AE9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5B28BF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1A76D81" w14:textId="77777777" w:rsidTr="00AC4931">
        <w:tc>
          <w:tcPr>
            <w:tcW w:w="13485" w:type="dxa"/>
            <w:shd w:val="clear" w:color="auto" w:fill="FFFFFF"/>
            <w:tcMar>
              <w:top w:w="15" w:type="dxa"/>
              <w:left w:w="0" w:type="dxa"/>
              <w:bottom w:w="0" w:type="dxa"/>
              <w:right w:w="15" w:type="dxa"/>
            </w:tcMar>
            <w:hideMark/>
          </w:tcPr>
          <w:p w14:paraId="151DD1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Expenditures for property, plant and equipment</w:t>
            </w:r>
          </w:p>
        </w:tc>
        <w:tc>
          <w:tcPr>
            <w:tcW w:w="311" w:type="dxa"/>
            <w:shd w:val="clear" w:color="auto" w:fill="FFFFFF"/>
            <w:tcMar>
              <w:top w:w="15" w:type="dxa"/>
              <w:left w:w="0" w:type="dxa"/>
              <w:bottom w:w="0" w:type="dxa"/>
              <w:right w:w="15" w:type="dxa"/>
            </w:tcMar>
            <w:vAlign w:val="bottom"/>
            <w:hideMark/>
          </w:tcPr>
          <w:p w14:paraId="33EDEC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9961B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1EB092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(343.5</w:t>
            </w:r>
          </w:p>
        </w:tc>
        <w:tc>
          <w:tcPr>
            <w:tcW w:w="191" w:type="dxa"/>
            <w:shd w:val="clear" w:color="auto" w:fill="FFFFFF"/>
            <w:noWrap/>
            <w:tcMar>
              <w:top w:w="15" w:type="dxa"/>
              <w:left w:w="0" w:type="dxa"/>
              <w:bottom w:w="0" w:type="dxa"/>
              <w:right w:w="15" w:type="dxa"/>
            </w:tcMar>
            <w:vAlign w:val="bottom"/>
            <w:hideMark/>
          </w:tcPr>
          <w:p w14:paraId="76ECD8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7732D0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383DF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25162F1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(483.4</w:t>
            </w:r>
          </w:p>
        </w:tc>
        <w:tc>
          <w:tcPr>
            <w:tcW w:w="191" w:type="dxa"/>
            <w:shd w:val="clear" w:color="auto" w:fill="FFFFFF"/>
            <w:noWrap/>
            <w:tcMar>
              <w:top w:w="15" w:type="dxa"/>
              <w:left w:w="0" w:type="dxa"/>
              <w:bottom w:w="0" w:type="dxa"/>
              <w:right w:w="15" w:type="dxa"/>
            </w:tcMar>
            <w:vAlign w:val="bottom"/>
            <w:hideMark/>
          </w:tcPr>
          <w:p w14:paraId="5F1992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732539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61F9D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35F1539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(560.0</w:t>
            </w:r>
          </w:p>
        </w:tc>
        <w:tc>
          <w:tcPr>
            <w:tcW w:w="192" w:type="dxa"/>
            <w:shd w:val="clear" w:color="auto" w:fill="FFFFFF"/>
            <w:noWrap/>
            <w:tcMar>
              <w:top w:w="15" w:type="dxa"/>
              <w:left w:w="0" w:type="dxa"/>
              <w:bottom w:w="0" w:type="dxa"/>
              <w:right w:w="15" w:type="dxa"/>
            </w:tcMar>
            <w:vAlign w:val="bottom"/>
            <w:hideMark/>
          </w:tcPr>
          <w:p w14:paraId="061F81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948CDB1" w14:textId="77777777" w:rsidTr="00AC4931">
        <w:tc>
          <w:tcPr>
            <w:tcW w:w="13485" w:type="dxa"/>
            <w:shd w:val="clear" w:color="auto" w:fill="CFF0FC"/>
            <w:tcMar>
              <w:top w:w="15" w:type="dxa"/>
              <w:left w:w="0" w:type="dxa"/>
              <w:bottom w:w="0" w:type="dxa"/>
              <w:right w:w="15" w:type="dxa"/>
            </w:tcMar>
            <w:hideMark/>
          </w:tcPr>
          <w:p w14:paraId="0F2098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Proceeds from sale of property, plant and equipment</w:t>
            </w:r>
          </w:p>
        </w:tc>
        <w:tc>
          <w:tcPr>
            <w:tcW w:w="311" w:type="dxa"/>
            <w:shd w:val="clear" w:color="auto" w:fill="CFF0FC"/>
            <w:tcMar>
              <w:top w:w="15" w:type="dxa"/>
              <w:left w:w="0" w:type="dxa"/>
              <w:bottom w:w="0" w:type="dxa"/>
              <w:right w:w="15" w:type="dxa"/>
            </w:tcMar>
            <w:vAlign w:val="bottom"/>
            <w:hideMark/>
          </w:tcPr>
          <w:p w14:paraId="7092A7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51E59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384EDF7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w:t>
            </w:r>
          </w:p>
        </w:tc>
        <w:tc>
          <w:tcPr>
            <w:tcW w:w="191" w:type="dxa"/>
            <w:shd w:val="clear" w:color="auto" w:fill="CFF0FC"/>
            <w:noWrap/>
            <w:tcMar>
              <w:top w:w="15" w:type="dxa"/>
              <w:left w:w="0" w:type="dxa"/>
              <w:bottom w:w="0" w:type="dxa"/>
              <w:right w:w="15" w:type="dxa"/>
            </w:tcMar>
            <w:vAlign w:val="bottom"/>
            <w:hideMark/>
          </w:tcPr>
          <w:p w14:paraId="44DEED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375121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E7283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4A2EA28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7.3</w:t>
            </w:r>
          </w:p>
        </w:tc>
        <w:tc>
          <w:tcPr>
            <w:tcW w:w="191" w:type="dxa"/>
            <w:shd w:val="clear" w:color="auto" w:fill="CFF0FC"/>
            <w:noWrap/>
            <w:tcMar>
              <w:top w:w="15" w:type="dxa"/>
              <w:left w:w="0" w:type="dxa"/>
              <w:bottom w:w="0" w:type="dxa"/>
              <w:right w:w="15" w:type="dxa"/>
            </w:tcMar>
            <w:vAlign w:val="bottom"/>
            <w:hideMark/>
          </w:tcPr>
          <w:p w14:paraId="7A1CEB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27A05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E40B7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73C2C7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w:t>
            </w:r>
          </w:p>
        </w:tc>
        <w:tc>
          <w:tcPr>
            <w:tcW w:w="192" w:type="dxa"/>
            <w:shd w:val="clear" w:color="auto" w:fill="CFF0FC"/>
            <w:noWrap/>
            <w:tcMar>
              <w:top w:w="15" w:type="dxa"/>
              <w:left w:w="0" w:type="dxa"/>
              <w:bottom w:w="0" w:type="dxa"/>
              <w:right w:w="15" w:type="dxa"/>
            </w:tcMar>
            <w:vAlign w:val="bottom"/>
            <w:hideMark/>
          </w:tcPr>
          <w:p w14:paraId="12649F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819B873" w14:textId="77777777" w:rsidTr="00AC4931">
        <w:tc>
          <w:tcPr>
            <w:tcW w:w="13485" w:type="dxa"/>
            <w:shd w:val="clear" w:color="auto" w:fill="FFFFFF"/>
            <w:tcMar>
              <w:top w:w="15" w:type="dxa"/>
              <w:left w:w="0" w:type="dxa"/>
              <w:bottom w:w="0" w:type="dxa"/>
              <w:right w:w="15" w:type="dxa"/>
            </w:tcMar>
            <w:hideMark/>
          </w:tcPr>
          <w:p w14:paraId="3907DC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Acquisition of businesses and interest in affiliates, net of cash acquired</w:t>
            </w:r>
          </w:p>
        </w:tc>
        <w:tc>
          <w:tcPr>
            <w:tcW w:w="311" w:type="dxa"/>
            <w:shd w:val="clear" w:color="auto" w:fill="FFFFFF"/>
            <w:tcMar>
              <w:top w:w="15" w:type="dxa"/>
              <w:left w:w="0" w:type="dxa"/>
              <w:bottom w:w="0" w:type="dxa"/>
              <w:right w:w="15" w:type="dxa"/>
            </w:tcMar>
            <w:vAlign w:val="bottom"/>
            <w:hideMark/>
          </w:tcPr>
          <w:p w14:paraId="7D9DA6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3FD67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4B76120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0B9E3D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0BBA8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A34C3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539250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5C4F4D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695813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2F879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41680A3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(72.0</w:t>
            </w:r>
          </w:p>
        </w:tc>
        <w:tc>
          <w:tcPr>
            <w:tcW w:w="192" w:type="dxa"/>
            <w:shd w:val="clear" w:color="auto" w:fill="FFFFFF"/>
            <w:noWrap/>
            <w:tcMar>
              <w:top w:w="15" w:type="dxa"/>
              <w:left w:w="0" w:type="dxa"/>
              <w:bottom w:w="0" w:type="dxa"/>
              <w:right w:w="15" w:type="dxa"/>
            </w:tcMar>
            <w:vAlign w:val="bottom"/>
            <w:hideMark/>
          </w:tcPr>
          <w:p w14:paraId="4F5C04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44B296B" w14:textId="77777777" w:rsidTr="00AC4931">
        <w:tc>
          <w:tcPr>
            <w:tcW w:w="13485" w:type="dxa"/>
            <w:shd w:val="clear" w:color="auto" w:fill="CFF0FC"/>
            <w:tcMar>
              <w:top w:w="15" w:type="dxa"/>
              <w:left w:w="0" w:type="dxa"/>
              <w:bottom w:w="0" w:type="dxa"/>
              <w:right w:w="15" w:type="dxa"/>
            </w:tcMar>
            <w:hideMark/>
          </w:tcPr>
          <w:p w14:paraId="2DC5D5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w:t>
            </w:r>
          </w:p>
        </w:tc>
        <w:tc>
          <w:tcPr>
            <w:tcW w:w="311" w:type="dxa"/>
            <w:shd w:val="clear" w:color="auto" w:fill="CFF0FC"/>
            <w:tcMar>
              <w:top w:w="15" w:type="dxa"/>
              <w:left w:w="0" w:type="dxa"/>
              <w:bottom w:w="0" w:type="dxa"/>
              <w:right w:w="15" w:type="dxa"/>
            </w:tcMar>
            <w:vAlign w:val="bottom"/>
            <w:hideMark/>
          </w:tcPr>
          <w:p w14:paraId="19A781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A143A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051CAF3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387A57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875DC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C86EB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0F079FD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328B11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1C20EB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5F2FE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461922B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w:t>
            </w:r>
          </w:p>
        </w:tc>
        <w:tc>
          <w:tcPr>
            <w:tcW w:w="192" w:type="dxa"/>
            <w:shd w:val="clear" w:color="auto" w:fill="CFF0FC"/>
            <w:noWrap/>
            <w:tcMar>
              <w:top w:w="15" w:type="dxa"/>
              <w:left w:w="0" w:type="dxa"/>
              <w:bottom w:w="0" w:type="dxa"/>
              <w:right w:w="15" w:type="dxa"/>
            </w:tcMar>
            <w:vAlign w:val="bottom"/>
            <w:hideMark/>
          </w:tcPr>
          <w:p w14:paraId="4D5516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9A2E6C3" w14:textId="77777777" w:rsidTr="00AC4931">
        <w:tc>
          <w:tcPr>
            <w:tcW w:w="13485" w:type="dxa"/>
            <w:shd w:val="clear" w:color="auto" w:fill="FFFFFF"/>
            <w:tcMar>
              <w:top w:w="15" w:type="dxa"/>
              <w:left w:w="0" w:type="dxa"/>
              <w:bottom w:w="0" w:type="dxa"/>
              <w:right w:w="15" w:type="dxa"/>
            </w:tcMar>
            <w:hideMark/>
          </w:tcPr>
          <w:p w14:paraId="6280E06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cash used in investing activities</w:t>
            </w:r>
          </w:p>
        </w:tc>
        <w:tc>
          <w:tcPr>
            <w:tcW w:w="311" w:type="dxa"/>
            <w:shd w:val="clear" w:color="auto" w:fill="FFFFFF"/>
            <w:tcMar>
              <w:top w:w="15" w:type="dxa"/>
              <w:left w:w="0" w:type="dxa"/>
              <w:bottom w:w="0" w:type="dxa"/>
              <w:right w:w="15" w:type="dxa"/>
            </w:tcMar>
            <w:vAlign w:val="bottom"/>
            <w:hideMark/>
          </w:tcPr>
          <w:p w14:paraId="052EF8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5F138B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4218B51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(339.6</w:t>
            </w:r>
          </w:p>
        </w:tc>
        <w:tc>
          <w:tcPr>
            <w:tcW w:w="191" w:type="dxa"/>
            <w:shd w:val="clear" w:color="auto" w:fill="FFFFFF"/>
            <w:noWrap/>
            <w:tcMar>
              <w:top w:w="15" w:type="dxa"/>
              <w:left w:w="0" w:type="dxa"/>
              <w:bottom w:w="0" w:type="dxa"/>
              <w:right w:w="15" w:type="dxa"/>
            </w:tcMar>
            <w:vAlign w:val="bottom"/>
            <w:hideMark/>
          </w:tcPr>
          <w:p w14:paraId="48E7343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68CA7F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B84EFC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75EF425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(476.1</w:t>
            </w:r>
          </w:p>
        </w:tc>
        <w:tc>
          <w:tcPr>
            <w:tcW w:w="191" w:type="dxa"/>
            <w:shd w:val="clear" w:color="auto" w:fill="FFFFFF"/>
            <w:noWrap/>
            <w:tcMar>
              <w:top w:w="15" w:type="dxa"/>
              <w:left w:w="0" w:type="dxa"/>
              <w:bottom w:w="0" w:type="dxa"/>
              <w:right w:w="15" w:type="dxa"/>
            </w:tcMar>
            <w:vAlign w:val="bottom"/>
            <w:hideMark/>
          </w:tcPr>
          <w:p w14:paraId="76D1D5E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6B0803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D7412C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5900C90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(627.7</w:t>
            </w:r>
          </w:p>
        </w:tc>
        <w:tc>
          <w:tcPr>
            <w:tcW w:w="192" w:type="dxa"/>
            <w:shd w:val="clear" w:color="auto" w:fill="FFFFFF"/>
            <w:noWrap/>
            <w:tcMar>
              <w:top w:w="15" w:type="dxa"/>
              <w:left w:w="0" w:type="dxa"/>
              <w:bottom w:w="0" w:type="dxa"/>
              <w:right w:w="15" w:type="dxa"/>
            </w:tcMar>
            <w:vAlign w:val="bottom"/>
            <w:hideMark/>
          </w:tcPr>
          <w:p w14:paraId="0E2D445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5605CE73" w14:textId="77777777" w:rsidTr="00AC4931">
        <w:tc>
          <w:tcPr>
            <w:tcW w:w="13485" w:type="dxa"/>
            <w:shd w:val="clear" w:color="auto" w:fill="CFF0FC"/>
            <w:tcMar>
              <w:top w:w="15" w:type="dxa"/>
              <w:left w:w="0" w:type="dxa"/>
              <w:bottom w:w="0" w:type="dxa"/>
              <w:right w:w="15" w:type="dxa"/>
            </w:tcMar>
            <w:hideMark/>
          </w:tcPr>
          <w:p w14:paraId="797BB30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Financing activities</w:t>
            </w:r>
          </w:p>
        </w:tc>
        <w:tc>
          <w:tcPr>
            <w:tcW w:w="311" w:type="dxa"/>
            <w:shd w:val="clear" w:color="auto" w:fill="CFF0FC"/>
            <w:tcMar>
              <w:top w:w="15" w:type="dxa"/>
              <w:left w:w="0" w:type="dxa"/>
              <w:bottom w:w="0" w:type="dxa"/>
              <w:right w:w="15" w:type="dxa"/>
            </w:tcMar>
            <w:vAlign w:val="bottom"/>
            <w:hideMark/>
          </w:tcPr>
          <w:p w14:paraId="199045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EBB82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A94F08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EDD06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503DD6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F55D6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4B10CEB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ED84E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B4D36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C3B44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18B7961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560698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5CC67A0" w14:textId="77777777" w:rsidTr="00AC4931">
        <w:tc>
          <w:tcPr>
            <w:tcW w:w="13485" w:type="dxa"/>
            <w:shd w:val="clear" w:color="auto" w:fill="FFFFFF"/>
            <w:tcMar>
              <w:top w:w="15" w:type="dxa"/>
              <w:left w:w="0" w:type="dxa"/>
              <w:bottom w:w="0" w:type="dxa"/>
              <w:right w:w="15" w:type="dxa"/>
            </w:tcMar>
            <w:hideMark/>
          </w:tcPr>
          <w:p w14:paraId="37CDE3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(decrease) increase in short-term debt</w:t>
            </w:r>
          </w:p>
        </w:tc>
        <w:tc>
          <w:tcPr>
            <w:tcW w:w="311" w:type="dxa"/>
            <w:shd w:val="clear" w:color="auto" w:fill="FFFFFF"/>
            <w:tcMar>
              <w:top w:w="15" w:type="dxa"/>
              <w:left w:w="0" w:type="dxa"/>
              <w:bottom w:w="0" w:type="dxa"/>
              <w:right w:w="15" w:type="dxa"/>
            </w:tcMar>
            <w:vAlign w:val="bottom"/>
            <w:hideMark/>
          </w:tcPr>
          <w:p w14:paraId="70A42B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53059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AE7104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(239.9</w:t>
            </w:r>
          </w:p>
        </w:tc>
        <w:tc>
          <w:tcPr>
            <w:tcW w:w="191" w:type="dxa"/>
            <w:shd w:val="clear" w:color="auto" w:fill="FFFFFF"/>
            <w:noWrap/>
            <w:tcMar>
              <w:top w:w="15" w:type="dxa"/>
              <w:left w:w="0" w:type="dxa"/>
              <w:bottom w:w="0" w:type="dxa"/>
              <w:right w:w="15" w:type="dxa"/>
            </w:tcMar>
            <w:vAlign w:val="bottom"/>
            <w:hideMark/>
          </w:tcPr>
          <w:p w14:paraId="5D67EF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7759D4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C2A2A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8AD80E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(364.1</w:t>
            </w:r>
          </w:p>
        </w:tc>
        <w:tc>
          <w:tcPr>
            <w:tcW w:w="191" w:type="dxa"/>
            <w:shd w:val="clear" w:color="auto" w:fill="FFFFFF"/>
            <w:noWrap/>
            <w:tcMar>
              <w:top w:w="15" w:type="dxa"/>
              <w:left w:w="0" w:type="dxa"/>
              <w:bottom w:w="0" w:type="dxa"/>
              <w:right w:w="15" w:type="dxa"/>
            </w:tcMar>
            <w:vAlign w:val="bottom"/>
            <w:hideMark/>
          </w:tcPr>
          <w:p w14:paraId="03365F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57EC46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E5CBA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67B8C5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355.4</w:t>
            </w:r>
          </w:p>
        </w:tc>
        <w:tc>
          <w:tcPr>
            <w:tcW w:w="192" w:type="dxa"/>
            <w:shd w:val="clear" w:color="auto" w:fill="FFFFFF"/>
            <w:noWrap/>
            <w:tcMar>
              <w:top w:w="15" w:type="dxa"/>
              <w:left w:w="0" w:type="dxa"/>
              <w:bottom w:w="0" w:type="dxa"/>
              <w:right w:w="15" w:type="dxa"/>
            </w:tcMar>
            <w:vAlign w:val="bottom"/>
            <w:hideMark/>
          </w:tcPr>
          <w:p w14:paraId="2CC467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9A6A188" w14:textId="77777777" w:rsidTr="00AC4931">
        <w:tc>
          <w:tcPr>
            <w:tcW w:w="13485" w:type="dxa"/>
            <w:shd w:val="clear" w:color="auto" w:fill="CFF0FC"/>
            <w:tcMar>
              <w:top w:w="15" w:type="dxa"/>
              <w:left w:w="0" w:type="dxa"/>
              <w:bottom w:w="0" w:type="dxa"/>
              <w:right w:w="15" w:type="dxa"/>
            </w:tcMar>
            <w:hideMark/>
          </w:tcPr>
          <w:p w14:paraId="0DB00D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Increase in long-term debt</w:t>
            </w:r>
          </w:p>
        </w:tc>
        <w:tc>
          <w:tcPr>
            <w:tcW w:w="311" w:type="dxa"/>
            <w:shd w:val="clear" w:color="auto" w:fill="CFF0FC"/>
            <w:tcMar>
              <w:top w:w="15" w:type="dxa"/>
              <w:left w:w="0" w:type="dxa"/>
              <w:bottom w:w="0" w:type="dxa"/>
              <w:right w:w="15" w:type="dxa"/>
            </w:tcMar>
            <w:vAlign w:val="bottom"/>
            <w:hideMark/>
          </w:tcPr>
          <w:p w14:paraId="360EB0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C8BFF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51D6E96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1,177.1</w:t>
            </w:r>
          </w:p>
        </w:tc>
        <w:tc>
          <w:tcPr>
            <w:tcW w:w="191" w:type="dxa"/>
            <w:shd w:val="clear" w:color="auto" w:fill="CFF0FC"/>
            <w:noWrap/>
            <w:tcMar>
              <w:top w:w="15" w:type="dxa"/>
              <w:left w:w="0" w:type="dxa"/>
              <w:bottom w:w="0" w:type="dxa"/>
              <w:right w:w="15" w:type="dxa"/>
            </w:tcMar>
            <w:vAlign w:val="bottom"/>
            <w:hideMark/>
          </w:tcPr>
          <w:p w14:paraId="3CC535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49A31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A5879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F28733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243.5</w:t>
            </w:r>
          </w:p>
        </w:tc>
        <w:tc>
          <w:tcPr>
            <w:tcW w:w="191" w:type="dxa"/>
            <w:shd w:val="clear" w:color="auto" w:fill="CFF0FC"/>
            <w:noWrap/>
            <w:tcMar>
              <w:top w:w="15" w:type="dxa"/>
              <w:left w:w="0" w:type="dxa"/>
              <w:bottom w:w="0" w:type="dxa"/>
              <w:right w:w="15" w:type="dxa"/>
            </w:tcMar>
            <w:vAlign w:val="bottom"/>
            <w:hideMark/>
          </w:tcPr>
          <w:p w14:paraId="1DD7CA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A772D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911CF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4B4B497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582.2</w:t>
            </w:r>
          </w:p>
        </w:tc>
        <w:tc>
          <w:tcPr>
            <w:tcW w:w="192" w:type="dxa"/>
            <w:shd w:val="clear" w:color="auto" w:fill="CFF0FC"/>
            <w:noWrap/>
            <w:tcMar>
              <w:top w:w="15" w:type="dxa"/>
              <w:left w:w="0" w:type="dxa"/>
              <w:bottom w:w="0" w:type="dxa"/>
              <w:right w:w="15" w:type="dxa"/>
            </w:tcMar>
            <w:vAlign w:val="bottom"/>
            <w:hideMark/>
          </w:tcPr>
          <w:p w14:paraId="224D46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200AF0C" w14:textId="77777777" w:rsidTr="00AC4931">
        <w:tc>
          <w:tcPr>
            <w:tcW w:w="13485" w:type="dxa"/>
            <w:shd w:val="clear" w:color="auto" w:fill="FFFFFF"/>
            <w:tcMar>
              <w:top w:w="15" w:type="dxa"/>
              <w:left w:w="0" w:type="dxa"/>
              <w:bottom w:w="0" w:type="dxa"/>
              <w:right w:w="15" w:type="dxa"/>
            </w:tcMar>
            <w:hideMark/>
          </w:tcPr>
          <w:p w14:paraId="588F91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Repayment of long-term debt</w:t>
            </w:r>
          </w:p>
        </w:tc>
        <w:tc>
          <w:tcPr>
            <w:tcW w:w="311" w:type="dxa"/>
            <w:shd w:val="clear" w:color="auto" w:fill="FFFFFF"/>
            <w:tcMar>
              <w:top w:w="15" w:type="dxa"/>
              <w:left w:w="0" w:type="dxa"/>
              <w:bottom w:w="0" w:type="dxa"/>
              <w:right w:w="15" w:type="dxa"/>
            </w:tcMar>
            <w:vAlign w:val="bottom"/>
            <w:hideMark/>
          </w:tcPr>
          <w:p w14:paraId="16BCBE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1D964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6BF232C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(722.5</w:t>
            </w:r>
          </w:p>
        </w:tc>
        <w:tc>
          <w:tcPr>
            <w:tcW w:w="191" w:type="dxa"/>
            <w:shd w:val="clear" w:color="auto" w:fill="FFFFFF"/>
            <w:noWrap/>
            <w:tcMar>
              <w:top w:w="15" w:type="dxa"/>
              <w:left w:w="0" w:type="dxa"/>
              <w:bottom w:w="0" w:type="dxa"/>
              <w:right w:w="15" w:type="dxa"/>
            </w:tcMar>
            <w:vAlign w:val="bottom"/>
            <w:hideMark/>
          </w:tcPr>
          <w:p w14:paraId="459315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369F1B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0E5A5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550F74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4D0053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09AF6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3FAD3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788F50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2" w:type="dxa"/>
            <w:shd w:val="clear" w:color="auto" w:fill="FFFFFF"/>
            <w:noWrap/>
            <w:tcMar>
              <w:top w:w="15" w:type="dxa"/>
              <w:left w:w="0" w:type="dxa"/>
              <w:bottom w:w="0" w:type="dxa"/>
              <w:right w:w="15" w:type="dxa"/>
            </w:tcMar>
            <w:vAlign w:val="bottom"/>
            <w:hideMark/>
          </w:tcPr>
          <w:p w14:paraId="2D110B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25FAF77" w14:textId="77777777" w:rsidTr="00AC4931">
        <w:tc>
          <w:tcPr>
            <w:tcW w:w="13485" w:type="dxa"/>
            <w:shd w:val="clear" w:color="auto" w:fill="CFF0FC"/>
            <w:tcMar>
              <w:top w:w="15" w:type="dxa"/>
              <w:left w:w="0" w:type="dxa"/>
              <w:bottom w:w="0" w:type="dxa"/>
              <w:right w:w="15" w:type="dxa"/>
            </w:tcMar>
            <w:hideMark/>
          </w:tcPr>
          <w:p w14:paraId="6F4814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Debt issuance costs</w:t>
            </w:r>
          </w:p>
        </w:tc>
        <w:tc>
          <w:tcPr>
            <w:tcW w:w="311" w:type="dxa"/>
            <w:shd w:val="clear" w:color="auto" w:fill="CFF0FC"/>
            <w:tcMar>
              <w:top w:w="15" w:type="dxa"/>
              <w:left w:w="0" w:type="dxa"/>
              <w:bottom w:w="0" w:type="dxa"/>
              <w:right w:w="15" w:type="dxa"/>
            </w:tcMar>
            <w:vAlign w:val="bottom"/>
            <w:hideMark/>
          </w:tcPr>
          <w:p w14:paraId="3B4F4A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BDDC3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3595172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33A5CE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7ADF44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241C9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10D3E26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91" w:type="dxa"/>
            <w:shd w:val="clear" w:color="auto" w:fill="CFF0FC"/>
            <w:noWrap/>
            <w:tcMar>
              <w:top w:w="15" w:type="dxa"/>
              <w:left w:w="0" w:type="dxa"/>
              <w:bottom w:w="0" w:type="dxa"/>
              <w:right w:w="15" w:type="dxa"/>
            </w:tcMar>
            <w:vAlign w:val="bottom"/>
            <w:hideMark/>
          </w:tcPr>
          <w:p w14:paraId="2BA0ED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CFF0FC"/>
            <w:tcMar>
              <w:top w:w="15" w:type="dxa"/>
              <w:left w:w="0" w:type="dxa"/>
              <w:bottom w:w="0" w:type="dxa"/>
              <w:right w:w="15" w:type="dxa"/>
            </w:tcMar>
            <w:vAlign w:val="bottom"/>
            <w:hideMark/>
          </w:tcPr>
          <w:p w14:paraId="57BA58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2DBBB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62C44C8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w:t>
            </w:r>
          </w:p>
        </w:tc>
        <w:tc>
          <w:tcPr>
            <w:tcW w:w="192" w:type="dxa"/>
            <w:shd w:val="clear" w:color="auto" w:fill="CFF0FC"/>
            <w:noWrap/>
            <w:tcMar>
              <w:top w:w="15" w:type="dxa"/>
              <w:left w:w="0" w:type="dxa"/>
              <w:bottom w:w="0" w:type="dxa"/>
              <w:right w:w="15" w:type="dxa"/>
            </w:tcMar>
            <w:vAlign w:val="bottom"/>
            <w:hideMark/>
          </w:tcPr>
          <w:p w14:paraId="1FB8DF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9671EA4" w14:textId="77777777" w:rsidTr="00AC4931">
        <w:tc>
          <w:tcPr>
            <w:tcW w:w="13485" w:type="dxa"/>
            <w:shd w:val="clear" w:color="auto" w:fill="FFFFFF"/>
            <w:tcMar>
              <w:top w:w="15" w:type="dxa"/>
              <w:left w:w="0" w:type="dxa"/>
              <w:bottom w:w="0" w:type="dxa"/>
              <w:right w:w="15" w:type="dxa"/>
            </w:tcMar>
            <w:hideMark/>
          </w:tcPr>
          <w:p w14:paraId="7BDB26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Dividends paid to non-controlling interest</w:t>
            </w:r>
          </w:p>
        </w:tc>
        <w:tc>
          <w:tcPr>
            <w:tcW w:w="311" w:type="dxa"/>
            <w:shd w:val="clear" w:color="auto" w:fill="FFFFFF"/>
            <w:tcMar>
              <w:top w:w="15" w:type="dxa"/>
              <w:left w:w="0" w:type="dxa"/>
              <w:bottom w:w="0" w:type="dxa"/>
              <w:right w:w="15" w:type="dxa"/>
            </w:tcMar>
            <w:vAlign w:val="bottom"/>
            <w:hideMark/>
          </w:tcPr>
          <w:p w14:paraId="215DCD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6B215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18ECDB0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w:t>
            </w:r>
          </w:p>
        </w:tc>
        <w:tc>
          <w:tcPr>
            <w:tcW w:w="191" w:type="dxa"/>
            <w:shd w:val="clear" w:color="auto" w:fill="FFFFFF"/>
            <w:noWrap/>
            <w:tcMar>
              <w:top w:w="15" w:type="dxa"/>
              <w:left w:w="0" w:type="dxa"/>
              <w:bottom w:w="0" w:type="dxa"/>
              <w:right w:w="15" w:type="dxa"/>
            </w:tcMar>
            <w:vAlign w:val="bottom"/>
            <w:hideMark/>
          </w:tcPr>
          <w:p w14:paraId="519A78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2DFF37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2FCFA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2E1E292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w:t>
            </w:r>
          </w:p>
        </w:tc>
        <w:tc>
          <w:tcPr>
            <w:tcW w:w="191" w:type="dxa"/>
            <w:shd w:val="clear" w:color="auto" w:fill="FFFFFF"/>
            <w:noWrap/>
            <w:tcMar>
              <w:top w:w="15" w:type="dxa"/>
              <w:left w:w="0" w:type="dxa"/>
              <w:bottom w:w="0" w:type="dxa"/>
              <w:right w:w="15" w:type="dxa"/>
            </w:tcMar>
            <w:vAlign w:val="bottom"/>
            <w:hideMark/>
          </w:tcPr>
          <w:p w14:paraId="561E06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58EC38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95214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5CF2EC5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tc>
        <w:tc>
          <w:tcPr>
            <w:tcW w:w="192" w:type="dxa"/>
            <w:shd w:val="clear" w:color="auto" w:fill="FFFFFF"/>
            <w:noWrap/>
            <w:tcMar>
              <w:top w:w="15" w:type="dxa"/>
              <w:left w:w="0" w:type="dxa"/>
              <w:bottom w:w="0" w:type="dxa"/>
              <w:right w:w="15" w:type="dxa"/>
            </w:tcMar>
            <w:vAlign w:val="bottom"/>
            <w:hideMark/>
          </w:tcPr>
          <w:p w14:paraId="6E623A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EFE4847" w14:textId="77777777" w:rsidTr="00AC4931">
        <w:tc>
          <w:tcPr>
            <w:tcW w:w="13485" w:type="dxa"/>
            <w:shd w:val="clear" w:color="auto" w:fill="CFF0FC"/>
            <w:tcMar>
              <w:top w:w="15" w:type="dxa"/>
              <w:left w:w="0" w:type="dxa"/>
              <w:bottom w:w="0" w:type="dxa"/>
              <w:right w:w="15" w:type="dxa"/>
            </w:tcMar>
            <w:hideMark/>
          </w:tcPr>
          <w:p w14:paraId="140F4D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Dividends paid</w:t>
            </w:r>
          </w:p>
        </w:tc>
        <w:tc>
          <w:tcPr>
            <w:tcW w:w="311" w:type="dxa"/>
            <w:shd w:val="clear" w:color="auto" w:fill="CFF0FC"/>
            <w:tcMar>
              <w:top w:w="15" w:type="dxa"/>
              <w:left w:w="0" w:type="dxa"/>
              <w:bottom w:w="0" w:type="dxa"/>
              <w:right w:w="15" w:type="dxa"/>
            </w:tcMar>
            <w:vAlign w:val="bottom"/>
            <w:hideMark/>
          </w:tcPr>
          <w:p w14:paraId="2A1A0B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446F3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70FD647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(54.1</w:t>
            </w:r>
          </w:p>
        </w:tc>
        <w:tc>
          <w:tcPr>
            <w:tcW w:w="191" w:type="dxa"/>
            <w:shd w:val="clear" w:color="auto" w:fill="CFF0FC"/>
            <w:noWrap/>
            <w:tcMar>
              <w:top w:w="15" w:type="dxa"/>
              <w:left w:w="0" w:type="dxa"/>
              <w:bottom w:w="0" w:type="dxa"/>
              <w:right w:w="15" w:type="dxa"/>
            </w:tcMar>
            <w:vAlign w:val="bottom"/>
            <w:hideMark/>
          </w:tcPr>
          <w:p w14:paraId="440428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CFF0FC"/>
            <w:tcMar>
              <w:top w:w="15" w:type="dxa"/>
              <w:left w:w="0" w:type="dxa"/>
              <w:bottom w:w="0" w:type="dxa"/>
              <w:right w:w="15" w:type="dxa"/>
            </w:tcMar>
            <w:vAlign w:val="bottom"/>
            <w:hideMark/>
          </w:tcPr>
          <w:p w14:paraId="6E93DA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936F1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0BD06A6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(217.0</w:t>
            </w:r>
          </w:p>
        </w:tc>
        <w:tc>
          <w:tcPr>
            <w:tcW w:w="191" w:type="dxa"/>
            <w:shd w:val="clear" w:color="auto" w:fill="CFF0FC"/>
            <w:noWrap/>
            <w:tcMar>
              <w:top w:w="15" w:type="dxa"/>
              <w:left w:w="0" w:type="dxa"/>
              <w:bottom w:w="0" w:type="dxa"/>
              <w:right w:w="15" w:type="dxa"/>
            </w:tcMar>
            <w:vAlign w:val="bottom"/>
            <w:hideMark/>
          </w:tcPr>
          <w:p w14:paraId="558DC2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311" w:type="dxa"/>
            <w:shd w:val="clear" w:color="auto" w:fill="CFF0FC"/>
            <w:tcMar>
              <w:top w:w="15" w:type="dxa"/>
              <w:left w:w="0" w:type="dxa"/>
              <w:bottom w:w="0" w:type="dxa"/>
              <w:right w:w="15" w:type="dxa"/>
            </w:tcMar>
            <w:vAlign w:val="bottom"/>
            <w:hideMark/>
          </w:tcPr>
          <w:p w14:paraId="3A785D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69625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CFF0FC"/>
            <w:noWrap/>
            <w:tcMar>
              <w:top w:w="15" w:type="dxa"/>
              <w:left w:w="0" w:type="dxa"/>
              <w:bottom w:w="0" w:type="dxa"/>
              <w:right w:w="15" w:type="dxa"/>
            </w:tcMar>
            <w:vAlign w:val="bottom"/>
            <w:hideMark/>
          </w:tcPr>
          <w:p w14:paraId="392B285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(214.3</w:t>
            </w:r>
          </w:p>
        </w:tc>
        <w:tc>
          <w:tcPr>
            <w:tcW w:w="192" w:type="dxa"/>
            <w:shd w:val="clear" w:color="auto" w:fill="CFF0FC"/>
            <w:noWrap/>
            <w:tcMar>
              <w:top w:w="15" w:type="dxa"/>
              <w:left w:w="0" w:type="dxa"/>
              <w:bottom w:w="0" w:type="dxa"/>
              <w:right w:w="15" w:type="dxa"/>
            </w:tcMar>
            <w:vAlign w:val="bottom"/>
            <w:hideMark/>
          </w:tcPr>
          <w:p w14:paraId="47B6E8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3E44112" w14:textId="77777777" w:rsidTr="00AC4931">
        <w:tc>
          <w:tcPr>
            <w:tcW w:w="13485" w:type="dxa"/>
            <w:shd w:val="clear" w:color="auto" w:fill="FFFFFF"/>
            <w:tcMar>
              <w:top w:w="15" w:type="dxa"/>
              <w:left w:w="0" w:type="dxa"/>
              <w:bottom w:w="0" w:type="dxa"/>
              <w:right w:w="15" w:type="dxa"/>
            </w:tcMar>
            <w:hideMark/>
          </w:tcPr>
          <w:p w14:paraId="0C27A0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Common stock options exercised</w:t>
            </w:r>
          </w:p>
        </w:tc>
        <w:tc>
          <w:tcPr>
            <w:tcW w:w="311" w:type="dxa"/>
            <w:shd w:val="clear" w:color="auto" w:fill="FFFFFF"/>
            <w:tcMar>
              <w:top w:w="15" w:type="dxa"/>
              <w:left w:w="0" w:type="dxa"/>
              <w:bottom w:w="0" w:type="dxa"/>
              <w:right w:w="15" w:type="dxa"/>
            </w:tcMar>
            <w:vAlign w:val="bottom"/>
            <w:hideMark/>
          </w:tcPr>
          <w:p w14:paraId="674972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7AE7C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4BE70A2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w:t>
            </w:r>
          </w:p>
        </w:tc>
        <w:tc>
          <w:tcPr>
            <w:tcW w:w="191" w:type="dxa"/>
            <w:shd w:val="clear" w:color="auto" w:fill="FFFFFF"/>
            <w:noWrap/>
            <w:tcMar>
              <w:top w:w="15" w:type="dxa"/>
              <w:left w:w="0" w:type="dxa"/>
              <w:bottom w:w="0" w:type="dxa"/>
              <w:right w:w="15" w:type="dxa"/>
            </w:tcMar>
            <w:vAlign w:val="bottom"/>
            <w:hideMark/>
          </w:tcPr>
          <w:p w14:paraId="797E58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7F0BC1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1018A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33365FC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w:t>
            </w:r>
          </w:p>
        </w:tc>
        <w:tc>
          <w:tcPr>
            <w:tcW w:w="191" w:type="dxa"/>
            <w:shd w:val="clear" w:color="auto" w:fill="FFFFFF"/>
            <w:noWrap/>
            <w:tcMar>
              <w:top w:w="15" w:type="dxa"/>
              <w:left w:w="0" w:type="dxa"/>
              <w:bottom w:w="0" w:type="dxa"/>
              <w:right w:w="15" w:type="dxa"/>
            </w:tcMar>
            <w:vAlign w:val="bottom"/>
            <w:hideMark/>
          </w:tcPr>
          <w:p w14:paraId="4805C4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054A6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A8518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shd w:val="clear" w:color="auto" w:fill="FFFFFF"/>
            <w:noWrap/>
            <w:tcMar>
              <w:top w:w="15" w:type="dxa"/>
              <w:left w:w="0" w:type="dxa"/>
              <w:bottom w:w="0" w:type="dxa"/>
              <w:right w:w="15" w:type="dxa"/>
            </w:tcMar>
            <w:vAlign w:val="bottom"/>
            <w:hideMark/>
          </w:tcPr>
          <w:p w14:paraId="0F0EA9F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8.2</w:t>
            </w:r>
          </w:p>
        </w:tc>
        <w:tc>
          <w:tcPr>
            <w:tcW w:w="192" w:type="dxa"/>
            <w:shd w:val="clear" w:color="auto" w:fill="FFFFFF"/>
            <w:noWrap/>
            <w:tcMar>
              <w:top w:w="15" w:type="dxa"/>
              <w:left w:w="0" w:type="dxa"/>
              <w:bottom w:w="0" w:type="dxa"/>
              <w:right w:w="15" w:type="dxa"/>
            </w:tcMar>
            <w:vAlign w:val="bottom"/>
            <w:hideMark/>
          </w:tcPr>
          <w:p w14:paraId="409A20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D24BEED" w14:textId="77777777" w:rsidTr="00AC4931">
        <w:tc>
          <w:tcPr>
            <w:tcW w:w="13485" w:type="dxa"/>
            <w:shd w:val="clear" w:color="auto" w:fill="CFF0FC"/>
            <w:tcMar>
              <w:top w:w="15" w:type="dxa"/>
              <w:left w:w="0" w:type="dxa"/>
              <w:bottom w:w="0" w:type="dxa"/>
              <w:right w:w="15" w:type="dxa"/>
            </w:tcMar>
            <w:hideMark/>
          </w:tcPr>
          <w:p w14:paraId="16A140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Capital contribution to Veoneer</w:t>
            </w:r>
          </w:p>
        </w:tc>
        <w:tc>
          <w:tcPr>
            <w:tcW w:w="311" w:type="dxa"/>
            <w:shd w:val="clear" w:color="auto" w:fill="CFF0FC"/>
            <w:tcMar>
              <w:top w:w="15" w:type="dxa"/>
              <w:left w:w="0" w:type="dxa"/>
              <w:bottom w:w="0" w:type="dxa"/>
              <w:right w:w="15" w:type="dxa"/>
            </w:tcMar>
            <w:vAlign w:val="bottom"/>
            <w:hideMark/>
          </w:tcPr>
          <w:p w14:paraId="433577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54777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51B6A12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665112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4F5221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CE63C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47A58AC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34CAD9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650032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3AB85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7634055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(971.8</w:t>
            </w:r>
          </w:p>
        </w:tc>
        <w:tc>
          <w:tcPr>
            <w:tcW w:w="192" w:type="dxa"/>
            <w:shd w:val="clear" w:color="auto" w:fill="CFF0FC"/>
            <w:noWrap/>
            <w:tcMar>
              <w:top w:w="15" w:type="dxa"/>
              <w:left w:w="0" w:type="dxa"/>
              <w:bottom w:w="0" w:type="dxa"/>
              <w:right w:w="15" w:type="dxa"/>
            </w:tcMar>
            <w:vAlign w:val="bottom"/>
            <w:hideMark/>
          </w:tcPr>
          <w:p w14:paraId="44BD4C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5182213" w14:textId="77777777" w:rsidTr="00AC4931">
        <w:tc>
          <w:tcPr>
            <w:tcW w:w="13485" w:type="dxa"/>
            <w:shd w:val="clear" w:color="auto" w:fill="FFFFFF"/>
            <w:tcMar>
              <w:top w:w="15" w:type="dxa"/>
              <w:left w:w="0" w:type="dxa"/>
              <w:bottom w:w="0" w:type="dxa"/>
              <w:right w:w="15" w:type="dxa"/>
            </w:tcMar>
            <w:hideMark/>
          </w:tcPr>
          <w:p w14:paraId="75BD503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cash provided by (used in) financing activities</w:t>
            </w:r>
          </w:p>
        </w:tc>
        <w:tc>
          <w:tcPr>
            <w:tcW w:w="311" w:type="dxa"/>
            <w:shd w:val="clear" w:color="auto" w:fill="FFFFFF"/>
            <w:tcMar>
              <w:top w:w="15" w:type="dxa"/>
              <w:left w:w="0" w:type="dxa"/>
              <w:bottom w:w="0" w:type="dxa"/>
              <w:right w:w="15" w:type="dxa"/>
            </w:tcMar>
            <w:vAlign w:val="bottom"/>
            <w:hideMark/>
          </w:tcPr>
          <w:p w14:paraId="7ABBC1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10096B2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546029E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160.1</w:t>
            </w:r>
          </w:p>
        </w:tc>
        <w:tc>
          <w:tcPr>
            <w:tcW w:w="191" w:type="dxa"/>
            <w:shd w:val="clear" w:color="auto" w:fill="FFFFFF"/>
            <w:noWrap/>
            <w:tcMar>
              <w:top w:w="15" w:type="dxa"/>
              <w:left w:w="0" w:type="dxa"/>
              <w:bottom w:w="0" w:type="dxa"/>
              <w:right w:w="15" w:type="dxa"/>
            </w:tcMar>
            <w:vAlign w:val="bottom"/>
            <w:hideMark/>
          </w:tcPr>
          <w:p w14:paraId="08347D5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60B9B7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4FD089A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0E3CE39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(338.1</w:t>
            </w:r>
          </w:p>
        </w:tc>
        <w:tc>
          <w:tcPr>
            <w:tcW w:w="191" w:type="dxa"/>
            <w:shd w:val="clear" w:color="auto" w:fill="FFFFFF"/>
            <w:noWrap/>
            <w:tcMar>
              <w:top w:w="15" w:type="dxa"/>
              <w:left w:w="0" w:type="dxa"/>
              <w:bottom w:w="0" w:type="dxa"/>
              <w:right w:w="15" w:type="dxa"/>
            </w:tcMar>
            <w:vAlign w:val="bottom"/>
            <w:hideMark/>
          </w:tcPr>
          <w:p w14:paraId="50F40C9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3D93FC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15A3A6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2D7E7CD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(245.0</w:t>
            </w:r>
          </w:p>
        </w:tc>
        <w:tc>
          <w:tcPr>
            <w:tcW w:w="192" w:type="dxa"/>
            <w:shd w:val="clear" w:color="auto" w:fill="FFFFFF"/>
            <w:noWrap/>
            <w:tcMar>
              <w:top w:w="15" w:type="dxa"/>
              <w:left w:w="0" w:type="dxa"/>
              <w:bottom w:w="0" w:type="dxa"/>
              <w:right w:w="15" w:type="dxa"/>
            </w:tcMar>
            <w:vAlign w:val="bottom"/>
            <w:hideMark/>
          </w:tcPr>
          <w:p w14:paraId="6889448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74CBB6D0" w14:textId="77777777" w:rsidTr="00AC4931">
        <w:tc>
          <w:tcPr>
            <w:tcW w:w="13485" w:type="dxa"/>
            <w:shd w:val="clear" w:color="auto" w:fill="CFF0FC"/>
            <w:tcMar>
              <w:top w:w="15" w:type="dxa"/>
              <w:left w:w="0" w:type="dxa"/>
              <w:bottom w:w="0" w:type="dxa"/>
              <w:right w:w="15" w:type="dxa"/>
            </w:tcMar>
            <w:hideMark/>
          </w:tcPr>
          <w:p w14:paraId="39E023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Effect of exchange rate changes on cash and cash equivalents</w:t>
            </w:r>
          </w:p>
        </w:tc>
        <w:tc>
          <w:tcPr>
            <w:tcW w:w="311" w:type="dxa"/>
            <w:shd w:val="clear" w:color="auto" w:fill="CFF0FC"/>
            <w:tcMar>
              <w:top w:w="15" w:type="dxa"/>
              <w:left w:w="0" w:type="dxa"/>
              <w:bottom w:w="0" w:type="dxa"/>
              <w:right w:w="15" w:type="dxa"/>
            </w:tcMar>
            <w:vAlign w:val="bottom"/>
            <w:hideMark/>
          </w:tcPr>
          <w:p w14:paraId="66D0BE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12FEE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56CB740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64.1</w:t>
            </w:r>
          </w:p>
        </w:tc>
        <w:tc>
          <w:tcPr>
            <w:tcW w:w="191" w:type="dxa"/>
            <w:shd w:val="clear" w:color="auto" w:fill="CFF0FC"/>
            <w:noWrap/>
            <w:tcMar>
              <w:top w:w="15" w:type="dxa"/>
              <w:left w:w="0" w:type="dxa"/>
              <w:bottom w:w="0" w:type="dxa"/>
              <w:right w:w="15" w:type="dxa"/>
            </w:tcMar>
            <w:vAlign w:val="bottom"/>
            <w:hideMark/>
          </w:tcPr>
          <w:p w14:paraId="563044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14C005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59203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6D9C518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w:t>
            </w:r>
          </w:p>
        </w:tc>
        <w:tc>
          <w:tcPr>
            <w:tcW w:w="191" w:type="dxa"/>
            <w:shd w:val="clear" w:color="auto" w:fill="CFF0FC"/>
            <w:noWrap/>
            <w:tcMar>
              <w:top w:w="15" w:type="dxa"/>
              <w:left w:w="0" w:type="dxa"/>
              <w:bottom w:w="0" w:type="dxa"/>
              <w:right w:w="15" w:type="dxa"/>
            </w:tcMar>
            <w:vAlign w:val="bottom"/>
            <w:hideMark/>
          </w:tcPr>
          <w:p w14:paraId="20EFE1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DAC21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F9213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61F64CF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(61.6</w:t>
            </w:r>
          </w:p>
        </w:tc>
        <w:tc>
          <w:tcPr>
            <w:tcW w:w="192" w:type="dxa"/>
            <w:shd w:val="clear" w:color="auto" w:fill="CFF0FC"/>
            <w:noWrap/>
            <w:tcMar>
              <w:top w:w="15" w:type="dxa"/>
              <w:left w:w="0" w:type="dxa"/>
              <w:bottom w:w="0" w:type="dxa"/>
              <w:right w:w="15" w:type="dxa"/>
            </w:tcMar>
            <w:vAlign w:val="bottom"/>
            <w:hideMark/>
          </w:tcPr>
          <w:p w14:paraId="40F43C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80B4FEB" w14:textId="77777777" w:rsidTr="00AC4931">
        <w:tc>
          <w:tcPr>
            <w:tcW w:w="13485" w:type="dxa"/>
            <w:shd w:val="clear" w:color="auto" w:fill="FFFFFF"/>
            <w:tcMar>
              <w:top w:w="15" w:type="dxa"/>
              <w:left w:w="0" w:type="dxa"/>
              <w:bottom w:w="0" w:type="dxa"/>
              <w:right w:w="15" w:type="dxa"/>
            </w:tcMar>
            <w:hideMark/>
          </w:tcPr>
          <w:p w14:paraId="46314FA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Increase (decrease) in cash and cash equivalents</w:t>
            </w:r>
          </w:p>
        </w:tc>
        <w:tc>
          <w:tcPr>
            <w:tcW w:w="311" w:type="dxa"/>
            <w:shd w:val="clear" w:color="auto" w:fill="FFFFFF"/>
            <w:tcMar>
              <w:top w:w="15" w:type="dxa"/>
              <w:left w:w="0" w:type="dxa"/>
              <w:bottom w:w="0" w:type="dxa"/>
              <w:right w:w="15" w:type="dxa"/>
            </w:tcMar>
            <w:vAlign w:val="bottom"/>
            <w:hideMark/>
          </w:tcPr>
          <w:p w14:paraId="6CCACB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AF998D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146A606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733.5</w:t>
            </w:r>
          </w:p>
        </w:tc>
        <w:tc>
          <w:tcPr>
            <w:tcW w:w="191" w:type="dxa"/>
            <w:shd w:val="clear" w:color="auto" w:fill="FFFFFF"/>
            <w:noWrap/>
            <w:tcMar>
              <w:top w:w="15" w:type="dxa"/>
              <w:left w:w="0" w:type="dxa"/>
              <w:bottom w:w="0" w:type="dxa"/>
              <w:right w:w="15" w:type="dxa"/>
            </w:tcMar>
            <w:vAlign w:val="bottom"/>
            <w:hideMark/>
          </w:tcPr>
          <w:p w14:paraId="50003A0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33BE57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832EEC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4500427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(171.1</w:t>
            </w:r>
          </w:p>
        </w:tc>
        <w:tc>
          <w:tcPr>
            <w:tcW w:w="191" w:type="dxa"/>
            <w:shd w:val="clear" w:color="auto" w:fill="FFFFFF"/>
            <w:noWrap/>
            <w:tcMar>
              <w:top w:w="15" w:type="dxa"/>
              <w:left w:w="0" w:type="dxa"/>
              <w:bottom w:w="0" w:type="dxa"/>
              <w:right w:w="15" w:type="dxa"/>
            </w:tcMar>
            <w:vAlign w:val="bottom"/>
            <w:hideMark/>
          </w:tcPr>
          <w:p w14:paraId="3602526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311" w:type="dxa"/>
            <w:shd w:val="clear" w:color="auto" w:fill="FFFFFF"/>
            <w:tcMar>
              <w:top w:w="15" w:type="dxa"/>
              <w:left w:w="0" w:type="dxa"/>
              <w:bottom w:w="0" w:type="dxa"/>
              <w:right w:w="15" w:type="dxa"/>
            </w:tcMar>
            <w:vAlign w:val="bottom"/>
            <w:hideMark/>
          </w:tcPr>
          <w:p w14:paraId="121F1E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4EEF028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42401E5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(343.7</w:t>
            </w:r>
          </w:p>
        </w:tc>
        <w:tc>
          <w:tcPr>
            <w:tcW w:w="192" w:type="dxa"/>
            <w:shd w:val="clear" w:color="auto" w:fill="FFFFFF"/>
            <w:noWrap/>
            <w:tcMar>
              <w:top w:w="15" w:type="dxa"/>
              <w:left w:w="0" w:type="dxa"/>
              <w:bottom w:w="0" w:type="dxa"/>
              <w:right w:w="15" w:type="dxa"/>
            </w:tcMar>
            <w:vAlign w:val="bottom"/>
            <w:hideMark/>
          </w:tcPr>
          <w:p w14:paraId="30D9367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348C543B" w14:textId="77777777" w:rsidTr="00AC4931">
        <w:tc>
          <w:tcPr>
            <w:tcW w:w="13485" w:type="dxa"/>
            <w:shd w:val="clear" w:color="auto" w:fill="CFF0FC"/>
            <w:tcMar>
              <w:top w:w="15" w:type="dxa"/>
              <w:left w:w="0" w:type="dxa"/>
              <w:bottom w:w="0" w:type="dxa"/>
              <w:right w:w="15" w:type="dxa"/>
            </w:tcMar>
            <w:hideMark/>
          </w:tcPr>
          <w:p w14:paraId="0505B8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Cash and cash equivalents at beginning of year</w:t>
            </w:r>
          </w:p>
        </w:tc>
        <w:tc>
          <w:tcPr>
            <w:tcW w:w="311" w:type="dxa"/>
            <w:shd w:val="clear" w:color="auto" w:fill="CFF0FC"/>
            <w:tcMar>
              <w:top w:w="15" w:type="dxa"/>
              <w:left w:w="0" w:type="dxa"/>
              <w:bottom w:w="0" w:type="dxa"/>
              <w:right w:w="15" w:type="dxa"/>
            </w:tcMar>
            <w:vAlign w:val="bottom"/>
            <w:hideMark/>
          </w:tcPr>
          <w:p w14:paraId="477C11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DC5B4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24B0706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444.7</w:t>
            </w:r>
          </w:p>
        </w:tc>
        <w:tc>
          <w:tcPr>
            <w:tcW w:w="191" w:type="dxa"/>
            <w:shd w:val="clear" w:color="auto" w:fill="CFF0FC"/>
            <w:noWrap/>
            <w:tcMar>
              <w:top w:w="15" w:type="dxa"/>
              <w:left w:w="0" w:type="dxa"/>
              <w:bottom w:w="0" w:type="dxa"/>
              <w:right w:w="15" w:type="dxa"/>
            </w:tcMar>
            <w:vAlign w:val="bottom"/>
            <w:hideMark/>
          </w:tcPr>
          <w:p w14:paraId="1FD575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5AFD94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D4022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3085D94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615.8</w:t>
            </w:r>
          </w:p>
        </w:tc>
        <w:tc>
          <w:tcPr>
            <w:tcW w:w="191" w:type="dxa"/>
            <w:shd w:val="clear" w:color="auto" w:fill="CFF0FC"/>
            <w:noWrap/>
            <w:tcMar>
              <w:top w:w="15" w:type="dxa"/>
              <w:left w:w="0" w:type="dxa"/>
              <w:bottom w:w="0" w:type="dxa"/>
              <w:right w:w="15" w:type="dxa"/>
            </w:tcMar>
            <w:vAlign w:val="bottom"/>
            <w:hideMark/>
          </w:tcPr>
          <w:p w14:paraId="19ECD7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311" w:type="dxa"/>
            <w:shd w:val="clear" w:color="auto" w:fill="CFF0FC"/>
            <w:tcMar>
              <w:top w:w="15" w:type="dxa"/>
              <w:left w:w="0" w:type="dxa"/>
              <w:bottom w:w="0" w:type="dxa"/>
              <w:right w:w="15" w:type="dxa"/>
            </w:tcMar>
            <w:vAlign w:val="bottom"/>
            <w:hideMark/>
          </w:tcPr>
          <w:p w14:paraId="2E2376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1807F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8" w:type="dxa"/>
            <w:tcBorders>
              <w:bottom w:val="single" w:sz="6" w:space="0" w:color="000000"/>
            </w:tcBorders>
            <w:shd w:val="clear" w:color="auto" w:fill="CFF0FC"/>
            <w:noWrap/>
            <w:tcMar>
              <w:top w:w="15" w:type="dxa"/>
              <w:left w:w="0" w:type="dxa"/>
              <w:bottom w:w="0" w:type="dxa"/>
              <w:right w:w="15" w:type="dxa"/>
            </w:tcMar>
            <w:vAlign w:val="bottom"/>
            <w:hideMark/>
          </w:tcPr>
          <w:p w14:paraId="599B3CA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959.5</w:t>
            </w:r>
          </w:p>
        </w:tc>
        <w:tc>
          <w:tcPr>
            <w:tcW w:w="192" w:type="dxa"/>
            <w:shd w:val="clear" w:color="auto" w:fill="CFF0FC"/>
            <w:noWrap/>
            <w:tcMar>
              <w:top w:w="15" w:type="dxa"/>
              <w:left w:w="0" w:type="dxa"/>
              <w:bottom w:w="0" w:type="dxa"/>
              <w:right w:w="15" w:type="dxa"/>
            </w:tcMar>
            <w:vAlign w:val="bottom"/>
            <w:hideMark/>
          </w:tcPr>
          <w:p w14:paraId="3371EC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E86D252" w14:textId="77777777" w:rsidTr="00AC4931">
        <w:tc>
          <w:tcPr>
            <w:tcW w:w="13485" w:type="dxa"/>
            <w:shd w:val="clear" w:color="auto" w:fill="FFFFFF"/>
            <w:tcMar>
              <w:top w:w="15" w:type="dxa"/>
              <w:left w:w="0" w:type="dxa"/>
              <w:bottom w:w="0" w:type="dxa"/>
              <w:right w:w="15" w:type="dxa"/>
            </w:tcMar>
            <w:hideMark/>
          </w:tcPr>
          <w:p w14:paraId="06883D1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Cash and cash equivalents at end of year</w:t>
            </w:r>
          </w:p>
        </w:tc>
        <w:tc>
          <w:tcPr>
            <w:tcW w:w="311" w:type="dxa"/>
            <w:shd w:val="clear" w:color="auto" w:fill="FFFFFF"/>
            <w:tcMar>
              <w:top w:w="15" w:type="dxa"/>
              <w:left w:w="0" w:type="dxa"/>
              <w:bottom w:w="0" w:type="dxa"/>
              <w:right w:w="15" w:type="dxa"/>
            </w:tcMar>
            <w:vAlign w:val="bottom"/>
            <w:hideMark/>
          </w:tcPr>
          <w:p w14:paraId="339B82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FF0137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68278B0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1,178.2</w:t>
            </w:r>
          </w:p>
        </w:tc>
        <w:tc>
          <w:tcPr>
            <w:tcW w:w="191" w:type="dxa"/>
            <w:shd w:val="clear" w:color="auto" w:fill="FFFFFF"/>
            <w:noWrap/>
            <w:tcMar>
              <w:top w:w="15" w:type="dxa"/>
              <w:left w:w="0" w:type="dxa"/>
              <w:bottom w:w="0" w:type="dxa"/>
              <w:right w:w="15" w:type="dxa"/>
            </w:tcMar>
            <w:vAlign w:val="bottom"/>
            <w:hideMark/>
          </w:tcPr>
          <w:p w14:paraId="500E753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55B3DD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0352C2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42EB662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444.7</w:t>
            </w:r>
          </w:p>
        </w:tc>
        <w:tc>
          <w:tcPr>
            <w:tcW w:w="191" w:type="dxa"/>
            <w:shd w:val="clear" w:color="auto" w:fill="FFFFFF"/>
            <w:noWrap/>
            <w:tcMar>
              <w:top w:w="15" w:type="dxa"/>
              <w:left w:w="0" w:type="dxa"/>
              <w:bottom w:w="0" w:type="dxa"/>
              <w:right w:w="15" w:type="dxa"/>
            </w:tcMar>
            <w:vAlign w:val="bottom"/>
            <w:hideMark/>
          </w:tcPr>
          <w:p w14:paraId="5BBAB06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311" w:type="dxa"/>
            <w:shd w:val="clear" w:color="auto" w:fill="FFFFFF"/>
            <w:tcMar>
              <w:top w:w="15" w:type="dxa"/>
              <w:left w:w="0" w:type="dxa"/>
              <w:bottom w:w="0" w:type="dxa"/>
              <w:right w:w="15" w:type="dxa"/>
            </w:tcMar>
            <w:vAlign w:val="bottom"/>
            <w:hideMark/>
          </w:tcPr>
          <w:p w14:paraId="240EF9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D7EBF2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18" w:type="dxa"/>
            <w:tcBorders>
              <w:top w:val="single" w:sz="6" w:space="0" w:color="000000"/>
            </w:tcBorders>
            <w:shd w:val="clear" w:color="auto" w:fill="FFFFFF"/>
            <w:noWrap/>
            <w:tcMar>
              <w:top w:w="15" w:type="dxa"/>
              <w:left w:w="0" w:type="dxa"/>
              <w:bottom w:w="0" w:type="dxa"/>
              <w:right w:w="15" w:type="dxa"/>
            </w:tcMar>
            <w:vAlign w:val="bottom"/>
            <w:hideMark/>
          </w:tcPr>
          <w:p w14:paraId="3279617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615.8</w:t>
            </w:r>
          </w:p>
        </w:tc>
        <w:tc>
          <w:tcPr>
            <w:tcW w:w="192" w:type="dxa"/>
            <w:shd w:val="clear" w:color="auto" w:fill="FFFFFF"/>
            <w:noWrap/>
            <w:tcMar>
              <w:top w:w="15" w:type="dxa"/>
              <w:left w:w="0" w:type="dxa"/>
              <w:bottom w:w="0" w:type="dxa"/>
              <w:right w:w="15" w:type="dxa"/>
            </w:tcMar>
            <w:vAlign w:val="bottom"/>
            <w:hideMark/>
          </w:tcPr>
          <w:p w14:paraId="759CE194"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353F4877"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p w14:paraId="57CBCB4E"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See No</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es</w:t>
      </w:r>
      <w:r w:rsidRPr="00AC4931">
        <w:rPr>
          <w:rFonts w:ascii="Arial" w:eastAsia="宋体" w:hAnsi="Arial" w:cs="Arial"/>
          <w:color w:val="000000"/>
          <w:spacing w:val="-4"/>
          <w:kern w:val="0"/>
          <w:sz w:val="18"/>
          <w:szCs w:val="18"/>
        </w:rPr>
        <w:t> </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o</w:t>
      </w:r>
      <w:r w:rsidRPr="00AC4931">
        <w:rPr>
          <w:rFonts w:ascii="Arial" w:eastAsia="宋体" w:hAnsi="Arial" w:cs="Arial"/>
          <w:color w:val="000000"/>
          <w:spacing w:val="-2"/>
          <w:kern w:val="0"/>
          <w:sz w:val="18"/>
          <w:szCs w:val="18"/>
        </w:rPr>
        <w:t> the </w:t>
      </w:r>
      <w:r w:rsidRPr="00AC4931">
        <w:rPr>
          <w:rFonts w:ascii="Arial" w:eastAsia="宋体" w:hAnsi="Arial" w:cs="Arial"/>
          <w:color w:val="000000"/>
          <w:kern w:val="0"/>
          <w:sz w:val="18"/>
          <w:szCs w:val="18"/>
        </w:rPr>
        <w:t>Consolida</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ed</w:t>
      </w:r>
      <w:r w:rsidRPr="00AC4931">
        <w:rPr>
          <w:rFonts w:ascii="Arial" w:eastAsia="宋体" w:hAnsi="Arial" w:cs="Arial"/>
          <w:color w:val="000000"/>
          <w:spacing w:val="1"/>
          <w:kern w:val="0"/>
          <w:sz w:val="18"/>
          <w:szCs w:val="18"/>
        </w:rPr>
        <w:t> </w:t>
      </w:r>
      <w:r w:rsidRPr="00AC4931">
        <w:rPr>
          <w:rFonts w:ascii="Arial" w:eastAsia="宋体" w:hAnsi="Arial" w:cs="Arial"/>
          <w:color w:val="000000"/>
          <w:kern w:val="0"/>
          <w:sz w:val="18"/>
          <w:szCs w:val="18"/>
        </w:rPr>
        <w:t>Financial</w:t>
      </w:r>
      <w:r w:rsidRPr="00AC4931">
        <w:rPr>
          <w:rFonts w:ascii="Arial" w:eastAsia="宋体" w:hAnsi="Arial" w:cs="Arial"/>
          <w:color w:val="000000"/>
          <w:spacing w:val="-3"/>
          <w:kern w:val="0"/>
          <w:sz w:val="18"/>
          <w:szCs w:val="18"/>
        </w:rPr>
        <w:t> </w:t>
      </w:r>
      <w:r w:rsidRPr="00AC4931">
        <w:rPr>
          <w:rFonts w:ascii="Arial" w:eastAsia="宋体" w:hAnsi="Arial" w:cs="Arial"/>
          <w:color w:val="000000"/>
          <w:kern w:val="0"/>
          <w:sz w:val="18"/>
          <w:szCs w:val="18"/>
        </w:rPr>
        <w:t>S</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a</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emen</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s.</w:t>
      </w:r>
    </w:p>
    <w:p w14:paraId="40435384"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57</w:t>
      </w:r>
    </w:p>
    <w:p w14:paraId="71E7C32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3374F1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BE30D8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lastRenderedPageBreak/>
        <w:t> </w:t>
      </w:r>
    </w:p>
    <w:p w14:paraId="308B203B"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08E268EE">
          <v:rect id="_x0000_i1084" style="width:0;height:1.5pt" o:hralign="center" o:hrstd="t" o:hrnoshade="t" o:hr="t" fillcolor="black" stroked="f"/>
        </w:pict>
      </w:r>
    </w:p>
    <w:p w14:paraId="64603AA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AB6A328"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B9E1FDB"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C38E4BB" w14:textId="77777777" w:rsidR="00AC4931" w:rsidRPr="00AC4931" w:rsidRDefault="00AC4931" w:rsidP="00AC4931">
      <w:pPr>
        <w:widowControl/>
        <w:rPr>
          <w:rFonts w:ascii="Arial" w:eastAsia="宋体" w:hAnsi="Arial" w:cs="Arial" w:hint="eastAsia"/>
          <w:b/>
          <w:bCs/>
          <w:color w:val="000000"/>
          <w:kern w:val="0"/>
          <w:sz w:val="22"/>
        </w:rPr>
      </w:pPr>
      <w:r w:rsidRPr="00AC4931">
        <w:rPr>
          <w:rFonts w:ascii="Arial" w:eastAsia="宋体" w:hAnsi="Arial" w:cs="Arial"/>
          <w:b/>
          <w:bCs/>
          <w:color w:val="000000"/>
          <w:kern w:val="0"/>
          <w:sz w:val="22"/>
        </w:rPr>
        <w:t>Consolidated Statements of Total Equity</w:t>
      </w:r>
    </w:p>
    <w:p w14:paraId="5DABC168" w14:textId="77777777" w:rsidR="00AC4931" w:rsidRPr="00AC4931" w:rsidRDefault="00AC4931" w:rsidP="00AC4931">
      <w:pPr>
        <w:widowControl/>
        <w:jc w:val="left"/>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5866"/>
        <w:gridCol w:w="202"/>
        <w:gridCol w:w="202"/>
        <w:gridCol w:w="957"/>
        <w:gridCol w:w="202"/>
        <w:gridCol w:w="202"/>
        <w:gridCol w:w="202"/>
        <w:gridCol w:w="957"/>
        <w:gridCol w:w="203"/>
        <w:gridCol w:w="203"/>
        <w:gridCol w:w="203"/>
        <w:gridCol w:w="958"/>
        <w:gridCol w:w="203"/>
        <w:gridCol w:w="203"/>
        <w:gridCol w:w="203"/>
        <w:gridCol w:w="958"/>
        <w:gridCol w:w="203"/>
        <w:gridCol w:w="203"/>
        <w:gridCol w:w="203"/>
        <w:gridCol w:w="1218"/>
        <w:gridCol w:w="203"/>
        <w:gridCol w:w="203"/>
        <w:gridCol w:w="203"/>
        <w:gridCol w:w="1088"/>
        <w:gridCol w:w="203"/>
        <w:gridCol w:w="203"/>
        <w:gridCol w:w="203"/>
        <w:gridCol w:w="1218"/>
        <w:gridCol w:w="203"/>
        <w:gridCol w:w="203"/>
        <w:gridCol w:w="203"/>
        <w:gridCol w:w="958"/>
        <w:gridCol w:w="203"/>
        <w:gridCol w:w="203"/>
        <w:gridCol w:w="203"/>
        <w:gridCol w:w="958"/>
        <w:gridCol w:w="205"/>
      </w:tblGrid>
      <w:tr w:rsidR="00AC4931" w:rsidRPr="00AC4931" w14:paraId="3C23A644" w14:textId="77777777" w:rsidTr="00AC4931">
        <w:tc>
          <w:tcPr>
            <w:tcW w:w="5791" w:type="dxa"/>
            <w:shd w:val="clear" w:color="auto" w:fill="FFFFFF"/>
            <w:tcMar>
              <w:top w:w="15" w:type="dxa"/>
              <w:left w:w="0" w:type="dxa"/>
              <w:bottom w:w="0" w:type="dxa"/>
              <w:right w:w="15" w:type="dxa"/>
            </w:tcMar>
            <w:vAlign w:val="bottom"/>
            <w:hideMark/>
          </w:tcPr>
          <w:p w14:paraId="2127AD24" w14:textId="77777777" w:rsidR="00AC4931" w:rsidRPr="00AC4931" w:rsidRDefault="00AC4931" w:rsidP="00AC4931">
            <w:pPr>
              <w:widowControl/>
              <w:jc w:val="left"/>
              <w:rPr>
                <w:rFonts w:ascii="Calibri" w:eastAsia="宋体" w:hAnsi="Calibri" w:cs="Calibri" w:hint="eastAsia"/>
                <w:kern w:val="0"/>
                <w:sz w:val="14"/>
                <w:szCs w:val="14"/>
              </w:rPr>
            </w:pPr>
            <w:r w:rsidRPr="00AC4931">
              <w:rPr>
                <w:rFonts w:ascii="Calibri" w:eastAsia="宋体" w:hAnsi="Calibri" w:cs="Calibri"/>
                <w:kern w:val="0"/>
                <w:sz w:val="14"/>
                <w:szCs w:val="14"/>
              </w:rPr>
              <w:t> </w:t>
            </w:r>
          </w:p>
        </w:tc>
        <w:tc>
          <w:tcPr>
            <w:tcW w:w="200" w:type="dxa"/>
            <w:shd w:val="clear" w:color="auto" w:fill="FFFFFF"/>
            <w:tcMar>
              <w:top w:w="15" w:type="dxa"/>
              <w:left w:w="0" w:type="dxa"/>
              <w:bottom w:w="0" w:type="dxa"/>
              <w:right w:w="15" w:type="dxa"/>
            </w:tcMar>
            <w:vAlign w:val="bottom"/>
            <w:hideMark/>
          </w:tcPr>
          <w:p w14:paraId="0A2A094F"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09B3DD44"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931" w:type="dxa"/>
            <w:shd w:val="clear" w:color="auto" w:fill="FFFFFF"/>
            <w:noWrap/>
            <w:tcMar>
              <w:top w:w="15" w:type="dxa"/>
              <w:left w:w="0" w:type="dxa"/>
              <w:bottom w:w="0" w:type="dxa"/>
              <w:right w:w="15" w:type="dxa"/>
            </w:tcMar>
            <w:vAlign w:val="bottom"/>
            <w:hideMark/>
          </w:tcPr>
          <w:p w14:paraId="543C2AB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233F33A7"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4AAD5599"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76B9B6CE"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931" w:type="dxa"/>
            <w:shd w:val="clear" w:color="auto" w:fill="FFFFFF"/>
            <w:noWrap/>
            <w:tcMar>
              <w:top w:w="15" w:type="dxa"/>
              <w:left w:w="0" w:type="dxa"/>
              <w:bottom w:w="0" w:type="dxa"/>
              <w:right w:w="15" w:type="dxa"/>
            </w:tcMar>
            <w:vAlign w:val="bottom"/>
            <w:hideMark/>
          </w:tcPr>
          <w:p w14:paraId="4DA6F013"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1854F0D5"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0DA7CC63"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79589D7F"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931" w:type="dxa"/>
            <w:shd w:val="clear" w:color="auto" w:fill="FFFFFF"/>
            <w:noWrap/>
            <w:tcMar>
              <w:top w:w="15" w:type="dxa"/>
              <w:left w:w="0" w:type="dxa"/>
              <w:bottom w:w="0" w:type="dxa"/>
              <w:right w:w="15" w:type="dxa"/>
            </w:tcMar>
            <w:vAlign w:val="bottom"/>
            <w:hideMark/>
          </w:tcPr>
          <w:p w14:paraId="579EFF6E"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09BA0731"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40B28950"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1C4AA9D7"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931" w:type="dxa"/>
            <w:shd w:val="clear" w:color="auto" w:fill="FFFFFF"/>
            <w:noWrap/>
            <w:tcMar>
              <w:top w:w="15" w:type="dxa"/>
              <w:left w:w="0" w:type="dxa"/>
              <w:bottom w:w="0" w:type="dxa"/>
              <w:right w:w="15" w:type="dxa"/>
            </w:tcMar>
            <w:vAlign w:val="bottom"/>
            <w:hideMark/>
          </w:tcPr>
          <w:p w14:paraId="77626688"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15046FE9"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664604E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394" w:type="dxa"/>
            <w:gridSpan w:val="2"/>
            <w:shd w:val="clear" w:color="auto" w:fill="FFFFFF"/>
            <w:tcMar>
              <w:top w:w="15" w:type="dxa"/>
              <w:left w:w="0" w:type="dxa"/>
              <w:bottom w:w="0" w:type="dxa"/>
              <w:right w:w="15" w:type="dxa"/>
            </w:tcMar>
            <w:vAlign w:val="bottom"/>
            <w:hideMark/>
          </w:tcPr>
          <w:p w14:paraId="2736E1C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Accumulated</w:t>
            </w:r>
          </w:p>
        </w:tc>
        <w:tc>
          <w:tcPr>
            <w:tcW w:w="192" w:type="dxa"/>
            <w:shd w:val="clear" w:color="auto" w:fill="FFFFFF"/>
            <w:noWrap/>
            <w:tcMar>
              <w:top w:w="15" w:type="dxa"/>
              <w:left w:w="0" w:type="dxa"/>
              <w:bottom w:w="0" w:type="dxa"/>
              <w:right w:w="15" w:type="dxa"/>
            </w:tcMar>
            <w:vAlign w:val="bottom"/>
            <w:hideMark/>
          </w:tcPr>
          <w:p w14:paraId="7F80F458"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112ADEBD"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34AFBB6C"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059" w:type="dxa"/>
            <w:shd w:val="clear" w:color="auto" w:fill="FFFFFF"/>
            <w:noWrap/>
            <w:tcMar>
              <w:top w:w="15" w:type="dxa"/>
              <w:left w:w="0" w:type="dxa"/>
              <w:bottom w:w="0" w:type="dxa"/>
              <w:right w:w="15" w:type="dxa"/>
            </w:tcMar>
            <w:vAlign w:val="bottom"/>
            <w:hideMark/>
          </w:tcPr>
          <w:p w14:paraId="54B5F201"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6311ED0C"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41BFD9A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780D8B8B"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87" w:type="dxa"/>
            <w:shd w:val="clear" w:color="auto" w:fill="FFFFFF"/>
            <w:noWrap/>
            <w:tcMar>
              <w:top w:w="15" w:type="dxa"/>
              <w:left w:w="0" w:type="dxa"/>
              <w:bottom w:w="0" w:type="dxa"/>
              <w:right w:w="15" w:type="dxa"/>
            </w:tcMar>
            <w:vAlign w:val="bottom"/>
            <w:hideMark/>
          </w:tcPr>
          <w:p w14:paraId="3AAF5652"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738F6752"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5F7BA554"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25828120"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931" w:type="dxa"/>
            <w:shd w:val="clear" w:color="auto" w:fill="FFFFFF"/>
            <w:noWrap/>
            <w:tcMar>
              <w:top w:w="15" w:type="dxa"/>
              <w:left w:w="0" w:type="dxa"/>
              <w:bottom w:w="0" w:type="dxa"/>
              <w:right w:w="15" w:type="dxa"/>
            </w:tcMar>
            <w:vAlign w:val="bottom"/>
            <w:hideMark/>
          </w:tcPr>
          <w:p w14:paraId="1AA07AE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19978DF8"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662E1059"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10361B73"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931" w:type="dxa"/>
            <w:shd w:val="clear" w:color="auto" w:fill="FFFFFF"/>
            <w:noWrap/>
            <w:tcMar>
              <w:top w:w="15" w:type="dxa"/>
              <w:left w:w="0" w:type="dxa"/>
              <w:bottom w:w="0" w:type="dxa"/>
              <w:right w:w="15" w:type="dxa"/>
            </w:tcMar>
            <w:vAlign w:val="bottom"/>
            <w:hideMark/>
          </w:tcPr>
          <w:p w14:paraId="06C7BA9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4" w:type="dxa"/>
            <w:shd w:val="clear" w:color="auto" w:fill="FFFFFF"/>
            <w:noWrap/>
            <w:tcMar>
              <w:top w:w="15" w:type="dxa"/>
              <w:left w:w="0" w:type="dxa"/>
              <w:bottom w:w="0" w:type="dxa"/>
              <w:right w:w="15" w:type="dxa"/>
            </w:tcMar>
            <w:vAlign w:val="bottom"/>
            <w:hideMark/>
          </w:tcPr>
          <w:p w14:paraId="374DBB9F"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r>
      <w:tr w:rsidR="00AC4931" w:rsidRPr="00AC4931" w14:paraId="1A7D8487" w14:textId="77777777" w:rsidTr="00AC4931">
        <w:tc>
          <w:tcPr>
            <w:tcW w:w="5791" w:type="dxa"/>
            <w:shd w:val="clear" w:color="auto" w:fill="FFFFFF"/>
            <w:tcMar>
              <w:top w:w="15" w:type="dxa"/>
              <w:left w:w="0" w:type="dxa"/>
              <w:bottom w:w="0" w:type="dxa"/>
              <w:right w:w="15" w:type="dxa"/>
            </w:tcMar>
            <w:vAlign w:val="bottom"/>
            <w:hideMark/>
          </w:tcPr>
          <w:p w14:paraId="3EAE60EF"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42C98FAF"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499A04C4"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931" w:type="dxa"/>
            <w:shd w:val="clear" w:color="auto" w:fill="FFFFFF"/>
            <w:noWrap/>
            <w:tcMar>
              <w:top w:w="15" w:type="dxa"/>
              <w:left w:w="0" w:type="dxa"/>
              <w:bottom w:w="0" w:type="dxa"/>
              <w:right w:w="15" w:type="dxa"/>
            </w:tcMar>
            <w:vAlign w:val="bottom"/>
            <w:hideMark/>
          </w:tcPr>
          <w:p w14:paraId="34B5A507"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3788BE82"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1401473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1015AF1F"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931" w:type="dxa"/>
            <w:shd w:val="clear" w:color="auto" w:fill="FFFFFF"/>
            <w:noWrap/>
            <w:tcMar>
              <w:top w:w="15" w:type="dxa"/>
              <w:left w:w="0" w:type="dxa"/>
              <w:bottom w:w="0" w:type="dxa"/>
              <w:right w:w="15" w:type="dxa"/>
            </w:tcMar>
            <w:vAlign w:val="bottom"/>
            <w:hideMark/>
          </w:tcPr>
          <w:p w14:paraId="2AEBFD33"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3A5D4533"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27348DC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shd w:val="clear" w:color="auto" w:fill="FFFFFF"/>
            <w:tcMar>
              <w:top w:w="15" w:type="dxa"/>
              <w:left w:w="0" w:type="dxa"/>
              <w:bottom w:w="0" w:type="dxa"/>
              <w:right w:w="15" w:type="dxa"/>
            </w:tcMar>
            <w:vAlign w:val="bottom"/>
            <w:hideMark/>
          </w:tcPr>
          <w:p w14:paraId="26307D8A"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Additional</w:t>
            </w:r>
          </w:p>
        </w:tc>
        <w:tc>
          <w:tcPr>
            <w:tcW w:w="192" w:type="dxa"/>
            <w:shd w:val="clear" w:color="auto" w:fill="FFFFFF"/>
            <w:noWrap/>
            <w:tcMar>
              <w:top w:w="15" w:type="dxa"/>
              <w:left w:w="0" w:type="dxa"/>
              <w:bottom w:w="0" w:type="dxa"/>
              <w:right w:w="15" w:type="dxa"/>
            </w:tcMar>
            <w:vAlign w:val="bottom"/>
            <w:hideMark/>
          </w:tcPr>
          <w:p w14:paraId="2D4CD3FA"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776CE42D"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277A81B1"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931" w:type="dxa"/>
            <w:shd w:val="clear" w:color="auto" w:fill="FFFFFF"/>
            <w:noWrap/>
            <w:tcMar>
              <w:top w:w="15" w:type="dxa"/>
              <w:left w:w="0" w:type="dxa"/>
              <w:bottom w:w="0" w:type="dxa"/>
              <w:right w:w="15" w:type="dxa"/>
            </w:tcMar>
            <w:vAlign w:val="bottom"/>
            <w:hideMark/>
          </w:tcPr>
          <w:p w14:paraId="21CE3A2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7F9964EB"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3AC19683"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394" w:type="dxa"/>
            <w:gridSpan w:val="2"/>
            <w:shd w:val="clear" w:color="auto" w:fill="FFFFFF"/>
            <w:tcMar>
              <w:top w:w="15" w:type="dxa"/>
              <w:left w:w="0" w:type="dxa"/>
              <w:bottom w:w="0" w:type="dxa"/>
              <w:right w:w="15" w:type="dxa"/>
            </w:tcMar>
            <w:vAlign w:val="bottom"/>
            <w:hideMark/>
          </w:tcPr>
          <w:p w14:paraId="2FB8054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other com-</w:t>
            </w:r>
          </w:p>
        </w:tc>
        <w:tc>
          <w:tcPr>
            <w:tcW w:w="192" w:type="dxa"/>
            <w:shd w:val="clear" w:color="auto" w:fill="FFFFFF"/>
            <w:noWrap/>
            <w:tcMar>
              <w:top w:w="15" w:type="dxa"/>
              <w:left w:w="0" w:type="dxa"/>
              <w:bottom w:w="0" w:type="dxa"/>
              <w:right w:w="15" w:type="dxa"/>
            </w:tcMar>
            <w:vAlign w:val="bottom"/>
            <w:hideMark/>
          </w:tcPr>
          <w:p w14:paraId="41AEEE33"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6EF4F4F7"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46668AC9"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059" w:type="dxa"/>
            <w:shd w:val="clear" w:color="auto" w:fill="FFFFFF"/>
            <w:noWrap/>
            <w:tcMar>
              <w:top w:w="15" w:type="dxa"/>
              <w:left w:w="0" w:type="dxa"/>
              <w:bottom w:w="0" w:type="dxa"/>
              <w:right w:w="15" w:type="dxa"/>
            </w:tcMar>
            <w:vAlign w:val="bottom"/>
            <w:hideMark/>
          </w:tcPr>
          <w:p w14:paraId="66E71FF4"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4BC1B2CD"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60F5302C"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394" w:type="dxa"/>
            <w:gridSpan w:val="2"/>
            <w:shd w:val="clear" w:color="auto" w:fill="FFFFFF"/>
            <w:tcMar>
              <w:top w:w="15" w:type="dxa"/>
              <w:left w:w="0" w:type="dxa"/>
              <w:bottom w:w="0" w:type="dxa"/>
              <w:right w:w="15" w:type="dxa"/>
            </w:tcMar>
            <w:vAlign w:val="bottom"/>
            <w:hideMark/>
          </w:tcPr>
          <w:p w14:paraId="3945EFB0"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Total parent</w:t>
            </w:r>
          </w:p>
        </w:tc>
        <w:tc>
          <w:tcPr>
            <w:tcW w:w="192" w:type="dxa"/>
            <w:shd w:val="clear" w:color="auto" w:fill="FFFFFF"/>
            <w:noWrap/>
            <w:tcMar>
              <w:top w:w="15" w:type="dxa"/>
              <w:left w:w="0" w:type="dxa"/>
              <w:bottom w:w="0" w:type="dxa"/>
              <w:right w:w="15" w:type="dxa"/>
            </w:tcMar>
            <w:vAlign w:val="bottom"/>
            <w:hideMark/>
          </w:tcPr>
          <w:p w14:paraId="4B08F566"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31BB2851"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shd w:val="clear" w:color="auto" w:fill="FFFFFF"/>
            <w:tcMar>
              <w:top w:w="15" w:type="dxa"/>
              <w:left w:w="0" w:type="dxa"/>
              <w:bottom w:w="0" w:type="dxa"/>
              <w:right w:w="15" w:type="dxa"/>
            </w:tcMar>
            <w:vAlign w:val="bottom"/>
            <w:hideMark/>
          </w:tcPr>
          <w:p w14:paraId="7406723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Non-</w:t>
            </w:r>
          </w:p>
        </w:tc>
        <w:tc>
          <w:tcPr>
            <w:tcW w:w="192" w:type="dxa"/>
            <w:shd w:val="clear" w:color="auto" w:fill="FFFFFF"/>
            <w:noWrap/>
            <w:tcMar>
              <w:top w:w="15" w:type="dxa"/>
              <w:left w:w="0" w:type="dxa"/>
              <w:bottom w:w="0" w:type="dxa"/>
              <w:right w:w="15" w:type="dxa"/>
            </w:tcMar>
            <w:vAlign w:val="bottom"/>
            <w:hideMark/>
          </w:tcPr>
          <w:p w14:paraId="3659343A"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1735530A"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73BF626C"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931" w:type="dxa"/>
            <w:shd w:val="clear" w:color="auto" w:fill="FFFFFF"/>
            <w:noWrap/>
            <w:tcMar>
              <w:top w:w="15" w:type="dxa"/>
              <w:left w:w="0" w:type="dxa"/>
              <w:bottom w:w="0" w:type="dxa"/>
              <w:right w:w="15" w:type="dxa"/>
            </w:tcMar>
            <w:vAlign w:val="bottom"/>
            <w:hideMark/>
          </w:tcPr>
          <w:p w14:paraId="102FC77E"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4" w:type="dxa"/>
            <w:shd w:val="clear" w:color="auto" w:fill="FFFFFF"/>
            <w:noWrap/>
            <w:tcMar>
              <w:top w:w="15" w:type="dxa"/>
              <w:left w:w="0" w:type="dxa"/>
              <w:bottom w:w="0" w:type="dxa"/>
              <w:right w:w="15" w:type="dxa"/>
            </w:tcMar>
            <w:vAlign w:val="bottom"/>
            <w:hideMark/>
          </w:tcPr>
          <w:p w14:paraId="1404E2CD"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r>
      <w:tr w:rsidR="00AC4931" w:rsidRPr="00AC4931" w14:paraId="4F662D99" w14:textId="77777777" w:rsidTr="00AC4931">
        <w:tc>
          <w:tcPr>
            <w:tcW w:w="5791" w:type="dxa"/>
            <w:shd w:val="clear" w:color="auto" w:fill="FFFFFF"/>
            <w:tcMar>
              <w:top w:w="15" w:type="dxa"/>
              <w:left w:w="0" w:type="dxa"/>
              <w:bottom w:w="0" w:type="dxa"/>
              <w:right w:w="15" w:type="dxa"/>
            </w:tcMar>
            <w:vAlign w:val="bottom"/>
            <w:hideMark/>
          </w:tcPr>
          <w:p w14:paraId="5C51EF68"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(DOLLARS AND SHARES</w:t>
            </w:r>
          </w:p>
        </w:tc>
        <w:tc>
          <w:tcPr>
            <w:tcW w:w="200" w:type="dxa"/>
            <w:shd w:val="clear" w:color="auto" w:fill="FFFFFF"/>
            <w:tcMar>
              <w:top w:w="15" w:type="dxa"/>
              <w:left w:w="0" w:type="dxa"/>
              <w:bottom w:w="0" w:type="dxa"/>
              <w:right w:w="15" w:type="dxa"/>
            </w:tcMar>
            <w:vAlign w:val="bottom"/>
            <w:hideMark/>
          </w:tcPr>
          <w:p w14:paraId="4E5A43BE"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shd w:val="clear" w:color="auto" w:fill="FFFFFF"/>
            <w:tcMar>
              <w:top w:w="15" w:type="dxa"/>
              <w:left w:w="0" w:type="dxa"/>
              <w:bottom w:w="0" w:type="dxa"/>
              <w:right w:w="15" w:type="dxa"/>
            </w:tcMar>
            <w:vAlign w:val="bottom"/>
            <w:hideMark/>
          </w:tcPr>
          <w:p w14:paraId="77E5BD7E"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Number of</w:t>
            </w:r>
          </w:p>
        </w:tc>
        <w:tc>
          <w:tcPr>
            <w:tcW w:w="192" w:type="dxa"/>
            <w:shd w:val="clear" w:color="auto" w:fill="FFFFFF"/>
            <w:noWrap/>
            <w:tcMar>
              <w:top w:w="15" w:type="dxa"/>
              <w:left w:w="0" w:type="dxa"/>
              <w:bottom w:w="0" w:type="dxa"/>
              <w:right w:w="15" w:type="dxa"/>
            </w:tcMar>
            <w:vAlign w:val="bottom"/>
            <w:hideMark/>
          </w:tcPr>
          <w:p w14:paraId="43A37313"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708273BF"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shd w:val="clear" w:color="auto" w:fill="FFFFFF"/>
            <w:tcMar>
              <w:top w:w="15" w:type="dxa"/>
              <w:left w:w="0" w:type="dxa"/>
              <w:bottom w:w="0" w:type="dxa"/>
              <w:right w:w="15" w:type="dxa"/>
            </w:tcMar>
            <w:vAlign w:val="bottom"/>
            <w:hideMark/>
          </w:tcPr>
          <w:p w14:paraId="579F4A0A"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Common</w:t>
            </w:r>
          </w:p>
        </w:tc>
        <w:tc>
          <w:tcPr>
            <w:tcW w:w="192" w:type="dxa"/>
            <w:shd w:val="clear" w:color="auto" w:fill="FFFFFF"/>
            <w:noWrap/>
            <w:tcMar>
              <w:top w:w="15" w:type="dxa"/>
              <w:left w:w="0" w:type="dxa"/>
              <w:bottom w:w="0" w:type="dxa"/>
              <w:right w:w="15" w:type="dxa"/>
            </w:tcMar>
            <w:vAlign w:val="bottom"/>
            <w:hideMark/>
          </w:tcPr>
          <w:p w14:paraId="14E851F4"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2F9CBBD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shd w:val="clear" w:color="auto" w:fill="FFFFFF"/>
            <w:tcMar>
              <w:top w:w="15" w:type="dxa"/>
              <w:left w:w="0" w:type="dxa"/>
              <w:bottom w:w="0" w:type="dxa"/>
              <w:right w:w="15" w:type="dxa"/>
            </w:tcMar>
            <w:vAlign w:val="bottom"/>
            <w:hideMark/>
          </w:tcPr>
          <w:p w14:paraId="2ADEAB14"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paid in</w:t>
            </w:r>
          </w:p>
        </w:tc>
        <w:tc>
          <w:tcPr>
            <w:tcW w:w="192" w:type="dxa"/>
            <w:shd w:val="clear" w:color="auto" w:fill="FFFFFF"/>
            <w:noWrap/>
            <w:tcMar>
              <w:top w:w="15" w:type="dxa"/>
              <w:left w:w="0" w:type="dxa"/>
              <w:bottom w:w="0" w:type="dxa"/>
              <w:right w:w="15" w:type="dxa"/>
            </w:tcMar>
            <w:vAlign w:val="bottom"/>
            <w:hideMark/>
          </w:tcPr>
          <w:p w14:paraId="3B55E9CB"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69F6EE2E"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shd w:val="clear" w:color="auto" w:fill="FFFFFF"/>
            <w:tcMar>
              <w:top w:w="15" w:type="dxa"/>
              <w:left w:w="0" w:type="dxa"/>
              <w:bottom w:w="0" w:type="dxa"/>
              <w:right w:w="15" w:type="dxa"/>
            </w:tcMar>
            <w:vAlign w:val="bottom"/>
            <w:hideMark/>
          </w:tcPr>
          <w:p w14:paraId="411C47F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Retained</w:t>
            </w:r>
          </w:p>
        </w:tc>
        <w:tc>
          <w:tcPr>
            <w:tcW w:w="192" w:type="dxa"/>
            <w:shd w:val="clear" w:color="auto" w:fill="FFFFFF"/>
            <w:noWrap/>
            <w:tcMar>
              <w:top w:w="15" w:type="dxa"/>
              <w:left w:w="0" w:type="dxa"/>
              <w:bottom w:w="0" w:type="dxa"/>
              <w:right w:w="15" w:type="dxa"/>
            </w:tcMar>
            <w:vAlign w:val="bottom"/>
            <w:hideMark/>
          </w:tcPr>
          <w:p w14:paraId="75015565"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4F360A43"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394" w:type="dxa"/>
            <w:gridSpan w:val="2"/>
            <w:shd w:val="clear" w:color="auto" w:fill="FFFFFF"/>
            <w:tcMar>
              <w:top w:w="15" w:type="dxa"/>
              <w:left w:w="0" w:type="dxa"/>
              <w:bottom w:w="0" w:type="dxa"/>
              <w:right w:w="15" w:type="dxa"/>
            </w:tcMar>
            <w:vAlign w:val="bottom"/>
            <w:hideMark/>
          </w:tcPr>
          <w:p w14:paraId="67348EDE"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prehensive</w:t>
            </w:r>
          </w:p>
        </w:tc>
        <w:tc>
          <w:tcPr>
            <w:tcW w:w="192" w:type="dxa"/>
            <w:shd w:val="clear" w:color="auto" w:fill="FFFFFF"/>
            <w:noWrap/>
            <w:tcMar>
              <w:top w:w="15" w:type="dxa"/>
              <w:left w:w="0" w:type="dxa"/>
              <w:bottom w:w="0" w:type="dxa"/>
              <w:right w:w="15" w:type="dxa"/>
            </w:tcMar>
            <w:vAlign w:val="bottom"/>
            <w:hideMark/>
          </w:tcPr>
          <w:p w14:paraId="6659D561"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1F5BD84F"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266" w:type="dxa"/>
            <w:gridSpan w:val="2"/>
            <w:shd w:val="clear" w:color="auto" w:fill="FFFFFF"/>
            <w:tcMar>
              <w:top w:w="15" w:type="dxa"/>
              <w:left w:w="0" w:type="dxa"/>
              <w:bottom w:w="0" w:type="dxa"/>
              <w:right w:w="15" w:type="dxa"/>
            </w:tcMar>
            <w:vAlign w:val="bottom"/>
            <w:hideMark/>
          </w:tcPr>
          <w:p w14:paraId="2186220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Treasury</w:t>
            </w:r>
          </w:p>
        </w:tc>
        <w:tc>
          <w:tcPr>
            <w:tcW w:w="192" w:type="dxa"/>
            <w:shd w:val="clear" w:color="auto" w:fill="FFFFFF"/>
            <w:noWrap/>
            <w:tcMar>
              <w:top w:w="15" w:type="dxa"/>
              <w:left w:w="0" w:type="dxa"/>
              <w:bottom w:w="0" w:type="dxa"/>
              <w:right w:w="15" w:type="dxa"/>
            </w:tcMar>
            <w:vAlign w:val="bottom"/>
            <w:hideMark/>
          </w:tcPr>
          <w:p w14:paraId="31D3F30F"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2B2046BD"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394" w:type="dxa"/>
            <w:gridSpan w:val="2"/>
            <w:shd w:val="clear" w:color="auto" w:fill="FFFFFF"/>
            <w:tcMar>
              <w:top w:w="15" w:type="dxa"/>
              <w:left w:w="0" w:type="dxa"/>
              <w:bottom w:w="0" w:type="dxa"/>
              <w:right w:w="15" w:type="dxa"/>
            </w:tcMar>
            <w:vAlign w:val="bottom"/>
            <w:hideMark/>
          </w:tcPr>
          <w:p w14:paraId="104694A8"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shareholders’</w:t>
            </w:r>
          </w:p>
        </w:tc>
        <w:tc>
          <w:tcPr>
            <w:tcW w:w="192" w:type="dxa"/>
            <w:shd w:val="clear" w:color="auto" w:fill="FFFFFF"/>
            <w:noWrap/>
            <w:tcMar>
              <w:top w:w="15" w:type="dxa"/>
              <w:left w:w="0" w:type="dxa"/>
              <w:bottom w:w="0" w:type="dxa"/>
              <w:right w:w="15" w:type="dxa"/>
            </w:tcMar>
            <w:vAlign w:val="bottom"/>
            <w:hideMark/>
          </w:tcPr>
          <w:p w14:paraId="7EC1BC41"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696017E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shd w:val="clear" w:color="auto" w:fill="FFFFFF"/>
            <w:tcMar>
              <w:top w:w="15" w:type="dxa"/>
              <w:left w:w="0" w:type="dxa"/>
              <w:bottom w:w="0" w:type="dxa"/>
              <w:right w:w="15" w:type="dxa"/>
            </w:tcMar>
            <w:vAlign w:val="bottom"/>
            <w:hideMark/>
          </w:tcPr>
          <w:p w14:paraId="2681D05C"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controlling</w:t>
            </w:r>
          </w:p>
        </w:tc>
        <w:tc>
          <w:tcPr>
            <w:tcW w:w="192" w:type="dxa"/>
            <w:shd w:val="clear" w:color="auto" w:fill="FFFFFF"/>
            <w:noWrap/>
            <w:tcMar>
              <w:top w:w="15" w:type="dxa"/>
              <w:left w:w="0" w:type="dxa"/>
              <w:bottom w:w="0" w:type="dxa"/>
              <w:right w:w="15" w:type="dxa"/>
            </w:tcMar>
            <w:vAlign w:val="bottom"/>
            <w:hideMark/>
          </w:tcPr>
          <w:p w14:paraId="5D233249"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2A4D04B2"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shd w:val="clear" w:color="auto" w:fill="FFFFFF"/>
            <w:tcMar>
              <w:top w:w="15" w:type="dxa"/>
              <w:left w:w="0" w:type="dxa"/>
              <w:bottom w:w="0" w:type="dxa"/>
              <w:right w:w="15" w:type="dxa"/>
            </w:tcMar>
            <w:vAlign w:val="bottom"/>
            <w:hideMark/>
          </w:tcPr>
          <w:p w14:paraId="67B9E2E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Total</w:t>
            </w:r>
          </w:p>
        </w:tc>
        <w:tc>
          <w:tcPr>
            <w:tcW w:w="194" w:type="dxa"/>
            <w:shd w:val="clear" w:color="auto" w:fill="FFFFFF"/>
            <w:noWrap/>
            <w:tcMar>
              <w:top w:w="15" w:type="dxa"/>
              <w:left w:w="0" w:type="dxa"/>
              <w:bottom w:w="0" w:type="dxa"/>
              <w:right w:w="15" w:type="dxa"/>
            </w:tcMar>
            <w:vAlign w:val="bottom"/>
            <w:hideMark/>
          </w:tcPr>
          <w:p w14:paraId="61428145"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r>
      <w:tr w:rsidR="00AC4931" w:rsidRPr="00AC4931" w14:paraId="5134C5B8" w14:textId="77777777" w:rsidTr="00AC4931">
        <w:tc>
          <w:tcPr>
            <w:tcW w:w="5791" w:type="dxa"/>
            <w:shd w:val="clear" w:color="auto" w:fill="FFFFFF"/>
            <w:tcMar>
              <w:top w:w="15" w:type="dxa"/>
              <w:left w:w="0" w:type="dxa"/>
              <w:bottom w:w="0" w:type="dxa"/>
              <w:right w:w="15" w:type="dxa"/>
            </w:tcMar>
            <w:vAlign w:val="bottom"/>
            <w:hideMark/>
          </w:tcPr>
          <w:p w14:paraId="1DF03840"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u w:val="single"/>
              </w:rPr>
              <w:t>IN MILLIONS)</w:t>
            </w:r>
          </w:p>
        </w:tc>
        <w:tc>
          <w:tcPr>
            <w:tcW w:w="200" w:type="dxa"/>
            <w:shd w:val="clear" w:color="auto" w:fill="FFFFFF"/>
            <w:tcMar>
              <w:top w:w="15" w:type="dxa"/>
              <w:left w:w="0" w:type="dxa"/>
              <w:bottom w:w="0" w:type="dxa"/>
              <w:right w:w="15" w:type="dxa"/>
            </w:tcMar>
            <w:vAlign w:val="bottom"/>
            <w:hideMark/>
          </w:tcPr>
          <w:p w14:paraId="23AAB7C8"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tcBorders>
              <w:bottom w:val="single" w:sz="6" w:space="0" w:color="000000"/>
            </w:tcBorders>
            <w:shd w:val="clear" w:color="auto" w:fill="FFFFFF"/>
            <w:tcMar>
              <w:top w:w="15" w:type="dxa"/>
              <w:left w:w="0" w:type="dxa"/>
              <w:bottom w:w="0" w:type="dxa"/>
              <w:right w:w="15" w:type="dxa"/>
            </w:tcMar>
            <w:vAlign w:val="bottom"/>
            <w:hideMark/>
          </w:tcPr>
          <w:p w14:paraId="675946E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shares</w:t>
            </w:r>
          </w:p>
        </w:tc>
        <w:tc>
          <w:tcPr>
            <w:tcW w:w="192" w:type="dxa"/>
            <w:shd w:val="clear" w:color="auto" w:fill="FFFFFF"/>
            <w:noWrap/>
            <w:tcMar>
              <w:top w:w="15" w:type="dxa"/>
              <w:left w:w="0" w:type="dxa"/>
              <w:bottom w:w="0" w:type="dxa"/>
              <w:right w:w="15" w:type="dxa"/>
            </w:tcMar>
            <w:vAlign w:val="bottom"/>
            <w:hideMark/>
          </w:tcPr>
          <w:p w14:paraId="6701DE30"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4DB5C23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tcBorders>
              <w:bottom w:val="single" w:sz="6" w:space="0" w:color="000000"/>
            </w:tcBorders>
            <w:shd w:val="clear" w:color="auto" w:fill="FFFFFF"/>
            <w:tcMar>
              <w:top w:w="15" w:type="dxa"/>
              <w:left w:w="0" w:type="dxa"/>
              <w:bottom w:w="0" w:type="dxa"/>
              <w:right w:w="15" w:type="dxa"/>
            </w:tcMar>
            <w:vAlign w:val="bottom"/>
            <w:hideMark/>
          </w:tcPr>
          <w:p w14:paraId="50E8653D"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stock</w:t>
            </w:r>
          </w:p>
        </w:tc>
        <w:tc>
          <w:tcPr>
            <w:tcW w:w="192" w:type="dxa"/>
            <w:shd w:val="clear" w:color="auto" w:fill="FFFFFF"/>
            <w:noWrap/>
            <w:tcMar>
              <w:top w:w="15" w:type="dxa"/>
              <w:left w:w="0" w:type="dxa"/>
              <w:bottom w:w="0" w:type="dxa"/>
              <w:right w:w="15" w:type="dxa"/>
            </w:tcMar>
            <w:vAlign w:val="bottom"/>
            <w:hideMark/>
          </w:tcPr>
          <w:p w14:paraId="7E80A3E8"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281CF7D0"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tcBorders>
              <w:bottom w:val="single" w:sz="6" w:space="0" w:color="000000"/>
            </w:tcBorders>
            <w:shd w:val="clear" w:color="auto" w:fill="FFFFFF"/>
            <w:tcMar>
              <w:top w:w="15" w:type="dxa"/>
              <w:left w:w="0" w:type="dxa"/>
              <w:bottom w:w="0" w:type="dxa"/>
              <w:right w:w="15" w:type="dxa"/>
            </w:tcMar>
            <w:vAlign w:val="bottom"/>
            <w:hideMark/>
          </w:tcPr>
          <w:p w14:paraId="7A5BBC34"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capital</w:t>
            </w:r>
          </w:p>
        </w:tc>
        <w:tc>
          <w:tcPr>
            <w:tcW w:w="192" w:type="dxa"/>
            <w:shd w:val="clear" w:color="auto" w:fill="FFFFFF"/>
            <w:noWrap/>
            <w:tcMar>
              <w:top w:w="15" w:type="dxa"/>
              <w:left w:w="0" w:type="dxa"/>
              <w:bottom w:w="0" w:type="dxa"/>
              <w:right w:w="15" w:type="dxa"/>
            </w:tcMar>
            <w:vAlign w:val="bottom"/>
            <w:hideMark/>
          </w:tcPr>
          <w:p w14:paraId="2C500855"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155C7F0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tcBorders>
              <w:bottom w:val="single" w:sz="6" w:space="0" w:color="000000"/>
            </w:tcBorders>
            <w:shd w:val="clear" w:color="auto" w:fill="FFFFFF"/>
            <w:tcMar>
              <w:top w:w="15" w:type="dxa"/>
              <w:left w:w="0" w:type="dxa"/>
              <w:bottom w:w="0" w:type="dxa"/>
              <w:right w:w="15" w:type="dxa"/>
            </w:tcMar>
            <w:vAlign w:val="bottom"/>
            <w:hideMark/>
          </w:tcPr>
          <w:p w14:paraId="1881AA00"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earnings</w:t>
            </w:r>
          </w:p>
        </w:tc>
        <w:tc>
          <w:tcPr>
            <w:tcW w:w="192" w:type="dxa"/>
            <w:shd w:val="clear" w:color="auto" w:fill="FFFFFF"/>
            <w:noWrap/>
            <w:tcMar>
              <w:top w:w="15" w:type="dxa"/>
              <w:left w:w="0" w:type="dxa"/>
              <w:bottom w:w="0" w:type="dxa"/>
              <w:right w:w="15" w:type="dxa"/>
            </w:tcMar>
            <w:vAlign w:val="bottom"/>
            <w:hideMark/>
          </w:tcPr>
          <w:p w14:paraId="41638AE8"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22D4B602"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394" w:type="dxa"/>
            <w:gridSpan w:val="2"/>
            <w:tcBorders>
              <w:bottom w:val="single" w:sz="6" w:space="0" w:color="000000"/>
            </w:tcBorders>
            <w:shd w:val="clear" w:color="auto" w:fill="FFFFFF"/>
            <w:tcMar>
              <w:top w:w="15" w:type="dxa"/>
              <w:left w:w="0" w:type="dxa"/>
              <w:bottom w:w="0" w:type="dxa"/>
              <w:right w:w="15" w:type="dxa"/>
            </w:tcMar>
            <w:vAlign w:val="bottom"/>
            <w:hideMark/>
          </w:tcPr>
          <w:p w14:paraId="55572864"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(loss) income</w:t>
            </w:r>
          </w:p>
        </w:tc>
        <w:tc>
          <w:tcPr>
            <w:tcW w:w="192" w:type="dxa"/>
            <w:shd w:val="clear" w:color="auto" w:fill="FFFFFF"/>
            <w:noWrap/>
            <w:tcMar>
              <w:top w:w="15" w:type="dxa"/>
              <w:left w:w="0" w:type="dxa"/>
              <w:bottom w:w="0" w:type="dxa"/>
              <w:right w:w="15" w:type="dxa"/>
            </w:tcMar>
            <w:vAlign w:val="bottom"/>
            <w:hideMark/>
          </w:tcPr>
          <w:p w14:paraId="0BB570FA"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4ABBE8D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266" w:type="dxa"/>
            <w:gridSpan w:val="2"/>
            <w:tcBorders>
              <w:bottom w:val="single" w:sz="6" w:space="0" w:color="000000"/>
            </w:tcBorders>
            <w:shd w:val="clear" w:color="auto" w:fill="FFFFFF"/>
            <w:tcMar>
              <w:top w:w="15" w:type="dxa"/>
              <w:left w:w="0" w:type="dxa"/>
              <w:bottom w:w="0" w:type="dxa"/>
              <w:right w:w="15" w:type="dxa"/>
            </w:tcMar>
            <w:vAlign w:val="bottom"/>
            <w:hideMark/>
          </w:tcPr>
          <w:p w14:paraId="25E00E32"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stock</w:t>
            </w:r>
          </w:p>
        </w:tc>
        <w:tc>
          <w:tcPr>
            <w:tcW w:w="192" w:type="dxa"/>
            <w:shd w:val="clear" w:color="auto" w:fill="FFFFFF"/>
            <w:noWrap/>
            <w:tcMar>
              <w:top w:w="15" w:type="dxa"/>
              <w:left w:w="0" w:type="dxa"/>
              <w:bottom w:w="0" w:type="dxa"/>
              <w:right w:w="15" w:type="dxa"/>
            </w:tcMar>
            <w:vAlign w:val="bottom"/>
            <w:hideMark/>
          </w:tcPr>
          <w:p w14:paraId="1F8D4D56"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0ADCA66D"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394" w:type="dxa"/>
            <w:gridSpan w:val="2"/>
            <w:tcBorders>
              <w:bottom w:val="single" w:sz="6" w:space="0" w:color="000000"/>
            </w:tcBorders>
            <w:shd w:val="clear" w:color="auto" w:fill="FFFFFF"/>
            <w:tcMar>
              <w:top w:w="15" w:type="dxa"/>
              <w:left w:w="0" w:type="dxa"/>
              <w:bottom w:w="0" w:type="dxa"/>
              <w:right w:w="15" w:type="dxa"/>
            </w:tcMar>
            <w:vAlign w:val="bottom"/>
            <w:hideMark/>
          </w:tcPr>
          <w:p w14:paraId="4DE95054"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equity</w:t>
            </w:r>
          </w:p>
        </w:tc>
        <w:tc>
          <w:tcPr>
            <w:tcW w:w="192" w:type="dxa"/>
            <w:shd w:val="clear" w:color="auto" w:fill="FFFFFF"/>
            <w:noWrap/>
            <w:tcMar>
              <w:top w:w="15" w:type="dxa"/>
              <w:left w:w="0" w:type="dxa"/>
              <w:bottom w:w="0" w:type="dxa"/>
              <w:right w:w="15" w:type="dxa"/>
            </w:tcMar>
            <w:vAlign w:val="bottom"/>
            <w:hideMark/>
          </w:tcPr>
          <w:p w14:paraId="0ABB9138"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58BEB7A2"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tcBorders>
              <w:bottom w:val="single" w:sz="6" w:space="0" w:color="000000"/>
            </w:tcBorders>
            <w:shd w:val="clear" w:color="auto" w:fill="FFFFFF"/>
            <w:tcMar>
              <w:top w:w="15" w:type="dxa"/>
              <w:left w:w="0" w:type="dxa"/>
              <w:bottom w:w="0" w:type="dxa"/>
              <w:right w:w="15" w:type="dxa"/>
            </w:tcMar>
            <w:vAlign w:val="bottom"/>
            <w:hideMark/>
          </w:tcPr>
          <w:p w14:paraId="279794B9"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interest</w:t>
            </w:r>
          </w:p>
        </w:tc>
        <w:tc>
          <w:tcPr>
            <w:tcW w:w="192" w:type="dxa"/>
            <w:shd w:val="clear" w:color="auto" w:fill="FFFFFF"/>
            <w:noWrap/>
            <w:tcMar>
              <w:top w:w="15" w:type="dxa"/>
              <w:left w:w="0" w:type="dxa"/>
              <w:bottom w:w="0" w:type="dxa"/>
              <w:right w:w="15" w:type="dxa"/>
            </w:tcMar>
            <w:vAlign w:val="bottom"/>
            <w:hideMark/>
          </w:tcPr>
          <w:p w14:paraId="7D3152FF"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0" w:type="dxa"/>
            <w:shd w:val="clear" w:color="auto" w:fill="FFFFFF"/>
            <w:tcMar>
              <w:top w:w="15" w:type="dxa"/>
              <w:left w:w="0" w:type="dxa"/>
              <w:bottom w:w="0" w:type="dxa"/>
              <w:right w:w="15" w:type="dxa"/>
            </w:tcMar>
            <w:vAlign w:val="bottom"/>
            <w:hideMark/>
          </w:tcPr>
          <w:p w14:paraId="684A0003"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138" w:type="dxa"/>
            <w:gridSpan w:val="2"/>
            <w:tcBorders>
              <w:bottom w:val="single" w:sz="6" w:space="0" w:color="000000"/>
            </w:tcBorders>
            <w:shd w:val="clear" w:color="auto" w:fill="FFFFFF"/>
            <w:tcMar>
              <w:top w:w="15" w:type="dxa"/>
              <w:left w:w="0" w:type="dxa"/>
              <w:bottom w:w="0" w:type="dxa"/>
              <w:right w:w="15" w:type="dxa"/>
            </w:tcMar>
            <w:vAlign w:val="bottom"/>
            <w:hideMark/>
          </w:tcPr>
          <w:p w14:paraId="79EF6B32"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equity</w:t>
            </w:r>
            <w:r w:rsidRPr="00AC4931">
              <w:rPr>
                <w:rFonts w:ascii="Arial" w:eastAsia="宋体" w:hAnsi="Arial" w:cs="Arial"/>
                <w:b/>
                <w:bCs/>
                <w:color w:val="000000"/>
                <w:kern w:val="0"/>
                <w:sz w:val="18"/>
                <w:szCs w:val="18"/>
                <w:vertAlign w:val="superscript"/>
              </w:rPr>
              <w:t>1)</w:t>
            </w:r>
          </w:p>
        </w:tc>
        <w:tc>
          <w:tcPr>
            <w:tcW w:w="194" w:type="dxa"/>
            <w:shd w:val="clear" w:color="auto" w:fill="FFFFFF"/>
            <w:noWrap/>
            <w:tcMar>
              <w:top w:w="15" w:type="dxa"/>
              <w:left w:w="0" w:type="dxa"/>
              <w:bottom w:w="0" w:type="dxa"/>
              <w:right w:w="15" w:type="dxa"/>
            </w:tcMar>
            <w:vAlign w:val="bottom"/>
            <w:hideMark/>
          </w:tcPr>
          <w:p w14:paraId="70F063E2"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r w:rsidR="00AC4931" w:rsidRPr="00AC4931" w14:paraId="6C9FCF94" w14:textId="77777777" w:rsidTr="00AC4931">
        <w:tc>
          <w:tcPr>
            <w:tcW w:w="5791" w:type="dxa"/>
            <w:shd w:val="clear" w:color="auto" w:fill="FFFFFF"/>
            <w:tcMar>
              <w:top w:w="15" w:type="dxa"/>
              <w:left w:w="0" w:type="dxa"/>
              <w:bottom w:w="0" w:type="dxa"/>
              <w:right w:w="15" w:type="dxa"/>
            </w:tcMar>
            <w:hideMark/>
          </w:tcPr>
          <w:p w14:paraId="7091FDF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Balance at December 31, 2017</w:t>
            </w:r>
          </w:p>
        </w:tc>
        <w:tc>
          <w:tcPr>
            <w:tcW w:w="200" w:type="dxa"/>
            <w:shd w:val="clear" w:color="auto" w:fill="FFFFFF"/>
            <w:tcMar>
              <w:top w:w="15" w:type="dxa"/>
              <w:left w:w="0" w:type="dxa"/>
              <w:bottom w:w="0" w:type="dxa"/>
              <w:right w:w="15" w:type="dxa"/>
            </w:tcMar>
            <w:vAlign w:val="bottom"/>
            <w:hideMark/>
          </w:tcPr>
          <w:p w14:paraId="2BC973B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6995F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FABE891"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102.8</w:t>
            </w:r>
          </w:p>
        </w:tc>
        <w:tc>
          <w:tcPr>
            <w:tcW w:w="192" w:type="dxa"/>
            <w:shd w:val="clear" w:color="auto" w:fill="FFFFFF"/>
            <w:noWrap/>
            <w:tcMar>
              <w:top w:w="15" w:type="dxa"/>
              <w:left w:w="0" w:type="dxa"/>
              <w:bottom w:w="0" w:type="dxa"/>
              <w:right w:w="15" w:type="dxa"/>
            </w:tcMar>
            <w:vAlign w:val="bottom"/>
            <w:hideMark/>
          </w:tcPr>
          <w:p w14:paraId="310604D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EF4001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1B58D9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D04A129"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102.8</w:t>
            </w:r>
          </w:p>
        </w:tc>
        <w:tc>
          <w:tcPr>
            <w:tcW w:w="192" w:type="dxa"/>
            <w:shd w:val="clear" w:color="auto" w:fill="FFFFFF"/>
            <w:noWrap/>
            <w:tcMar>
              <w:top w:w="15" w:type="dxa"/>
              <w:left w:w="0" w:type="dxa"/>
              <w:bottom w:w="0" w:type="dxa"/>
              <w:right w:w="15" w:type="dxa"/>
            </w:tcMar>
            <w:vAlign w:val="bottom"/>
            <w:hideMark/>
          </w:tcPr>
          <w:p w14:paraId="25A75F3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0FB953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E995F6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CEF2574"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1,329.3</w:t>
            </w:r>
          </w:p>
        </w:tc>
        <w:tc>
          <w:tcPr>
            <w:tcW w:w="192" w:type="dxa"/>
            <w:shd w:val="clear" w:color="auto" w:fill="FFFFFF"/>
            <w:noWrap/>
            <w:tcMar>
              <w:top w:w="15" w:type="dxa"/>
              <w:left w:w="0" w:type="dxa"/>
              <w:bottom w:w="0" w:type="dxa"/>
              <w:right w:w="15" w:type="dxa"/>
            </w:tcMar>
            <w:vAlign w:val="bottom"/>
            <w:hideMark/>
          </w:tcPr>
          <w:p w14:paraId="4D7C9DF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0C604B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7AFF2D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4030BF4"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4,079.2</w:t>
            </w:r>
          </w:p>
        </w:tc>
        <w:tc>
          <w:tcPr>
            <w:tcW w:w="192" w:type="dxa"/>
            <w:shd w:val="clear" w:color="auto" w:fill="FFFFFF"/>
            <w:noWrap/>
            <w:tcMar>
              <w:top w:w="15" w:type="dxa"/>
              <w:left w:w="0" w:type="dxa"/>
              <w:bottom w:w="0" w:type="dxa"/>
              <w:right w:w="15" w:type="dxa"/>
            </w:tcMar>
            <w:vAlign w:val="bottom"/>
            <w:hideMark/>
          </w:tcPr>
          <w:p w14:paraId="03EE42D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686281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3BCBDD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187"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ACCBA60"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(287.5</w:t>
            </w:r>
          </w:p>
        </w:tc>
        <w:tc>
          <w:tcPr>
            <w:tcW w:w="192" w:type="dxa"/>
            <w:shd w:val="clear" w:color="auto" w:fill="FFFFFF"/>
            <w:noWrap/>
            <w:tcMar>
              <w:top w:w="15" w:type="dxa"/>
              <w:left w:w="0" w:type="dxa"/>
              <w:bottom w:w="0" w:type="dxa"/>
              <w:right w:w="15" w:type="dxa"/>
            </w:tcMar>
            <w:vAlign w:val="bottom"/>
            <w:hideMark/>
          </w:tcPr>
          <w:p w14:paraId="5B16CEB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1505142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EE2F58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059"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3F33D2C"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(1,188.7</w:t>
            </w:r>
          </w:p>
        </w:tc>
        <w:tc>
          <w:tcPr>
            <w:tcW w:w="192" w:type="dxa"/>
            <w:shd w:val="clear" w:color="auto" w:fill="FFFFFF"/>
            <w:noWrap/>
            <w:tcMar>
              <w:top w:w="15" w:type="dxa"/>
              <w:left w:w="0" w:type="dxa"/>
              <w:bottom w:w="0" w:type="dxa"/>
              <w:right w:w="15" w:type="dxa"/>
            </w:tcMar>
            <w:vAlign w:val="bottom"/>
            <w:hideMark/>
          </w:tcPr>
          <w:p w14:paraId="057EB31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68A9B86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214E81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187"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7199B6C"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4,035.1</w:t>
            </w:r>
          </w:p>
        </w:tc>
        <w:tc>
          <w:tcPr>
            <w:tcW w:w="192" w:type="dxa"/>
            <w:shd w:val="clear" w:color="auto" w:fill="FFFFFF"/>
            <w:noWrap/>
            <w:tcMar>
              <w:top w:w="15" w:type="dxa"/>
              <w:left w:w="0" w:type="dxa"/>
              <w:bottom w:w="0" w:type="dxa"/>
              <w:right w:w="15" w:type="dxa"/>
            </w:tcMar>
            <w:vAlign w:val="bottom"/>
            <w:hideMark/>
          </w:tcPr>
          <w:p w14:paraId="7C6C2D8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D1AEC0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CDDC90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376988B"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134.3</w:t>
            </w:r>
          </w:p>
        </w:tc>
        <w:tc>
          <w:tcPr>
            <w:tcW w:w="192" w:type="dxa"/>
            <w:shd w:val="clear" w:color="auto" w:fill="FFFFFF"/>
            <w:noWrap/>
            <w:tcMar>
              <w:top w:w="15" w:type="dxa"/>
              <w:left w:w="0" w:type="dxa"/>
              <w:bottom w:w="0" w:type="dxa"/>
              <w:right w:w="15" w:type="dxa"/>
            </w:tcMar>
            <w:vAlign w:val="bottom"/>
            <w:hideMark/>
          </w:tcPr>
          <w:p w14:paraId="47C6D58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1FB5FE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39A3CE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F1EBDDD"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4,169.4</w:t>
            </w:r>
          </w:p>
        </w:tc>
        <w:tc>
          <w:tcPr>
            <w:tcW w:w="194" w:type="dxa"/>
            <w:shd w:val="clear" w:color="auto" w:fill="FFFFFF"/>
            <w:noWrap/>
            <w:tcMar>
              <w:top w:w="15" w:type="dxa"/>
              <w:left w:w="0" w:type="dxa"/>
              <w:bottom w:w="0" w:type="dxa"/>
              <w:right w:w="15" w:type="dxa"/>
            </w:tcMar>
            <w:vAlign w:val="bottom"/>
            <w:hideMark/>
          </w:tcPr>
          <w:p w14:paraId="7966824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8197E1C" w14:textId="77777777" w:rsidTr="00AC4931">
        <w:tc>
          <w:tcPr>
            <w:tcW w:w="5791" w:type="dxa"/>
            <w:shd w:val="clear" w:color="auto" w:fill="CFF0FC"/>
            <w:tcMar>
              <w:top w:w="15" w:type="dxa"/>
              <w:left w:w="0" w:type="dxa"/>
              <w:bottom w:w="0" w:type="dxa"/>
              <w:right w:w="15" w:type="dxa"/>
            </w:tcMar>
            <w:hideMark/>
          </w:tcPr>
          <w:p w14:paraId="49EB443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Comprehensive Income:</w:t>
            </w:r>
          </w:p>
        </w:tc>
        <w:tc>
          <w:tcPr>
            <w:tcW w:w="200" w:type="dxa"/>
            <w:shd w:val="clear" w:color="auto" w:fill="CFF0FC"/>
            <w:tcMar>
              <w:top w:w="15" w:type="dxa"/>
              <w:left w:w="0" w:type="dxa"/>
              <w:bottom w:w="0" w:type="dxa"/>
              <w:right w:w="15" w:type="dxa"/>
            </w:tcMar>
            <w:vAlign w:val="bottom"/>
            <w:hideMark/>
          </w:tcPr>
          <w:p w14:paraId="61A40D8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DA6D17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33BDFC7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A8B83C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754A35C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AFD71F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280957B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976B23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99EC9C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BB0D30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599CA2A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919158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25C61C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D1F881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2DB5168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72D212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95E1AF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A3DD70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616F7BE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CF0AAD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7D6480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2970E0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38025E0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DDD84C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63B075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195F1B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5066FA8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9A51ED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E9C571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EC5463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7124D0B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C675FE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4D825E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331B1E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6481E4B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4" w:type="dxa"/>
            <w:shd w:val="clear" w:color="auto" w:fill="CFF0FC"/>
            <w:noWrap/>
            <w:tcMar>
              <w:top w:w="15" w:type="dxa"/>
              <w:left w:w="0" w:type="dxa"/>
              <w:bottom w:w="0" w:type="dxa"/>
              <w:right w:w="15" w:type="dxa"/>
            </w:tcMar>
            <w:vAlign w:val="bottom"/>
            <w:hideMark/>
          </w:tcPr>
          <w:p w14:paraId="66305AD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6BFCE485" w14:textId="77777777" w:rsidTr="00AC4931">
        <w:tc>
          <w:tcPr>
            <w:tcW w:w="5791" w:type="dxa"/>
            <w:shd w:val="clear" w:color="auto" w:fill="FFFFFF"/>
            <w:tcMar>
              <w:top w:w="15" w:type="dxa"/>
              <w:left w:w="0" w:type="dxa"/>
              <w:bottom w:w="0" w:type="dxa"/>
              <w:right w:w="15" w:type="dxa"/>
            </w:tcMar>
            <w:hideMark/>
          </w:tcPr>
          <w:p w14:paraId="3507E51E" w14:textId="77777777" w:rsidR="00AC4931" w:rsidRPr="00AC4931" w:rsidRDefault="00AC4931" w:rsidP="00AC4931">
            <w:pPr>
              <w:widowControl/>
              <w:ind w:left="274"/>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Net income</w:t>
            </w:r>
          </w:p>
        </w:tc>
        <w:tc>
          <w:tcPr>
            <w:tcW w:w="200" w:type="dxa"/>
            <w:shd w:val="clear" w:color="auto" w:fill="FFFFFF"/>
            <w:tcMar>
              <w:top w:w="15" w:type="dxa"/>
              <w:left w:w="0" w:type="dxa"/>
              <w:bottom w:w="0" w:type="dxa"/>
              <w:right w:w="15" w:type="dxa"/>
            </w:tcMar>
            <w:vAlign w:val="bottom"/>
            <w:hideMark/>
          </w:tcPr>
          <w:p w14:paraId="0AED8DC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665225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00E3915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54C7F3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2BA3AE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D736D6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6039D027"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4F3550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612378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3E9EAA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FDCA92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F51B00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BDBEB1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ED6C1A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3FD0C81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190.4</w:t>
            </w:r>
          </w:p>
        </w:tc>
        <w:tc>
          <w:tcPr>
            <w:tcW w:w="192" w:type="dxa"/>
            <w:shd w:val="clear" w:color="auto" w:fill="FFFFFF"/>
            <w:noWrap/>
            <w:tcMar>
              <w:top w:w="15" w:type="dxa"/>
              <w:left w:w="0" w:type="dxa"/>
              <w:bottom w:w="0" w:type="dxa"/>
              <w:right w:w="15" w:type="dxa"/>
            </w:tcMar>
            <w:vAlign w:val="bottom"/>
            <w:hideMark/>
          </w:tcPr>
          <w:p w14:paraId="4799D84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40AEA2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1C64D4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0F90B9E0"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E37889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380B86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C2EA78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14DCA4F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FB0FB1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39E2C2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6118D7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3A6C12D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190.4</w:t>
            </w:r>
          </w:p>
        </w:tc>
        <w:tc>
          <w:tcPr>
            <w:tcW w:w="192" w:type="dxa"/>
            <w:shd w:val="clear" w:color="auto" w:fill="FFFFFF"/>
            <w:noWrap/>
            <w:tcMar>
              <w:top w:w="15" w:type="dxa"/>
              <w:left w:w="0" w:type="dxa"/>
              <w:bottom w:w="0" w:type="dxa"/>
              <w:right w:w="15" w:type="dxa"/>
            </w:tcMar>
            <w:vAlign w:val="bottom"/>
            <w:hideMark/>
          </w:tcPr>
          <w:p w14:paraId="5F1AFC4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94CD82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40E32E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2FC2B73C"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(6.7</w:t>
            </w:r>
          </w:p>
        </w:tc>
        <w:tc>
          <w:tcPr>
            <w:tcW w:w="192" w:type="dxa"/>
            <w:shd w:val="clear" w:color="auto" w:fill="FFFFFF"/>
            <w:noWrap/>
            <w:tcMar>
              <w:top w:w="15" w:type="dxa"/>
              <w:left w:w="0" w:type="dxa"/>
              <w:bottom w:w="0" w:type="dxa"/>
              <w:right w:w="15" w:type="dxa"/>
            </w:tcMar>
            <w:vAlign w:val="bottom"/>
            <w:hideMark/>
          </w:tcPr>
          <w:p w14:paraId="5BFC35F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75AE1A6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33859B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13D73347"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183.7</w:t>
            </w:r>
          </w:p>
        </w:tc>
        <w:tc>
          <w:tcPr>
            <w:tcW w:w="194" w:type="dxa"/>
            <w:shd w:val="clear" w:color="auto" w:fill="FFFFFF"/>
            <w:noWrap/>
            <w:tcMar>
              <w:top w:w="15" w:type="dxa"/>
              <w:left w:w="0" w:type="dxa"/>
              <w:bottom w:w="0" w:type="dxa"/>
              <w:right w:w="15" w:type="dxa"/>
            </w:tcMar>
            <w:vAlign w:val="bottom"/>
            <w:hideMark/>
          </w:tcPr>
          <w:p w14:paraId="41D6E43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13FD5F31" w14:textId="77777777" w:rsidTr="00AC4931">
        <w:tc>
          <w:tcPr>
            <w:tcW w:w="5791" w:type="dxa"/>
            <w:shd w:val="clear" w:color="auto" w:fill="CFF0FC"/>
            <w:tcMar>
              <w:top w:w="15" w:type="dxa"/>
              <w:left w:w="0" w:type="dxa"/>
              <w:bottom w:w="0" w:type="dxa"/>
              <w:right w:w="15" w:type="dxa"/>
            </w:tcMar>
            <w:hideMark/>
          </w:tcPr>
          <w:p w14:paraId="5FD7AF69" w14:textId="77777777" w:rsidR="00AC4931" w:rsidRPr="00AC4931" w:rsidRDefault="00AC4931" w:rsidP="00AC4931">
            <w:pPr>
              <w:widowControl/>
              <w:ind w:left="274"/>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Net change in cash flow hedges</w:t>
            </w:r>
          </w:p>
        </w:tc>
        <w:tc>
          <w:tcPr>
            <w:tcW w:w="200" w:type="dxa"/>
            <w:shd w:val="clear" w:color="auto" w:fill="CFF0FC"/>
            <w:tcMar>
              <w:top w:w="15" w:type="dxa"/>
              <w:left w:w="0" w:type="dxa"/>
              <w:bottom w:w="0" w:type="dxa"/>
              <w:right w:w="15" w:type="dxa"/>
            </w:tcMar>
            <w:vAlign w:val="bottom"/>
            <w:hideMark/>
          </w:tcPr>
          <w:p w14:paraId="70713AF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2EFFE2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0BF70CA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FACD8E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50AE4C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DF7504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23CE9CA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85CF16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0A71AB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5B803A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4F718B4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1F888D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6A78C5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4BF70F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5F5EB17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ECBF3D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157048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255A56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2AB8468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0.9</w:t>
            </w:r>
          </w:p>
        </w:tc>
        <w:tc>
          <w:tcPr>
            <w:tcW w:w="192" w:type="dxa"/>
            <w:shd w:val="clear" w:color="auto" w:fill="CFF0FC"/>
            <w:noWrap/>
            <w:tcMar>
              <w:top w:w="15" w:type="dxa"/>
              <w:left w:w="0" w:type="dxa"/>
              <w:bottom w:w="0" w:type="dxa"/>
              <w:right w:w="15" w:type="dxa"/>
            </w:tcMar>
            <w:vAlign w:val="bottom"/>
            <w:hideMark/>
          </w:tcPr>
          <w:p w14:paraId="7A75842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95BFA6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8A28AC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7EB1C43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4C12B0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19B81A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5CAD28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10FAF7C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0.9</w:t>
            </w:r>
          </w:p>
        </w:tc>
        <w:tc>
          <w:tcPr>
            <w:tcW w:w="192" w:type="dxa"/>
            <w:shd w:val="clear" w:color="auto" w:fill="CFF0FC"/>
            <w:noWrap/>
            <w:tcMar>
              <w:top w:w="15" w:type="dxa"/>
              <w:left w:w="0" w:type="dxa"/>
              <w:bottom w:w="0" w:type="dxa"/>
              <w:right w:w="15" w:type="dxa"/>
            </w:tcMar>
            <w:vAlign w:val="bottom"/>
            <w:hideMark/>
          </w:tcPr>
          <w:p w14:paraId="0700933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C1B88F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762D84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7610067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FD5DC6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A76148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EFEF54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6613B9D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0.9</w:t>
            </w:r>
          </w:p>
        </w:tc>
        <w:tc>
          <w:tcPr>
            <w:tcW w:w="194" w:type="dxa"/>
            <w:shd w:val="clear" w:color="auto" w:fill="CFF0FC"/>
            <w:noWrap/>
            <w:tcMar>
              <w:top w:w="15" w:type="dxa"/>
              <w:left w:w="0" w:type="dxa"/>
              <w:bottom w:w="0" w:type="dxa"/>
              <w:right w:w="15" w:type="dxa"/>
            </w:tcMar>
            <w:vAlign w:val="bottom"/>
            <w:hideMark/>
          </w:tcPr>
          <w:p w14:paraId="1DCE722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27067471" w14:textId="77777777" w:rsidTr="00AC4931">
        <w:tc>
          <w:tcPr>
            <w:tcW w:w="5791" w:type="dxa"/>
            <w:shd w:val="clear" w:color="auto" w:fill="FFFFFF"/>
            <w:tcMar>
              <w:top w:w="15" w:type="dxa"/>
              <w:left w:w="0" w:type="dxa"/>
              <w:bottom w:w="0" w:type="dxa"/>
              <w:right w:w="15" w:type="dxa"/>
            </w:tcMar>
            <w:hideMark/>
          </w:tcPr>
          <w:p w14:paraId="7A39904C" w14:textId="77777777" w:rsidR="00AC4931" w:rsidRPr="00AC4931" w:rsidRDefault="00AC4931" w:rsidP="00AC4931">
            <w:pPr>
              <w:widowControl/>
              <w:ind w:left="274"/>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Foreign currency translation</w:t>
            </w:r>
          </w:p>
        </w:tc>
        <w:tc>
          <w:tcPr>
            <w:tcW w:w="200" w:type="dxa"/>
            <w:shd w:val="clear" w:color="auto" w:fill="FFFFFF"/>
            <w:tcMar>
              <w:top w:w="15" w:type="dxa"/>
              <w:left w:w="0" w:type="dxa"/>
              <w:bottom w:w="0" w:type="dxa"/>
              <w:right w:w="15" w:type="dxa"/>
            </w:tcMar>
            <w:vAlign w:val="bottom"/>
            <w:hideMark/>
          </w:tcPr>
          <w:p w14:paraId="0D61A7F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675D8B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2208D05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72D288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A782F6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FBFB8B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91E420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8D923C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D3E331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63B541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7D15186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D55BD1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D43486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93DBB1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403E234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ADBA20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6E2999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E2BFE0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78BDB5F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(149.5</w:t>
            </w:r>
          </w:p>
        </w:tc>
        <w:tc>
          <w:tcPr>
            <w:tcW w:w="192" w:type="dxa"/>
            <w:shd w:val="clear" w:color="auto" w:fill="FFFFFF"/>
            <w:noWrap/>
            <w:tcMar>
              <w:top w:w="15" w:type="dxa"/>
              <w:left w:w="0" w:type="dxa"/>
              <w:bottom w:w="0" w:type="dxa"/>
              <w:right w:w="15" w:type="dxa"/>
            </w:tcMar>
            <w:vAlign w:val="bottom"/>
            <w:hideMark/>
          </w:tcPr>
          <w:p w14:paraId="20FA0FE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34410F0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EEA278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37FC4C47"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507038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91F33A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D0E415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46ECDFF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(149.5</w:t>
            </w:r>
          </w:p>
        </w:tc>
        <w:tc>
          <w:tcPr>
            <w:tcW w:w="192" w:type="dxa"/>
            <w:shd w:val="clear" w:color="auto" w:fill="FFFFFF"/>
            <w:noWrap/>
            <w:tcMar>
              <w:top w:w="15" w:type="dxa"/>
              <w:left w:w="0" w:type="dxa"/>
              <w:bottom w:w="0" w:type="dxa"/>
              <w:right w:w="15" w:type="dxa"/>
            </w:tcMar>
            <w:vAlign w:val="bottom"/>
            <w:hideMark/>
          </w:tcPr>
          <w:p w14:paraId="08583C1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3C068E9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298BB8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185E016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(0.7</w:t>
            </w:r>
          </w:p>
        </w:tc>
        <w:tc>
          <w:tcPr>
            <w:tcW w:w="192" w:type="dxa"/>
            <w:shd w:val="clear" w:color="auto" w:fill="FFFFFF"/>
            <w:noWrap/>
            <w:tcMar>
              <w:top w:w="15" w:type="dxa"/>
              <w:left w:w="0" w:type="dxa"/>
              <w:bottom w:w="0" w:type="dxa"/>
              <w:right w:w="15" w:type="dxa"/>
            </w:tcMar>
            <w:vAlign w:val="bottom"/>
            <w:hideMark/>
          </w:tcPr>
          <w:p w14:paraId="6967C4F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4CFB688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3E6037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0A1FF92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(150.2</w:t>
            </w:r>
          </w:p>
        </w:tc>
        <w:tc>
          <w:tcPr>
            <w:tcW w:w="194" w:type="dxa"/>
            <w:shd w:val="clear" w:color="auto" w:fill="FFFFFF"/>
            <w:noWrap/>
            <w:tcMar>
              <w:top w:w="15" w:type="dxa"/>
              <w:left w:w="0" w:type="dxa"/>
              <w:bottom w:w="0" w:type="dxa"/>
              <w:right w:w="15" w:type="dxa"/>
            </w:tcMar>
            <w:vAlign w:val="bottom"/>
            <w:hideMark/>
          </w:tcPr>
          <w:p w14:paraId="07A6DA0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r>
      <w:tr w:rsidR="00AC4931" w:rsidRPr="00AC4931" w14:paraId="47BAB72C" w14:textId="77777777" w:rsidTr="00AC4931">
        <w:tc>
          <w:tcPr>
            <w:tcW w:w="5791" w:type="dxa"/>
            <w:shd w:val="clear" w:color="auto" w:fill="CFF0FC"/>
            <w:tcMar>
              <w:top w:w="15" w:type="dxa"/>
              <w:left w:w="0" w:type="dxa"/>
              <w:bottom w:w="0" w:type="dxa"/>
              <w:right w:w="15" w:type="dxa"/>
            </w:tcMar>
            <w:hideMark/>
          </w:tcPr>
          <w:p w14:paraId="3DADD43D" w14:textId="77777777" w:rsidR="00AC4931" w:rsidRPr="00AC4931" w:rsidRDefault="00AC4931" w:rsidP="00AC4931">
            <w:pPr>
              <w:widowControl/>
              <w:ind w:left="274"/>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Pension liability</w:t>
            </w:r>
          </w:p>
        </w:tc>
        <w:tc>
          <w:tcPr>
            <w:tcW w:w="200" w:type="dxa"/>
            <w:shd w:val="clear" w:color="auto" w:fill="CFF0FC"/>
            <w:tcMar>
              <w:top w:w="15" w:type="dxa"/>
              <w:left w:w="0" w:type="dxa"/>
              <w:bottom w:w="0" w:type="dxa"/>
              <w:right w:w="15" w:type="dxa"/>
            </w:tcMar>
            <w:vAlign w:val="bottom"/>
            <w:hideMark/>
          </w:tcPr>
          <w:p w14:paraId="50B4030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4E5C9D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1E7DE95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F6DA87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CE3B7D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71177B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1429BC6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02DCC5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804979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3387D5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292CFAE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DA30FC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3A1CA5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0DC658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022F40B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9D3469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947BD9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04207B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002E4BC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10.1</w:t>
            </w:r>
          </w:p>
        </w:tc>
        <w:tc>
          <w:tcPr>
            <w:tcW w:w="192" w:type="dxa"/>
            <w:shd w:val="clear" w:color="auto" w:fill="CFF0FC"/>
            <w:noWrap/>
            <w:tcMar>
              <w:top w:w="15" w:type="dxa"/>
              <w:left w:w="0" w:type="dxa"/>
              <w:bottom w:w="0" w:type="dxa"/>
              <w:right w:w="15" w:type="dxa"/>
            </w:tcMar>
            <w:vAlign w:val="bottom"/>
            <w:hideMark/>
          </w:tcPr>
          <w:p w14:paraId="0B1EAEE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329657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626875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1F21E87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2E1213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1C3DCA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1F3AF0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4C8E95A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10.1</w:t>
            </w:r>
          </w:p>
        </w:tc>
        <w:tc>
          <w:tcPr>
            <w:tcW w:w="192" w:type="dxa"/>
            <w:shd w:val="clear" w:color="auto" w:fill="CFF0FC"/>
            <w:noWrap/>
            <w:tcMar>
              <w:top w:w="15" w:type="dxa"/>
              <w:left w:w="0" w:type="dxa"/>
              <w:bottom w:w="0" w:type="dxa"/>
              <w:right w:w="15" w:type="dxa"/>
            </w:tcMar>
            <w:vAlign w:val="bottom"/>
            <w:hideMark/>
          </w:tcPr>
          <w:p w14:paraId="150F258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11F259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2F246F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4398FFD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F9ADFF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38EB93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564F69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2D5580E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10.1</w:t>
            </w:r>
          </w:p>
        </w:tc>
        <w:tc>
          <w:tcPr>
            <w:tcW w:w="194" w:type="dxa"/>
            <w:shd w:val="clear" w:color="auto" w:fill="CFF0FC"/>
            <w:noWrap/>
            <w:tcMar>
              <w:top w:w="15" w:type="dxa"/>
              <w:left w:w="0" w:type="dxa"/>
              <w:bottom w:w="0" w:type="dxa"/>
              <w:right w:w="15" w:type="dxa"/>
            </w:tcMar>
            <w:vAlign w:val="bottom"/>
            <w:hideMark/>
          </w:tcPr>
          <w:p w14:paraId="443F340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153A48AF" w14:textId="77777777" w:rsidTr="00AC4931">
        <w:tc>
          <w:tcPr>
            <w:tcW w:w="5791" w:type="dxa"/>
            <w:shd w:val="clear" w:color="auto" w:fill="FFFFFF"/>
            <w:tcMar>
              <w:top w:w="15" w:type="dxa"/>
              <w:left w:w="0" w:type="dxa"/>
              <w:bottom w:w="0" w:type="dxa"/>
              <w:right w:w="15" w:type="dxa"/>
            </w:tcMar>
            <w:hideMark/>
          </w:tcPr>
          <w:p w14:paraId="6111DE4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Adjustment due to adoption of</w:t>
            </w:r>
          </w:p>
          <w:p w14:paraId="0589856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ASU 2018-02</w:t>
            </w:r>
          </w:p>
        </w:tc>
        <w:tc>
          <w:tcPr>
            <w:tcW w:w="200" w:type="dxa"/>
            <w:shd w:val="clear" w:color="auto" w:fill="FFFFFF"/>
            <w:tcMar>
              <w:top w:w="15" w:type="dxa"/>
              <w:left w:w="0" w:type="dxa"/>
              <w:bottom w:w="0" w:type="dxa"/>
              <w:right w:w="15" w:type="dxa"/>
            </w:tcMar>
            <w:vAlign w:val="bottom"/>
            <w:hideMark/>
          </w:tcPr>
          <w:p w14:paraId="07D006C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29FEC6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C3C565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1CA748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EE3FAE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B1CACA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0617985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23C4B7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E28432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9A6674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1FD5A6F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272980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13F705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9C619C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1FD8463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10.2</w:t>
            </w:r>
          </w:p>
        </w:tc>
        <w:tc>
          <w:tcPr>
            <w:tcW w:w="192" w:type="dxa"/>
            <w:shd w:val="clear" w:color="auto" w:fill="FFFFFF"/>
            <w:noWrap/>
            <w:tcMar>
              <w:top w:w="15" w:type="dxa"/>
              <w:left w:w="0" w:type="dxa"/>
              <w:bottom w:w="0" w:type="dxa"/>
              <w:right w:w="15" w:type="dxa"/>
            </w:tcMar>
            <w:vAlign w:val="bottom"/>
            <w:hideMark/>
          </w:tcPr>
          <w:p w14:paraId="470A215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AADE86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CB8F96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4F43C8C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(10.2</w:t>
            </w:r>
          </w:p>
        </w:tc>
        <w:tc>
          <w:tcPr>
            <w:tcW w:w="192" w:type="dxa"/>
            <w:shd w:val="clear" w:color="auto" w:fill="FFFFFF"/>
            <w:noWrap/>
            <w:tcMar>
              <w:top w:w="15" w:type="dxa"/>
              <w:left w:w="0" w:type="dxa"/>
              <w:bottom w:w="0" w:type="dxa"/>
              <w:right w:w="15" w:type="dxa"/>
            </w:tcMar>
            <w:vAlign w:val="bottom"/>
            <w:hideMark/>
          </w:tcPr>
          <w:p w14:paraId="767AE35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636F96E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AFC2AB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46FF039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03AC87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A2A92E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3E521E1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bottom w:val="single" w:sz="6" w:space="0" w:color="000000"/>
            </w:tcBorders>
            <w:shd w:val="clear" w:color="auto" w:fill="FFFFFF"/>
            <w:noWrap/>
            <w:tcMar>
              <w:top w:w="15" w:type="dxa"/>
              <w:left w:w="0" w:type="dxa"/>
              <w:bottom w:w="0" w:type="dxa"/>
              <w:right w:w="15" w:type="dxa"/>
            </w:tcMar>
            <w:vAlign w:val="bottom"/>
            <w:hideMark/>
          </w:tcPr>
          <w:p w14:paraId="6F59AD2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192" w:type="dxa"/>
            <w:shd w:val="clear" w:color="auto" w:fill="FFFFFF"/>
            <w:noWrap/>
            <w:tcMar>
              <w:top w:w="15" w:type="dxa"/>
              <w:left w:w="0" w:type="dxa"/>
              <w:bottom w:w="0" w:type="dxa"/>
              <w:right w:w="15" w:type="dxa"/>
            </w:tcMar>
            <w:vAlign w:val="bottom"/>
            <w:hideMark/>
          </w:tcPr>
          <w:p w14:paraId="5E54859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B96A6C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0D89433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65E35E1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E9D16B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B7CF7B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143913A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6CB2FEF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194" w:type="dxa"/>
            <w:shd w:val="clear" w:color="auto" w:fill="FFFFFF"/>
            <w:noWrap/>
            <w:tcMar>
              <w:top w:w="15" w:type="dxa"/>
              <w:left w:w="0" w:type="dxa"/>
              <w:bottom w:w="0" w:type="dxa"/>
              <w:right w:w="15" w:type="dxa"/>
            </w:tcMar>
            <w:vAlign w:val="bottom"/>
            <w:hideMark/>
          </w:tcPr>
          <w:p w14:paraId="29ED71F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7904F732" w14:textId="77777777" w:rsidTr="00AC4931">
        <w:tc>
          <w:tcPr>
            <w:tcW w:w="5791" w:type="dxa"/>
            <w:shd w:val="clear" w:color="auto" w:fill="CFF0FC"/>
            <w:tcMar>
              <w:top w:w="15" w:type="dxa"/>
              <w:left w:w="0" w:type="dxa"/>
              <w:bottom w:w="0" w:type="dxa"/>
              <w:right w:w="15" w:type="dxa"/>
            </w:tcMar>
            <w:hideMark/>
          </w:tcPr>
          <w:p w14:paraId="78031246"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Total Comprehensive Income</w:t>
            </w:r>
          </w:p>
        </w:tc>
        <w:tc>
          <w:tcPr>
            <w:tcW w:w="200" w:type="dxa"/>
            <w:shd w:val="clear" w:color="auto" w:fill="CFF0FC"/>
            <w:tcMar>
              <w:top w:w="15" w:type="dxa"/>
              <w:left w:w="0" w:type="dxa"/>
              <w:bottom w:w="0" w:type="dxa"/>
              <w:right w:w="15" w:type="dxa"/>
            </w:tcMar>
            <w:vAlign w:val="bottom"/>
            <w:hideMark/>
          </w:tcPr>
          <w:p w14:paraId="28E10A2E"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C505F33"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1261153A"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178028D"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406A2B4"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D9CB82B"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30522F3A"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BEA833C"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EB9735B"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B8B4CBD"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6A0BD0F7"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25C798E"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0B03706"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33B8D03"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2E9D8FE5"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DA61BEE"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88A6E34"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1B2745F"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06270BD3"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2FD50AE"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B0CF16F"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A972170"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42EAB81A"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1A5A54C"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AC32503"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B6F93BE"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18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283CDF3"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51.9</w:t>
            </w:r>
          </w:p>
        </w:tc>
        <w:tc>
          <w:tcPr>
            <w:tcW w:w="192" w:type="dxa"/>
            <w:shd w:val="clear" w:color="auto" w:fill="CFF0FC"/>
            <w:noWrap/>
            <w:tcMar>
              <w:top w:w="15" w:type="dxa"/>
              <w:left w:w="0" w:type="dxa"/>
              <w:bottom w:w="0" w:type="dxa"/>
              <w:right w:w="15" w:type="dxa"/>
            </w:tcMar>
            <w:vAlign w:val="bottom"/>
            <w:hideMark/>
          </w:tcPr>
          <w:p w14:paraId="15808260"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7E165EF6"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B45FC27"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6E73685"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(7.4</w:t>
            </w:r>
          </w:p>
        </w:tc>
        <w:tc>
          <w:tcPr>
            <w:tcW w:w="192" w:type="dxa"/>
            <w:shd w:val="clear" w:color="auto" w:fill="CFF0FC"/>
            <w:noWrap/>
            <w:tcMar>
              <w:top w:w="15" w:type="dxa"/>
              <w:left w:w="0" w:type="dxa"/>
              <w:bottom w:w="0" w:type="dxa"/>
              <w:right w:w="15" w:type="dxa"/>
            </w:tcMar>
            <w:vAlign w:val="bottom"/>
            <w:hideMark/>
          </w:tcPr>
          <w:p w14:paraId="6F233154"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34285961"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AF9AD71"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77F7B4E"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44.5</w:t>
            </w:r>
          </w:p>
        </w:tc>
        <w:tc>
          <w:tcPr>
            <w:tcW w:w="194" w:type="dxa"/>
            <w:shd w:val="clear" w:color="auto" w:fill="CFF0FC"/>
            <w:noWrap/>
            <w:tcMar>
              <w:top w:w="15" w:type="dxa"/>
              <w:left w:w="0" w:type="dxa"/>
              <w:bottom w:w="0" w:type="dxa"/>
              <w:right w:w="15" w:type="dxa"/>
            </w:tcMar>
            <w:vAlign w:val="bottom"/>
            <w:hideMark/>
          </w:tcPr>
          <w:p w14:paraId="60AA1C1A"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r>
      <w:tr w:rsidR="00AC4931" w:rsidRPr="00AC4931" w14:paraId="0C69F44A" w14:textId="77777777" w:rsidTr="00AC4931">
        <w:tc>
          <w:tcPr>
            <w:tcW w:w="5791" w:type="dxa"/>
            <w:shd w:val="clear" w:color="auto" w:fill="FFFFFF"/>
            <w:tcMar>
              <w:top w:w="15" w:type="dxa"/>
              <w:left w:w="0" w:type="dxa"/>
              <w:bottom w:w="0" w:type="dxa"/>
              <w:right w:w="15" w:type="dxa"/>
            </w:tcMar>
            <w:hideMark/>
          </w:tcPr>
          <w:p w14:paraId="4E8C2CA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Stock-based compensation</w:t>
            </w:r>
          </w:p>
        </w:tc>
        <w:tc>
          <w:tcPr>
            <w:tcW w:w="200" w:type="dxa"/>
            <w:shd w:val="clear" w:color="auto" w:fill="FFFFFF"/>
            <w:tcMar>
              <w:top w:w="15" w:type="dxa"/>
              <w:left w:w="0" w:type="dxa"/>
              <w:bottom w:w="0" w:type="dxa"/>
              <w:right w:w="15" w:type="dxa"/>
            </w:tcMar>
            <w:vAlign w:val="bottom"/>
            <w:hideMark/>
          </w:tcPr>
          <w:p w14:paraId="7298F2E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0AA8C2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9CEF1D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32141F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DED622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6DC151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7422DF4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8DCE72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D9BE7A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113E07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22962DE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66C1BF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C7A724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07FF99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78962AB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3F1457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A0376E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1F508A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3059EA3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47B7AB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01F2EC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75129A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1FB8DF5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21.7</w:t>
            </w:r>
          </w:p>
        </w:tc>
        <w:tc>
          <w:tcPr>
            <w:tcW w:w="192" w:type="dxa"/>
            <w:shd w:val="clear" w:color="auto" w:fill="FFFFFF"/>
            <w:noWrap/>
            <w:tcMar>
              <w:top w:w="15" w:type="dxa"/>
              <w:left w:w="0" w:type="dxa"/>
              <w:bottom w:w="0" w:type="dxa"/>
              <w:right w:w="15" w:type="dxa"/>
            </w:tcMar>
            <w:vAlign w:val="bottom"/>
            <w:hideMark/>
          </w:tcPr>
          <w:p w14:paraId="125BD78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86748B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5D5DF1B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top w:val="single" w:sz="6" w:space="0" w:color="000000"/>
            </w:tcBorders>
            <w:shd w:val="clear" w:color="auto" w:fill="FFFFFF"/>
            <w:noWrap/>
            <w:tcMar>
              <w:top w:w="15" w:type="dxa"/>
              <w:left w:w="0" w:type="dxa"/>
              <w:bottom w:w="0" w:type="dxa"/>
              <w:right w:w="15" w:type="dxa"/>
            </w:tcMar>
            <w:vAlign w:val="bottom"/>
            <w:hideMark/>
          </w:tcPr>
          <w:p w14:paraId="780FEE9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21.7</w:t>
            </w:r>
          </w:p>
        </w:tc>
        <w:tc>
          <w:tcPr>
            <w:tcW w:w="192" w:type="dxa"/>
            <w:shd w:val="clear" w:color="auto" w:fill="FFFFFF"/>
            <w:noWrap/>
            <w:tcMar>
              <w:top w:w="15" w:type="dxa"/>
              <w:left w:w="0" w:type="dxa"/>
              <w:bottom w:w="0" w:type="dxa"/>
              <w:right w:w="15" w:type="dxa"/>
            </w:tcMar>
            <w:vAlign w:val="bottom"/>
            <w:hideMark/>
          </w:tcPr>
          <w:p w14:paraId="1642397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5A3F6E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7E44DAB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FFFFFF"/>
            <w:noWrap/>
            <w:tcMar>
              <w:top w:w="15" w:type="dxa"/>
              <w:left w:w="0" w:type="dxa"/>
              <w:bottom w:w="0" w:type="dxa"/>
              <w:right w:w="15" w:type="dxa"/>
            </w:tcMar>
            <w:vAlign w:val="bottom"/>
            <w:hideMark/>
          </w:tcPr>
          <w:p w14:paraId="328822B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BA84D7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2B00A7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668F7C2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FFFFFF"/>
            <w:noWrap/>
            <w:tcMar>
              <w:top w:w="15" w:type="dxa"/>
              <w:left w:w="0" w:type="dxa"/>
              <w:bottom w:w="0" w:type="dxa"/>
              <w:right w:w="15" w:type="dxa"/>
            </w:tcMar>
            <w:vAlign w:val="bottom"/>
            <w:hideMark/>
          </w:tcPr>
          <w:p w14:paraId="299BED0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21.7</w:t>
            </w:r>
          </w:p>
        </w:tc>
        <w:tc>
          <w:tcPr>
            <w:tcW w:w="194" w:type="dxa"/>
            <w:shd w:val="clear" w:color="auto" w:fill="FFFFFF"/>
            <w:noWrap/>
            <w:tcMar>
              <w:top w:w="15" w:type="dxa"/>
              <w:left w:w="0" w:type="dxa"/>
              <w:bottom w:w="0" w:type="dxa"/>
              <w:right w:w="15" w:type="dxa"/>
            </w:tcMar>
            <w:vAlign w:val="bottom"/>
            <w:hideMark/>
          </w:tcPr>
          <w:p w14:paraId="5DE0996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7391A2C8" w14:textId="77777777" w:rsidTr="00AC4931">
        <w:tc>
          <w:tcPr>
            <w:tcW w:w="5791" w:type="dxa"/>
            <w:shd w:val="clear" w:color="auto" w:fill="CFF0FC"/>
            <w:tcMar>
              <w:top w:w="15" w:type="dxa"/>
              <w:left w:w="0" w:type="dxa"/>
              <w:bottom w:w="0" w:type="dxa"/>
              <w:right w:w="15" w:type="dxa"/>
            </w:tcMar>
            <w:hideMark/>
          </w:tcPr>
          <w:p w14:paraId="57CD75A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Cash dividends declared</w:t>
            </w:r>
          </w:p>
        </w:tc>
        <w:tc>
          <w:tcPr>
            <w:tcW w:w="200" w:type="dxa"/>
            <w:shd w:val="clear" w:color="auto" w:fill="CFF0FC"/>
            <w:tcMar>
              <w:top w:w="15" w:type="dxa"/>
              <w:left w:w="0" w:type="dxa"/>
              <w:bottom w:w="0" w:type="dxa"/>
              <w:right w:w="15" w:type="dxa"/>
            </w:tcMar>
            <w:vAlign w:val="bottom"/>
            <w:hideMark/>
          </w:tcPr>
          <w:p w14:paraId="0026648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BEC3E8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1126A71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2E414F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305F14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605C93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47054B6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12B658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8E27FB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44BB9D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78249BA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F746B3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04258D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C567EC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0D4B6AB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(216.7</w:t>
            </w:r>
          </w:p>
        </w:tc>
        <w:tc>
          <w:tcPr>
            <w:tcW w:w="192" w:type="dxa"/>
            <w:shd w:val="clear" w:color="auto" w:fill="CFF0FC"/>
            <w:noWrap/>
            <w:tcMar>
              <w:top w:w="15" w:type="dxa"/>
              <w:left w:w="0" w:type="dxa"/>
              <w:bottom w:w="0" w:type="dxa"/>
              <w:right w:w="15" w:type="dxa"/>
            </w:tcMar>
            <w:vAlign w:val="bottom"/>
            <w:hideMark/>
          </w:tcPr>
          <w:p w14:paraId="214AE6E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5189B4C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AE9870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5BEE8CC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99BC20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7704E0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A6F470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2A05A10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4FE70B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035FB2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1F12AF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2C09FBC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(216.7</w:t>
            </w:r>
          </w:p>
        </w:tc>
        <w:tc>
          <w:tcPr>
            <w:tcW w:w="192" w:type="dxa"/>
            <w:shd w:val="clear" w:color="auto" w:fill="CFF0FC"/>
            <w:noWrap/>
            <w:tcMar>
              <w:top w:w="15" w:type="dxa"/>
              <w:left w:w="0" w:type="dxa"/>
              <w:bottom w:w="0" w:type="dxa"/>
              <w:right w:w="15" w:type="dxa"/>
            </w:tcMar>
            <w:vAlign w:val="bottom"/>
            <w:hideMark/>
          </w:tcPr>
          <w:p w14:paraId="160BF38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638A68C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FE2288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3239B08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A3579E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091F3A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A3DF12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5558BBE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(216.7</w:t>
            </w:r>
          </w:p>
        </w:tc>
        <w:tc>
          <w:tcPr>
            <w:tcW w:w="194" w:type="dxa"/>
            <w:shd w:val="clear" w:color="auto" w:fill="CFF0FC"/>
            <w:noWrap/>
            <w:tcMar>
              <w:top w:w="15" w:type="dxa"/>
              <w:left w:w="0" w:type="dxa"/>
              <w:bottom w:w="0" w:type="dxa"/>
              <w:right w:w="15" w:type="dxa"/>
            </w:tcMar>
            <w:vAlign w:val="bottom"/>
            <w:hideMark/>
          </w:tcPr>
          <w:p w14:paraId="482CA3B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r>
      <w:tr w:rsidR="00AC4931" w:rsidRPr="00AC4931" w14:paraId="5BCED89B" w14:textId="77777777" w:rsidTr="00AC4931">
        <w:tc>
          <w:tcPr>
            <w:tcW w:w="5791" w:type="dxa"/>
            <w:shd w:val="clear" w:color="auto" w:fill="FFFFFF"/>
            <w:tcMar>
              <w:top w:w="15" w:type="dxa"/>
              <w:left w:w="0" w:type="dxa"/>
              <w:bottom w:w="0" w:type="dxa"/>
              <w:right w:w="15" w:type="dxa"/>
            </w:tcMar>
            <w:hideMark/>
          </w:tcPr>
          <w:p w14:paraId="351EC3C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Dividends paid to non-controlling</w:t>
            </w:r>
          </w:p>
          <w:p w14:paraId="784A4DB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interest on subsidiary shares</w:t>
            </w:r>
          </w:p>
        </w:tc>
        <w:tc>
          <w:tcPr>
            <w:tcW w:w="200" w:type="dxa"/>
            <w:shd w:val="clear" w:color="auto" w:fill="FFFFFF"/>
            <w:tcMar>
              <w:top w:w="15" w:type="dxa"/>
              <w:left w:w="0" w:type="dxa"/>
              <w:bottom w:w="0" w:type="dxa"/>
              <w:right w:w="15" w:type="dxa"/>
            </w:tcMar>
            <w:vAlign w:val="bottom"/>
            <w:hideMark/>
          </w:tcPr>
          <w:p w14:paraId="5595235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579151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212A3F4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CCAB50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78EA6E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6A5C6F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0CE731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B21AA9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59A6B5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01619C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2AE75097"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70B894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09E02C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8DE00B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67CE0D3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6DE2C0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44B1C9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093F0B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4685A69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055DFF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97D6FC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C36F55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136F2410"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9C72D4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921418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BDCBDF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0E70EE0C"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D690E1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24F3A8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484947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3D40BA7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(2.2</w:t>
            </w:r>
          </w:p>
        </w:tc>
        <w:tc>
          <w:tcPr>
            <w:tcW w:w="192" w:type="dxa"/>
            <w:shd w:val="clear" w:color="auto" w:fill="FFFFFF"/>
            <w:noWrap/>
            <w:tcMar>
              <w:top w:w="15" w:type="dxa"/>
              <w:left w:w="0" w:type="dxa"/>
              <w:bottom w:w="0" w:type="dxa"/>
              <w:right w:w="15" w:type="dxa"/>
            </w:tcMar>
            <w:vAlign w:val="bottom"/>
            <w:hideMark/>
          </w:tcPr>
          <w:p w14:paraId="773EAFF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3AF161C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9421C5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845FCC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(2.2</w:t>
            </w:r>
          </w:p>
        </w:tc>
        <w:tc>
          <w:tcPr>
            <w:tcW w:w="194" w:type="dxa"/>
            <w:shd w:val="clear" w:color="auto" w:fill="FFFFFF"/>
            <w:noWrap/>
            <w:tcMar>
              <w:top w:w="15" w:type="dxa"/>
              <w:left w:w="0" w:type="dxa"/>
              <w:bottom w:w="0" w:type="dxa"/>
              <w:right w:w="15" w:type="dxa"/>
            </w:tcMar>
            <w:vAlign w:val="bottom"/>
            <w:hideMark/>
          </w:tcPr>
          <w:p w14:paraId="0FFF9A4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r>
      <w:tr w:rsidR="00AC4931" w:rsidRPr="00AC4931" w14:paraId="007C4437" w14:textId="77777777" w:rsidTr="00AC4931">
        <w:tc>
          <w:tcPr>
            <w:tcW w:w="5791" w:type="dxa"/>
            <w:shd w:val="clear" w:color="auto" w:fill="CFF0FC"/>
            <w:tcMar>
              <w:top w:w="15" w:type="dxa"/>
              <w:left w:w="0" w:type="dxa"/>
              <w:bottom w:w="0" w:type="dxa"/>
              <w:right w:w="15" w:type="dxa"/>
            </w:tcMar>
            <w:hideMark/>
          </w:tcPr>
          <w:p w14:paraId="2958965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Adjustment due to adoption of</w:t>
            </w:r>
          </w:p>
          <w:p w14:paraId="468C4DE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ASU 2014-09</w:t>
            </w:r>
          </w:p>
        </w:tc>
        <w:tc>
          <w:tcPr>
            <w:tcW w:w="200" w:type="dxa"/>
            <w:shd w:val="clear" w:color="auto" w:fill="CFF0FC"/>
            <w:tcMar>
              <w:top w:w="15" w:type="dxa"/>
              <w:left w:w="0" w:type="dxa"/>
              <w:bottom w:w="0" w:type="dxa"/>
              <w:right w:w="15" w:type="dxa"/>
            </w:tcMar>
            <w:vAlign w:val="bottom"/>
            <w:hideMark/>
          </w:tcPr>
          <w:p w14:paraId="0F94E5D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E4243E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2F346DE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969277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21BACF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AC7441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698B0CD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677F3E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2D4214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F0CB9F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5648170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6A7FB4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55E975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8E0132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774BD4B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3.3</w:t>
            </w:r>
          </w:p>
        </w:tc>
        <w:tc>
          <w:tcPr>
            <w:tcW w:w="192" w:type="dxa"/>
            <w:shd w:val="clear" w:color="auto" w:fill="CFF0FC"/>
            <w:noWrap/>
            <w:tcMar>
              <w:top w:w="15" w:type="dxa"/>
              <w:left w:w="0" w:type="dxa"/>
              <w:bottom w:w="0" w:type="dxa"/>
              <w:right w:w="15" w:type="dxa"/>
            </w:tcMar>
            <w:vAlign w:val="bottom"/>
            <w:hideMark/>
          </w:tcPr>
          <w:p w14:paraId="332CAC5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3DBD46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36F5A1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51E0F24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DBCB07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ACBABE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28EF73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01ADDBB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5D27E7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774AF25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14043F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697C778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3.3</w:t>
            </w:r>
          </w:p>
        </w:tc>
        <w:tc>
          <w:tcPr>
            <w:tcW w:w="192" w:type="dxa"/>
            <w:shd w:val="clear" w:color="auto" w:fill="CFF0FC"/>
            <w:noWrap/>
            <w:tcMar>
              <w:top w:w="15" w:type="dxa"/>
              <w:left w:w="0" w:type="dxa"/>
              <w:bottom w:w="0" w:type="dxa"/>
              <w:right w:w="15" w:type="dxa"/>
            </w:tcMar>
            <w:vAlign w:val="bottom"/>
            <w:hideMark/>
          </w:tcPr>
          <w:p w14:paraId="6703631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7FD67C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F8267B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68D213C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E4D7E8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DFBD49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1176CA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1AAF838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3.3</w:t>
            </w:r>
          </w:p>
        </w:tc>
        <w:tc>
          <w:tcPr>
            <w:tcW w:w="194" w:type="dxa"/>
            <w:shd w:val="clear" w:color="auto" w:fill="CFF0FC"/>
            <w:noWrap/>
            <w:tcMar>
              <w:top w:w="15" w:type="dxa"/>
              <w:left w:w="0" w:type="dxa"/>
              <w:bottom w:w="0" w:type="dxa"/>
              <w:right w:w="15" w:type="dxa"/>
            </w:tcMar>
            <w:vAlign w:val="bottom"/>
            <w:hideMark/>
          </w:tcPr>
          <w:p w14:paraId="5A54C0F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329D47D8" w14:textId="77777777" w:rsidTr="00AC4931">
        <w:tc>
          <w:tcPr>
            <w:tcW w:w="5791" w:type="dxa"/>
            <w:shd w:val="clear" w:color="auto" w:fill="FFFFFF"/>
            <w:tcMar>
              <w:top w:w="15" w:type="dxa"/>
              <w:left w:w="0" w:type="dxa"/>
              <w:bottom w:w="0" w:type="dxa"/>
              <w:right w:w="15" w:type="dxa"/>
            </w:tcMar>
            <w:hideMark/>
          </w:tcPr>
          <w:p w14:paraId="3A519C1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Distribution of Veoneer</w:t>
            </w:r>
          </w:p>
        </w:tc>
        <w:tc>
          <w:tcPr>
            <w:tcW w:w="200" w:type="dxa"/>
            <w:shd w:val="clear" w:color="auto" w:fill="FFFFFF"/>
            <w:tcMar>
              <w:top w:w="15" w:type="dxa"/>
              <w:left w:w="0" w:type="dxa"/>
              <w:bottom w:w="0" w:type="dxa"/>
              <w:right w:w="15" w:type="dxa"/>
            </w:tcMar>
            <w:vAlign w:val="bottom"/>
            <w:hideMark/>
          </w:tcPr>
          <w:p w14:paraId="67DDFB5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A002DD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03EC81C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33A965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9A7520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30324D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6AA8684C"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9B62DE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D0C189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419182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21BF5C5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54651D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5BE95F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B8B53E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B1DDF50"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(2,024.3</w:t>
            </w:r>
          </w:p>
        </w:tc>
        <w:tc>
          <w:tcPr>
            <w:tcW w:w="192" w:type="dxa"/>
            <w:shd w:val="clear" w:color="auto" w:fill="FFFFFF"/>
            <w:noWrap/>
            <w:tcMar>
              <w:top w:w="15" w:type="dxa"/>
              <w:left w:w="0" w:type="dxa"/>
              <w:bottom w:w="0" w:type="dxa"/>
              <w:right w:w="15" w:type="dxa"/>
            </w:tcMar>
            <w:vAlign w:val="bottom"/>
            <w:hideMark/>
          </w:tcPr>
          <w:p w14:paraId="240CF49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200F968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10F6F5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182E7D4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13.0</w:t>
            </w:r>
          </w:p>
        </w:tc>
        <w:tc>
          <w:tcPr>
            <w:tcW w:w="192" w:type="dxa"/>
            <w:shd w:val="clear" w:color="auto" w:fill="FFFFFF"/>
            <w:noWrap/>
            <w:tcMar>
              <w:top w:w="15" w:type="dxa"/>
              <w:left w:w="0" w:type="dxa"/>
              <w:bottom w:w="0" w:type="dxa"/>
              <w:right w:w="15" w:type="dxa"/>
            </w:tcMar>
            <w:vAlign w:val="bottom"/>
            <w:hideMark/>
          </w:tcPr>
          <w:p w14:paraId="4A89A4A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D7E5E8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3FE36C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1A88CEFC"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D7946B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09B3BB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E4EB5C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0CA01BB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(2,011.3</w:t>
            </w:r>
          </w:p>
        </w:tc>
        <w:tc>
          <w:tcPr>
            <w:tcW w:w="192" w:type="dxa"/>
            <w:shd w:val="clear" w:color="auto" w:fill="FFFFFF"/>
            <w:noWrap/>
            <w:tcMar>
              <w:top w:w="15" w:type="dxa"/>
              <w:left w:w="0" w:type="dxa"/>
              <w:bottom w:w="0" w:type="dxa"/>
              <w:right w:w="15" w:type="dxa"/>
            </w:tcMar>
            <w:vAlign w:val="bottom"/>
            <w:hideMark/>
          </w:tcPr>
          <w:p w14:paraId="7552FB1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0B7683A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CA4AA3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34226A4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(111.6</w:t>
            </w:r>
          </w:p>
        </w:tc>
        <w:tc>
          <w:tcPr>
            <w:tcW w:w="192" w:type="dxa"/>
            <w:shd w:val="clear" w:color="auto" w:fill="FFFFFF"/>
            <w:noWrap/>
            <w:tcMar>
              <w:top w:w="15" w:type="dxa"/>
              <w:left w:w="0" w:type="dxa"/>
              <w:bottom w:w="0" w:type="dxa"/>
              <w:right w:w="15" w:type="dxa"/>
            </w:tcMar>
            <w:vAlign w:val="bottom"/>
            <w:hideMark/>
          </w:tcPr>
          <w:p w14:paraId="2752FF8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3621B58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63F0EC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7C26F4B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(2,122.9</w:t>
            </w:r>
          </w:p>
        </w:tc>
        <w:tc>
          <w:tcPr>
            <w:tcW w:w="194" w:type="dxa"/>
            <w:shd w:val="clear" w:color="auto" w:fill="FFFFFF"/>
            <w:noWrap/>
            <w:tcMar>
              <w:top w:w="15" w:type="dxa"/>
              <w:left w:w="0" w:type="dxa"/>
              <w:bottom w:w="0" w:type="dxa"/>
              <w:right w:w="15" w:type="dxa"/>
            </w:tcMar>
            <w:vAlign w:val="bottom"/>
            <w:hideMark/>
          </w:tcPr>
          <w:p w14:paraId="7D86ACB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r>
      <w:tr w:rsidR="00AC4931" w:rsidRPr="00AC4931" w14:paraId="643D8E7C" w14:textId="77777777" w:rsidTr="00AC4931">
        <w:tc>
          <w:tcPr>
            <w:tcW w:w="5791" w:type="dxa"/>
            <w:shd w:val="clear" w:color="auto" w:fill="CFF0FC"/>
            <w:tcMar>
              <w:top w:w="15" w:type="dxa"/>
              <w:left w:w="0" w:type="dxa"/>
              <w:bottom w:w="0" w:type="dxa"/>
              <w:right w:w="15" w:type="dxa"/>
            </w:tcMar>
            <w:hideMark/>
          </w:tcPr>
          <w:p w14:paraId="56D9EF1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Other</w:t>
            </w:r>
          </w:p>
        </w:tc>
        <w:tc>
          <w:tcPr>
            <w:tcW w:w="200" w:type="dxa"/>
            <w:shd w:val="clear" w:color="auto" w:fill="CFF0FC"/>
            <w:tcMar>
              <w:top w:w="15" w:type="dxa"/>
              <w:left w:w="0" w:type="dxa"/>
              <w:bottom w:w="0" w:type="dxa"/>
              <w:right w:w="15" w:type="dxa"/>
            </w:tcMar>
            <w:vAlign w:val="bottom"/>
            <w:hideMark/>
          </w:tcPr>
          <w:p w14:paraId="01B5A24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301FCA6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4EA56D6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B62BC9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5E8F0B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6466DDB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5953A0E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85069F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FFE6E2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1ED5331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7415365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CD3A58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E818C0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1AE6932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1AA752F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(0.3</w:t>
            </w:r>
          </w:p>
        </w:tc>
        <w:tc>
          <w:tcPr>
            <w:tcW w:w="192" w:type="dxa"/>
            <w:shd w:val="clear" w:color="auto" w:fill="CFF0FC"/>
            <w:noWrap/>
            <w:tcMar>
              <w:top w:w="15" w:type="dxa"/>
              <w:left w:w="0" w:type="dxa"/>
              <w:bottom w:w="0" w:type="dxa"/>
              <w:right w:w="15" w:type="dxa"/>
            </w:tcMar>
            <w:vAlign w:val="bottom"/>
            <w:hideMark/>
          </w:tcPr>
          <w:p w14:paraId="2026E93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0FCD6C6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56C540B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bottom w:val="single" w:sz="6" w:space="0" w:color="000000"/>
            </w:tcBorders>
            <w:shd w:val="clear" w:color="auto" w:fill="CFF0FC"/>
            <w:noWrap/>
            <w:tcMar>
              <w:top w:w="15" w:type="dxa"/>
              <w:left w:w="0" w:type="dxa"/>
              <w:bottom w:w="0" w:type="dxa"/>
              <w:right w:w="15" w:type="dxa"/>
            </w:tcMar>
            <w:vAlign w:val="bottom"/>
            <w:hideMark/>
          </w:tcPr>
          <w:p w14:paraId="6851031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6EFD22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95D413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499B8CC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tcBorders>
              <w:bottom w:val="single" w:sz="6" w:space="0" w:color="000000"/>
            </w:tcBorders>
            <w:shd w:val="clear" w:color="auto" w:fill="CFF0FC"/>
            <w:noWrap/>
            <w:tcMar>
              <w:top w:w="15" w:type="dxa"/>
              <w:left w:w="0" w:type="dxa"/>
              <w:bottom w:w="0" w:type="dxa"/>
              <w:right w:w="15" w:type="dxa"/>
            </w:tcMar>
            <w:vAlign w:val="bottom"/>
            <w:hideMark/>
          </w:tcPr>
          <w:p w14:paraId="6F75B30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161AE2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B62877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3DF50CF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bottom w:val="single" w:sz="6" w:space="0" w:color="000000"/>
            </w:tcBorders>
            <w:shd w:val="clear" w:color="auto" w:fill="CFF0FC"/>
            <w:noWrap/>
            <w:tcMar>
              <w:top w:w="15" w:type="dxa"/>
              <w:left w:w="0" w:type="dxa"/>
              <w:bottom w:w="0" w:type="dxa"/>
              <w:right w:w="15" w:type="dxa"/>
            </w:tcMar>
            <w:vAlign w:val="bottom"/>
            <w:hideMark/>
          </w:tcPr>
          <w:p w14:paraId="7CFF6D6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(0.3</w:t>
            </w:r>
          </w:p>
        </w:tc>
        <w:tc>
          <w:tcPr>
            <w:tcW w:w="192" w:type="dxa"/>
            <w:shd w:val="clear" w:color="auto" w:fill="CFF0FC"/>
            <w:noWrap/>
            <w:tcMar>
              <w:top w:w="15" w:type="dxa"/>
              <w:left w:w="0" w:type="dxa"/>
              <w:bottom w:w="0" w:type="dxa"/>
              <w:right w:w="15" w:type="dxa"/>
            </w:tcMar>
            <w:vAlign w:val="bottom"/>
            <w:hideMark/>
          </w:tcPr>
          <w:p w14:paraId="6E158E3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4BFDC6F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61C7F79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4F71EBE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0735EB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505B15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0670C05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2E90188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(0.3</w:t>
            </w:r>
          </w:p>
        </w:tc>
        <w:tc>
          <w:tcPr>
            <w:tcW w:w="194" w:type="dxa"/>
            <w:shd w:val="clear" w:color="auto" w:fill="CFF0FC"/>
            <w:noWrap/>
            <w:tcMar>
              <w:top w:w="15" w:type="dxa"/>
              <w:left w:w="0" w:type="dxa"/>
              <w:bottom w:w="0" w:type="dxa"/>
              <w:right w:w="15" w:type="dxa"/>
            </w:tcMar>
            <w:vAlign w:val="bottom"/>
            <w:hideMark/>
          </w:tcPr>
          <w:p w14:paraId="690AF3F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r>
      <w:tr w:rsidR="00AC4931" w:rsidRPr="00AC4931" w14:paraId="6F2380AF" w14:textId="77777777" w:rsidTr="00AC4931">
        <w:tc>
          <w:tcPr>
            <w:tcW w:w="5791" w:type="dxa"/>
            <w:shd w:val="clear" w:color="auto" w:fill="FFFFFF"/>
            <w:tcMar>
              <w:top w:w="15" w:type="dxa"/>
              <w:left w:w="0" w:type="dxa"/>
              <w:bottom w:w="0" w:type="dxa"/>
              <w:right w:w="15" w:type="dxa"/>
            </w:tcMar>
            <w:hideMark/>
          </w:tcPr>
          <w:p w14:paraId="289029C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Balance at December 31, 2018</w:t>
            </w:r>
          </w:p>
        </w:tc>
        <w:tc>
          <w:tcPr>
            <w:tcW w:w="200" w:type="dxa"/>
            <w:shd w:val="clear" w:color="auto" w:fill="FFFFFF"/>
            <w:tcMar>
              <w:top w:w="15" w:type="dxa"/>
              <w:left w:w="0" w:type="dxa"/>
              <w:bottom w:w="0" w:type="dxa"/>
              <w:right w:w="15" w:type="dxa"/>
            </w:tcMar>
            <w:vAlign w:val="bottom"/>
            <w:hideMark/>
          </w:tcPr>
          <w:p w14:paraId="3D9E8A8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347C5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691CFCC"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102.8</w:t>
            </w:r>
          </w:p>
        </w:tc>
        <w:tc>
          <w:tcPr>
            <w:tcW w:w="192" w:type="dxa"/>
            <w:shd w:val="clear" w:color="auto" w:fill="FFFFFF"/>
            <w:noWrap/>
            <w:tcMar>
              <w:top w:w="15" w:type="dxa"/>
              <w:left w:w="0" w:type="dxa"/>
              <w:bottom w:w="0" w:type="dxa"/>
              <w:right w:w="15" w:type="dxa"/>
            </w:tcMar>
            <w:vAlign w:val="bottom"/>
            <w:hideMark/>
          </w:tcPr>
          <w:p w14:paraId="42DD8A9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819C52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FAC3E6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DE2F732"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102.8</w:t>
            </w:r>
          </w:p>
        </w:tc>
        <w:tc>
          <w:tcPr>
            <w:tcW w:w="192" w:type="dxa"/>
            <w:shd w:val="clear" w:color="auto" w:fill="FFFFFF"/>
            <w:noWrap/>
            <w:tcMar>
              <w:top w:w="15" w:type="dxa"/>
              <w:left w:w="0" w:type="dxa"/>
              <w:bottom w:w="0" w:type="dxa"/>
              <w:right w:w="15" w:type="dxa"/>
            </w:tcMar>
            <w:vAlign w:val="bottom"/>
            <w:hideMark/>
          </w:tcPr>
          <w:p w14:paraId="773203B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4C5796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6CFD41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E0938FF"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1,329.3</w:t>
            </w:r>
          </w:p>
        </w:tc>
        <w:tc>
          <w:tcPr>
            <w:tcW w:w="192" w:type="dxa"/>
            <w:shd w:val="clear" w:color="auto" w:fill="FFFFFF"/>
            <w:noWrap/>
            <w:tcMar>
              <w:top w:w="15" w:type="dxa"/>
              <w:left w:w="0" w:type="dxa"/>
              <w:bottom w:w="0" w:type="dxa"/>
              <w:right w:w="15" w:type="dxa"/>
            </w:tcMar>
            <w:vAlign w:val="bottom"/>
            <w:hideMark/>
          </w:tcPr>
          <w:p w14:paraId="22DC6E0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D75986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365429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EB7C50F"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2,041.8</w:t>
            </w:r>
          </w:p>
        </w:tc>
        <w:tc>
          <w:tcPr>
            <w:tcW w:w="192" w:type="dxa"/>
            <w:shd w:val="clear" w:color="auto" w:fill="FFFFFF"/>
            <w:noWrap/>
            <w:tcMar>
              <w:top w:w="15" w:type="dxa"/>
              <w:left w:w="0" w:type="dxa"/>
              <w:bottom w:w="0" w:type="dxa"/>
              <w:right w:w="15" w:type="dxa"/>
            </w:tcMar>
            <w:vAlign w:val="bottom"/>
            <w:hideMark/>
          </w:tcPr>
          <w:p w14:paraId="6B0FD17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8E4071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EEFF79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187"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6FAECBF"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(423.2</w:t>
            </w:r>
          </w:p>
        </w:tc>
        <w:tc>
          <w:tcPr>
            <w:tcW w:w="192" w:type="dxa"/>
            <w:shd w:val="clear" w:color="auto" w:fill="FFFFFF"/>
            <w:noWrap/>
            <w:tcMar>
              <w:top w:w="15" w:type="dxa"/>
              <w:left w:w="0" w:type="dxa"/>
              <w:bottom w:w="0" w:type="dxa"/>
              <w:right w:w="15" w:type="dxa"/>
            </w:tcMar>
            <w:vAlign w:val="bottom"/>
            <w:hideMark/>
          </w:tcPr>
          <w:p w14:paraId="3359236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7DAFA28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5FAB76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059"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E5C058E"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(1,167.0</w:t>
            </w:r>
          </w:p>
        </w:tc>
        <w:tc>
          <w:tcPr>
            <w:tcW w:w="192" w:type="dxa"/>
            <w:shd w:val="clear" w:color="auto" w:fill="FFFFFF"/>
            <w:noWrap/>
            <w:tcMar>
              <w:top w:w="15" w:type="dxa"/>
              <w:left w:w="0" w:type="dxa"/>
              <w:bottom w:w="0" w:type="dxa"/>
              <w:right w:w="15" w:type="dxa"/>
            </w:tcMar>
            <w:vAlign w:val="bottom"/>
            <w:hideMark/>
          </w:tcPr>
          <w:p w14:paraId="7B4DBF1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70A909D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FEC066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187"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CBF64C8"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1,883.7</w:t>
            </w:r>
          </w:p>
        </w:tc>
        <w:tc>
          <w:tcPr>
            <w:tcW w:w="192" w:type="dxa"/>
            <w:shd w:val="clear" w:color="auto" w:fill="FFFFFF"/>
            <w:noWrap/>
            <w:tcMar>
              <w:top w:w="15" w:type="dxa"/>
              <w:left w:w="0" w:type="dxa"/>
              <w:bottom w:w="0" w:type="dxa"/>
              <w:right w:w="15" w:type="dxa"/>
            </w:tcMar>
            <w:vAlign w:val="bottom"/>
            <w:hideMark/>
          </w:tcPr>
          <w:p w14:paraId="158A16B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D95231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D7042A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6BA1973"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13.1</w:t>
            </w:r>
          </w:p>
        </w:tc>
        <w:tc>
          <w:tcPr>
            <w:tcW w:w="192" w:type="dxa"/>
            <w:shd w:val="clear" w:color="auto" w:fill="FFFFFF"/>
            <w:noWrap/>
            <w:tcMar>
              <w:top w:w="15" w:type="dxa"/>
              <w:left w:w="0" w:type="dxa"/>
              <w:bottom w:w="0" w:type="dxa"/>
              <w:right w:w="15" w:type="dxa"/>
            </w:tcMar>
            <w:vAlign w:val="bottom"/>
            <w:hideMark/>
          </w:tcPr>
          <w:p w14:paraId="4C6F124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C1C8B1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E113A7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5FCAECA"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1,896.8</w:t>
            </w:r>
          </w:p>
        </w:tc>
        <w:tc>
          <w:tcPr>
            <w:tcW w:w="194" w:type="dxa"/>
            <w:shd w:val="clear" w:color="auto" w:fill="FFFFFF"/>
            <w:noWrap/>
            <w:tcMar>
              <w:top w:w="15" w:type="dxa"/>
              <w:left w:w="0" w:type="dxa"/>
              <w:bottom w:w="0" w:type="dxa"/>
              <w:right w:w="15" w:type="dxa"/>
            </w:tcMar>
            <w:vAlign w:val="bottom"/>
            <w:hideMark/>
          </w:tcPr>
          <w:p w14:paraId="49CA40C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4F6FCADA" w14:textId="77777777" w:rsidTr="00AC4931">
        <w:tc>
          <w:tcPr>
            <w:tcW w:w="5791" w:type="dxa"/>
            <w:shd w:val="clear" w:color="auto" w:fill="CFF0FC"/>
            <w:tcMar>
              <w:top w:w="15" w:type="dxa"/>
              <w:left w:w="0" w:type="dxa"/>
              <w:bottom w:w="0" w:type="dxa"/>
              <w:right w:w="15" w:type="dxa"/>
            </w:tcMar>
            <w:hideMark/>
          </w:tcPr>
          <w:p w14:paraId="400C9F7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Comprehensive Income:</w:t>
            </w:r>
          </w:p>
        </w:tc>
        <w:tc>
          <w:tcPr>
            <w:tcW w:w="200" w:type="dxa"/>
            <w:shd w:val="clear" w:color="auto" w:fill="CFF0FC"/>
            <w:tcMar>
              <w:top w:w="15" w:type="dxa"/>
              <w:left w:w="0" w:type="dxa"/>
              <w:bottom w:w="0" w:type="dxa"/>
              <w:right w:w="15" w:type="dxa"/>
            </w:tcMar>
            <w:vAlign w:val="bottom"/>
            <w:hideMark/>
          </w:tcPr>
          <w:p w14:paraId="3F4EE65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50E8257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74F35D50"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74FC0A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99E5A1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1AF2667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6051BBB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A9B6F8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7812D7F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05F4594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0A12C3E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CF2421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4DE700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247BB5A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38F5631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8E87BB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9DF2B6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11917F1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top w:val="single" w:sz="6" w:space="0" w:color="000000"/>
            </w:tcBorders>
            <w:shd w:val="clear" w:color="auto" w:fill="CFF0FC"/>
            <w:noWrap/>
            <w:tcMar>
              <w:top w:w="15" w:type="dxa"/>
              <w:left w:w="0" w:type="dxa"/>
              <w:bottom w:w="0" w:type="dxa"/>
              <w:right w:w="15" w:type="dxa"/>
            </w:tcMar>
            <w:vAlign w:val="bottom"/>
            <w:hideMark/>
          </w:tcPr>
          <w:p w14:paraId="15C5595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F00489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8EDFD0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3D11FC5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tcBorders>
              <w:top w:val="single" w:sz="6" w:space="0" w:color="000000"/>
            </w:tcBorders>
            <w:shd w:val="clear" w:color="auto" w:fill="CFF0FC"/>
            <w:noWrap/>
            <w:tcMar>
              <w:top w:w="15" w:type="dxa"/>
              <w:left w:w="0" w:type="dxa"/>
              <w:bottom w:w="0" w:type="dxa"/>
              <w:right w:w="15" w:type="dxa"/>
            </w:tcMar>
            <w:vAlign w:val="bottom"/>
            <w:hideMark/>
          </w:tcPr>
          <w:p w14:paraId="760B8CC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4244D9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FC2572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0D973CB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top w:val="single" w:sz="6" w:space="0" w:color="000000"/>
            </w:tcBorders>
            <w:shd w:val="clear" w:color="auto" w:fill="CFF0FC"/>
            <w:noWrap/>
            <w:tcMar>
              <w:top w:w="15" w:type="dxa"/>
              <w:left w:w="0" w:type="dxa"/>
              <w:bottom w:w="0" w:type="dxa"/>
              <w:right w:w="15" w:type="dxa"/>
            </w:tcMar>
            <w:vAlign w:val="bottom"/>
            <w:hideMark/>
          </w:tcPr>
          <w:p w14:paraId="7E0099D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81A756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A17593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5CC6A0F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4B1A2BF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614EBA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BA178D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6CA52CF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17BAD24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4" w:type="dxa"/>
            <w:shd w:val="clear" w:color="auto" w:fill="CFF0FC"/>
            <w:noWrap/>
            <w:tcMar>
              <w:top w:w="15" w:type="dxa"/>
              <w:left w:w="0" w:type="dxa"/>
              <w:bottom w:w="0" w:type="dxa"/>
              <w:right w:w="15" w:type="dxa"/>
            </w:tcMar>
            <w:vAlign w:val="bottom"/>
            <w:hideMark/>
          </w:tcPr>
          <w:p w14:paraId="7522B46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686316DB" w14:textId="77777777" w:rsidTr="00AC4931">
        <w:tc>
          <w:tcPr>
            <w:tcW w:w="5791" w:type="dxa"/>
            <w:shd w:val="clear" w:color="auto" w:fill="FFFFFF"/>
            <w:tcMar>
              <w:top w:w="15" w:type="dxa"/>
              <w:left w:w="0" w:type="dxa"/>
              <w:bottom w:w="0" w:type="dxa"/>
              <w:right w:w="15" w:type="dxa"/>
            </w:tcMar>
            <w:hideMark/>
          </w:tcPr>
          <w:p w14:paraId="0EC5FBB8" w14:textId="77777777" w:rsidR="00AC4931" w:rsidRPr="00AC4931" w:rsidRDefault="00AC4931" w:rsidP="00AC4931">
            <w:pPr>
              <w:widowControl/>
              <w:ind w:left="274"/>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Net income</w:t>
            </w:r>
          </w:p>
        </w:tc>
        <w:tc>
          <w:tcPr>
            <w:tcW w:w="200" w:type="dxa"/>
            <w:shd w:val="clear" w:color="auto" w:fill="FFFFFF"/>
            <w:tcMar>
              <w:top w:w="15" w:type="dxa"/>
              <w:left w:w="0" w:type="dxa"/>
              <w:bottom w:w="0" w:type="dxa"/>
              <w:right w:w="15" w:type="dxa"/>
            </w:tcMar>
            <w:vAlign w:val="bottom"/>
            <w:hideMark/>
          </w:tcPr>
          <w:p w14:paraId="5C56723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B69C1C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233B3EB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2E2BDE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F9B968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EEA12C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04DE56E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0B9694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408EF4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5D08E3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4CECFE3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AE1783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6CCE56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D8ADA4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42E46827"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461.5</w:t>
            </w:r>
          </w:p>
        </w:tc>
        <w:tc>
          <w:tcPr>
            <w:tcW w:w="192" w:type="dxa"/>
            <w:shd w:val="clear" w:color="auto" w:fill="FFFFFF"/>
            <w:noWrap/>
            <w:tcMar>
              <w:top w:w="15" w:type="dxa"/>
              <w:left w:w="0" w:type="dxa"/>
              <w:bottom w:w="0" w:type="dxa"/>
              <w:right w:w="15" w:type="dxa"/>
            </w:tcMar>
            <w:vAlign w:val="bottom"/>
            <w:hideMark/>
          </w:tcPr>
          <w:p w14:paraId="4F7C66E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284716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DFE585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018F4A1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119F0F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B3E8F8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A13D71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662EC8D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BDCEC4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56039E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79A26E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1FD3AA3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461.5</w:t>
            </w:r>
          </w:p>
        </w:tc>
        <w:tc>
          <w:tcPr>
            <w:tcW w:w="192" w:type="dxa"/>
            <w:shd w:val="clear" w:color="auto" w:fill="FFFFFF"/>
            <w:noWrap/>
            <w:tcMar>
              <w:top w:w="15" w:type="dxa"/>
              <w:left w:w="0" w:type="dxa"/>
              <w:bottom w:w="0" w:type="dxa"/>
              <w:right w:w="15" w:type="dxa"/>
            </w:tcMar>
            <w:vAlign w:val="bottom"/>
            <w:hideMark/>
          </w:tcPr>
          <w:p w14:paraId="1636A7B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9CD3B9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173484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1EA979E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1.3</w:t>
            </w:r>
          </w:p>
        </w:tc>
        <w:tc>
          <w:tcPr>
            <w:tcW w:w="192" w:type="dxa"/>
            <w:shd w:val="clear" w:color="auto" w:fill="FFFFFF"/>
            <w:noWrap/>
            <w:tcMar>
              <w:top w:w="15" w:type="dxa"/>
              <w:left w:w="0" w:type="dxa"/>
              <w:bottom w:w="0" w:type="dxa"/>
              <w:right w:w="15" w:type="dxa"/>
            </w:tcMar>
            <w:vAlign w:val="bottom"/>
            <w:hideMark/>
          </w:tcPr>
          <w:p w14:paraId="66B67B2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19F075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CE8963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11D7125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462.8</w:t>
            </w:r>
          </w:p>
        </w:tc>
        <w:tc>
          <w:tcPr>
            <w:tcW w:w="194" w:type="dxa"/>
            <w:shd w:val="clear" w:color="auto" w:fill="FFFFFF"/>
            <w:noWrap/>
            <w:tcMar>
              <w:top w:w="15" w:type="dxa"/>
              <w:left w:w="0" w:type="dxa"/>
              <w:bottom w:w="0" w:type="dxa"/>
              <w:right w:w="15" w:type="dxa"/>
            </w:tcMar>
            <w:vAlign w:val="bottom"/>
            <w:hideMark/>
          </w:tcPr>
          <w:p w14:paraId="02E6B96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05BF1726" w14:textId="77777777" w:rsidTr="00AC4931">
        <w:tc>
          <w:tcPr>
            <w:tcW w:w="5791" w:type="dxa"/>
            <w:shd w:val="clear" w:color="auto" w:fill="CFF0FC"/>
            <w:tcMar>
              <w:top w:w="15" w:type="dxa"/>
              <w:left w:w="0" w:type="dxa"/>
              <w:bottom w:w="0" w:type="dxa"/>
              <w:right w:w="15" w:type="dxa"/>
            </w:tcMar>
            <w:hideMark/>
          </w:tcPr>
          <w:p w14:paraId="3C70AE1F" w14:textId="77777777" w:rsidR="00AC4931" w:rsidRPr="00AC4931" w:rsidRDefault="00AC4931" w:rsidP="00AC4931">
            <w:pPr>
              <w:widowControl/>
              <w:ind w:left="274"/>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Foreign currency translation</w:t>
            </w:r>
          </w:p>
        </w:tc>
        <w:tc>
          <w:tcPr>
            <w:tcW w:w="200" w:type="dxa"/>
            <w:shd w:val="clear" w:color="auto" w:fill="CFF0FC"/>
            <w:tcMar>
              <w:top w:w="15" w:type="dxa"/>
              <w:left w:w="0" w:type="dxa"/>
              <w:bottom w:w="0" w:type="dxa"/>
              <w:right w:w="15" w:type="dxa"/>
            </w:tcMar>
            <w:vAlign w:val="bottom"/>
            <w:hideMark/>
          </w:tcPr>
          <w:p w14:paraId="49D4AE9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F3A635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7E02F3CC"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24FD39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B762DA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FC1ACD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241194A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180492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183DE8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AFD783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68FA1AF7"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DE9641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DB2024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10E268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66E9B10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E38860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979738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35217D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0F68D75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w:t>
            </w:r>
          </w:p>
        </w:tc>
        <w:tc>
          <w:tcPr>
            <w:tcW w:w="192" w:type="dxa"/>
            <w:shd w:val="clear" w:color="auto" w:fill="CFF0FC"/>
            <w:noWrap/>
            <w:tcMar>
              <w:top w:w="15" w:type="dxa"/>
              <w:left w:w="0" w:type="dxa"/>
              <w:bottom w:w="0" w:type="dxa"/>
              <w:right w:w="15" w:type="dxa"/>
            </w:tcMar>
            <w:vAlign w:val="bottom"/>
            <w:hideMark/>
          </w:tcPr>
          <w:p w14:paraId="4418F3D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C4FB93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981C76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32CB926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6BB9CE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67E576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7ECDBD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34B9DE5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w:t>
            </w:r>
          </w:p>
        </w:tc>
        <w:tc>
          <w:tcPr>
            <w:tcW w:w="192" w:type="dxa"/>
            <w:shd w:val="clear" w:color="auto" w:fill="CFF0FC"/>
            <w:noWrap/>
            <w:tcMar>
              <w:top w:w="15" w:type="dxa"/>
              <w:left w:w="0" w:type="dxa"/>
              <w:bottom w:w="0" w:type="dxa"/>
              <w:right w:w="15" w:type="dxa"/>
            </w:tcMar>
            <w:vAlign w:val="bottom"/>
            <w:hideMark/>
          </w:tcPr>
          <w:p w14:paraId="5994257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36D5ED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5DBD1B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4D0A40FC"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(0.1</w:t>
            </w:r>
          </w:p>
        </w:tc>
        <w:tc>
          <w:tcPr>
            <w:tcW w:w="192" w:type="dxa"/>
            <w:shd w:val="clear" w:color="auto" w:fill="CFF0FC"/>
            <w:noWrap/>
            <w:tcMar>
              <w:top w:w="15" w:type="dxa"/>
              <w:left w:w="0" w:type="dxa"/>
              <w:bottom w:w="0" w:type="dxa"/>
              <w:right w:w="15" w:type="dxa"/>
            </w:tcMar>
            <w:vAlign w:val="bottom"/>
            <w:hideMark/>
          </w:tcPr>
          <w:p w14:paraId="1D6BF10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510A0EC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9E4D5F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2AF0FBA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2.0</w:t>
            </w:r>
          </w:p>
        </w:tc>
        <w:tc>
          <w:tcPr>
            <w:tcW w:w="194" w:type="dxa"/>
            <w:shd w:val="clear" w:color="auto" w:fill="CFF0FC"/>
            <w:noWrap/>
            <w:tcMar>
              <w:top w:w="15" w:type="dxa"/>
              <w:left w:w="0" w:type="dxa"/>
              <w:bottom w:w="0" w:type="dxa"/>
              <w:right w:w="15" w:type="dxa"/>
            </w:tcMar>
            <w:vAlign w:val="bottom"/>
            <w:hideMark/>
          </w:tcPr>
          <w:p w14:paraId="79F34C3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754CB4F6" w14:textId="77777777" w:rsidTr="00AC4931">
        <w:tc>
          <w:tcPr>
            <w:tcW w:w="5791" w:type="dxa"/>
            <w:shd w:val="clear" w:color="auto" w:fill="FFFFFF"/>
            <w:tcMar>
              <w:top w:w="15" w:type="dxa"/>
              <w:left w:w="0" w:type="dxa"/>
              <w:bottom w:w="0" w:type="dxa"/>
              <w:right w:w="15" w:type="dxa"/>
            </w:tcMar>
            <w:hideMark/>
          </w:tcPr>
          <w:p w14:paraId="0EE7BF62" w14:textId="77777777" w:rsidR="00AC4931" w:rsidRPr="00AC4931" w:rsidRDefault="00AC4931" w:rsidP="00AC4931">
            <w:pPr>
              <w:widowControl/>
              <w:ind w:left="274"/>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Pension liability</w:t>
            </w:r>
          </w:p>
        </w:tc>
        <w:tc>
          <w:tcPr>
            <w:tcW w:w="200" w:type="dxa"/>
            <w:shd w:val="clear" w:color="auto" w:fill="FFFFFF"/>
            <w:tcMar>
              <w:top w:w="15" w:type="dxa"/>
              <w:left w:w="0" w:type="dxa"/>
              <w:bottom w:w="0" w:type="dxa"/>
              <w:right w:w="15" w:type="dxa"/>
            </w:tcMar>
            <w:vAlign w:val="bottom"/>
            <w:hideMark/>
          </w:tcPr>
          <w:p w14:paraId="6BA5DD6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52AB6B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62B07AA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75E08E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D891EA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06A9DA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452DE79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D1AEF1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D54022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AE36B1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0190DBF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D52DDE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F17E4F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2B7113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341B249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056CF7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D625E6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1CB67A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23548FB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(27.8</w:t>
            </w:r>
          </w:p>
        </w:tc>
        <w:tc>
          <w:tcPr>
            <w:tcW w:w="192" w:type="dxa"/>
            <w:shd w:val="clear" w:color="auto" w:fill="FFFFFF"/>
            <w:noWrap/>
            <w:tcMar>
              <w:top w:w="15" w:type="dxa"/>
              <w:left w:w="0" w:type="dxa"/>
              <w:bottom w:w="0" w:type="dxa"/>
              <w:right w:w="15" w:type="dxa"/>
            </w:tcMar>
            <w:vAlign w:val="bottom"/>
            <w:hideMark/>
          </w:tcPr>
          <w:p w14:paraId="7E19564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2D10185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D81C78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56D123D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058009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B1B576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22F4ED4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bottom w:val="single" w:sz="6" w:space="0" w:color="000000"/>
            </w:tcBorders>
            <w:shd w:val="clear" w:color="auto" w:fill="FFFFFF"/>
            <w:noWrap/>
            <w:tcMar>
              <w:top w:w="15" w:type="dxa"/>
              <w:left w:w="0" w:type="dxa"/>
              <w:bottom w:w="0" w:type="dxa"/>
              <w:right w:w="15" w:type="dxa"/>
            </w:tcMar>
            <w:vAlign w:val="bottom"/>
            <w:hideMark/>
          </w:tcPr>
          <w:p w14:paraId="293E7A2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(27.8</w:t>
            </w:r>
          </w:p>
        </w:tc>
        <w:tc>
          <w:tcPr>
            <w:tcW w:w="192" w:type="dxa"/>
            <w:shd w:val="clear" w:color="auto" w:fill="FFFFFF"/>
            <w:noWrap/>
            <w:tcMar>
              <w:top w:w="15" w:type="dxa"/>
              <w:left w:w="0" w:type="dxa"/>
              <w:bottom w:w="0" w:type="dxa"/>
              <w:right w:w="15" w:type="dxa"/>
            </w:tcMar>
            <w:vAlign w:val="bottom"/>
            <w:hideMark/>
          </w:tcPr>
          <w:p w14:paraId="5CE0219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1D74D93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26BE2AD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687F1AE0"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F37053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CD0539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4F23B9A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2896D1F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(27.8</w:t>
            </w:r>
          </w:p>
        </w:tc>
        <w:tc>
          <w:tcPr>
            <w:tcW w:w="194" w:type="dxa"/>
            <w:shd w:val="clear" w:color="auto" w:fill="FFFFFF"/>
            <w:noWrap/>
            <w:tcMar>
              <w:top w:w="15" w:type="dxa"/>
              <w:left w:w="0" w:type="dxa"/>
              <w:bottom w:w="0" w:type="dxa"/>
              <w:right w:w="15" w:type="dxa"/>
            </w:tcMar>
            <w:vAlign w:val="bottom"/>
            <w:hideMark/>
          </w:tcPr>
          <w:p w14:paraId="3D0148A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r>
      <w:tr w:rsidR="00AC4931" w:rsidRPr="00AC4931" w14:paraId="6D31A9DC" w14:textId="77777777" w:rsidTr="00AC4931">
        <w:tc>
          <w:tcPr>
            <w:tcW w:w="5791" w:type="dxa"/>
            <w:shd w:val="clear" w:color="auto" w:fill="CFF0FC"/>
            <w:tcMar>
              <w:top w:w="15" w:type="dxa"/>
              <w:left w:w="0" w:type="dxa"/>
              <w:bottom w:w="0" w:type="dxa"/>
              <w:right w:w="15" w:type="dxa"/>
            </w:tcMar>
            <w:hideMark/>
          </w:tcPr>
          <w:p w14:paraId="1AC72519"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Total Comprehensive Income</w:t>
            </w:r>
          </w:p>
        </w:tc>
        <w:tc>
          <w:tcPr>
            <w:tcW w:w="200" w:type="dxa"/>
            <w:shd w:val="clear" w:color="auto" w:fill="CFF0FC"/>
            <w:tcMar>
              <w:top w:w="15" w:type="dxa"/>
              <w:left w:w="0" w:type="dxa"/>
              <w:bottom w:w="0" w:type="dxa"/>
              <w:right w:w="15" w:type="dxa"/>
            </w:tcMar>
            <w:vAlign w:val="bottom"/>
            <w:hideMark/>
          </w:tcPr>
          <w:p w14:paraId="64E700ED"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D1B83EE"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73A0F04A"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02F34E2"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E0C6817"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D0217B8"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4454BC25"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1C2AA2B"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406D51E"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52A9ACC"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3E8145BF"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05D8EBA"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0391CFC"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A19B7DB"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57AF1949"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369DF5B"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FAA9E18"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F7FD843"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36983824"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8AE8098"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987ED95"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EB246F7"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785969C3"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93B5D98"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5825E86"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570E70A"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18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75C327E"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435.8</w:t>
            </w:r>
          </w:p>
        </w:tc>
        <w:tc>
          <w:tcPr>
            <w:tcW w:w="192" w:type="dxa"/>
            <w:shd w:val="clear" w:color="auto" w:fill="CFF0FC"/>
            <w:noWrap/>
            <w:tcMar>
              <w:top w:w="15" w:type="dxa"/>
              <w:left w:w="0" w:type="dxa"/>
              <w:bottom w:w="0" w:type="dxa"/>
              <w:right w:w="15" w:type="dxa"/>
            </w:tcMar>
            <w:vAlign w:val="bottom"/>
            <w:hideMark/>
          </w:tcPr>
          <w:p w14:paraId="4709C6AB"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D175F1E"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4A8E94C"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F0AFBED"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1.2</w:t>
            </w:r>
          </w:p>
        </w:tc>
        <w:tc>
          <w:tcPr>
            <w:tcW w:w="192" w:type="dxa"/>
            <w:shd w:val="clear" w:color="auto" w:fill="CFF0FC"/>
            <w:noWrap/>
            <w:tcMar>
              <w:top w:w="15" w:type="dxa"/>
              <w:left w:w="0" w:type="dxa"/>
              <w:bottom w:w="0" w:type="dxa"/>
              <w:right w:w="15" w:type="dxa"/>
            </w:tcMar>
            <w:vAlign w:val="bottom"/>
            <w:hideMark/>
          </w:tcPr>
          <w:p w14:paraId="236F7B7B"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6E0E2FF"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C7104C9"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D17D0C"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437.0</w:t>
            </w:r>
          </w:p>
        </w:tc>
        <w:tc>
          <w:tcPr>
            <w:tcW w:w="194" w:type="dxa"/>
            <w:shd w:val="clear" w:color="auto" w:fill="CFF0FC"/>
            <w:noWrap/>
            <w:tcMar>
              <w:top w:w="15" w:type="dxa"/>
              <w:left w:w="0" w:type="dxa"/>
              <w:bottom w:w="0" w:type="dxa"/>
              <w:right w:w="15" w:type="dxa"/>
            </w:tcMar>
            <w:vAlign w:val="bottom"/>
            <w:hideMark/>
          </w:tcPr>
          <w:p w14:paraId="7DB6E9BB"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r>
      <w:tr w:rsidR="00AC4931" w:rsidRPr="00AC4931" w14:paraId="110D574D" w14:textId="77777777" w:rsidTr="00AC4931">
        <w:tc>
          <w:tcPr>
            <w:tcW w:w="5791" w:type="dxa"/>
            <w:shd w:val="clear" w:color="auto" w:fill="FFFFFF"/>
            <w:tcMar>
              <w:top w:w="15" w:type="dxa"/>
              <w:left w:w="0" w:type="dxa"/>
              <w:bottom w:w="0" w:type="dxa"/>
              <w:right w:w="15" w:type="dxa"/>
            </w:tcMar>
            <w:hideMark/>
          </w:tcPr>
          <w:p w14:paraId="254E51B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Stock-based compensation</w:t>
            </w:r>
          </w:p>
        </w:tc>
        <w:tc>
          <w:tcPr>
            <w:tcW w:w="200" w:type="dxa"/>
            <w:shd w:val="clear" w:color="auto" w:fill="FFFFFF"/>
            <w:tcMar>
              <w:top w:w="15" w:type="dxa"/>
              <w:left w:w="0" w:type="dxa"/>
              <w:bottom w:w="0" w:type="dxa"/>
              <w:right w:w="15" w:type="dxa"/>
            </w:tcMar>
            <w:vAlign w:val="bottom"/>
            <w:hideMark/>
          </w:tcPr>
          <w:p w14:paraId="48A27A0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C304B7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03CCD84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492A5F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8F4C93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1D84BC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31E0C4E0"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6ED913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2E84AD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48BD08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2CAB9C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645199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3F3DF6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DCEE7B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259CE54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F1571D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4BC5DA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960C94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611554F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A699B3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0736C4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70D086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0A091F6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9.5</w:t>
            </w:r>
          </w:p>
        </w:tc>
        <w:tc>
          <w:tcPr>
            <w:tcW w:w="192" w:type="dxa"/>
            <w:shd w:val="clear" w:color="auto" w:fill="FFFFFF"/>
            <w:noWrap/>
            <w:tcMar>
              <w:top w:w="15" w:type="dxa"/>
              <w:left w:w="0" w:type="dxa"/>
              <w:bottom w:w="0" w:type="dxa"/>
              <w:right w:w="15" w:type="dxa"/>
            </w:tcMar>
            <w:vAlign w:val="bottom"/>
            <w:hideMark/>
          </w:tcPr>
          <w:p w14:paraId="1B05A7A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2FD7C3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1193664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top w:val="single" w:sz="6" w:space="0" w:color="000000"/>
            </w:tcBorders>
            <w:shd w:val="clear" w:color="auto" w:fill="FFFFFF"/>
            <w:noWrap/>
            <w:tcMar>
              <w:top w:w="15" w:type="dxa"/>
              <w:left w:w="0" w:type="dxa"/>
              <w:bottom w:w="0" w:type="dxa"/>
              <w:right w:w="15" w:type="dxa"/>
            </w:tcMar>
            <w:vAlign w:val="bottom"/>
            <w:hideMark/>
          </w:tcPr>
          <w:p w14:paraId="5EC7AE3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9.5</w:t>
            </w:r>
          </w:p>
        </w:tc>
        <w:tc>
          <w:tcPr>
            <w:tcW w:w="192" w:type="dxa"/>
            <w:shd w:val="clear" w:color="auto" w:fill="FFFFFF"/>
            <w:noWrap/>
            <w:tcMar>
              <w:top w:w="15" w:type="dxa"/>
              <w:left w:w="0" w:type="dxa"/>
              <w:bottom w:w="0" w:type="dxa"/>
              <w:right w:w="15" w:type="dxa"/>
            </w:tcMar>
            <w:vAlign w:val="bottom"/>
            <w:hideMark/>
          </w:tcPr>
          <w:p w14:paraId="2D749BC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D88E28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3768437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FFFFFF"/>
            <w:noWrap/>
            <w:tcMar>
              <w:top w:w="15" w:type="dxa"/>
              <w:left w:w="0" w:type="dxa"/>
              <w:bottom w:w="0" w:type="dxa"/>
              <w:right w:w="15" w:type="dxa"/>
            </w:tcMar>
            <w:vAlign w:val="bottom"/>
            <w:hideMark/>
          </w:tcPr>
          <w:p w14:paraId="35F0289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951B07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DECE63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7448529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FFFFFF"/>
            <w:noWrap/>
            <w:tcMar>
              <w:top w:w="15" w:type="dxa"/>
              <w:left w:w="0" w:type="dxa"/>
              <w:bottom w:w="0" w:type="dxa"/>
              <w:right w:w="15" w:type="dxa"/>
            </w:tcMar>
            <w:vAlign w:val="bottom"/>
            <w:hideMark/>
          </w:tcPr>
          <w:p w14:paraId="1594AAA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9.5</w:t>
            </w:r>
          </w:p>
        </w:tc>
        <w:tc>
          <w:tcPr>
            <w:tcW w:w="194" w:type="dxa"/>
            <w:shd w:val="clear" w:color="auto" w:fill="FFFFFF"/>
            <w:noWrap/>
            <w:tcMar>
              <w:top w:w="15" w:type="dxa"/>
              <w:left w:w="0" w:type="dxa"/>
              <w:bottom w:w="0" w:type="dxa"/>
              <w:right w:w="15" w:type="dxa"/>
            </w:tcMar>
            <w:vAlign w:val="bottom"/>
            <w:hideMark/>
          </w:tcPr>
          <w:p w14:paraId="03633C4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44FE0277" w14:textId="77777777" w:rsidTr="00AC4931">
        <w:tc>
          <w:tcPr>
            <w:tcW w:w="5791" w:type="dxa"/>
            <w:shd w:val="clear" w:color="auto" w:fill="CFF0FC"/>
            <w:tcMar>
              <w:top w:w="15" w:type="dxa"/>
              <w:left w:w="0" w:type="dxa"/>
              <w:bottom w:w="0" w:type="dxa"/>
              <w:right w:w="15" w:type="dxa"/>
            </w:tcMar>
            <w:hideMark/>
          </w:tcPr>
          <w:p w14:paraId="47DAEC1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Cash dividends declared</w:t>
            </w:r>
          </w:p>
        </w:tc>
        <w:tc>
          <w:tcPr>
            <w:tcW w:w="200" w:type="dxa"/>
            <w:shd w:val="clear" w:color="auto" w:fill="CFF0FC"/>
            <w:tcMar>
              <w:top w:w="15" w:type="dxa"/>
              <w:left w:w="0" w:type="dxa"/>
              <w:bottom w:w="0" w:type="dxa"/>
              <w:right w:w="15" w:type="dxa"/>
            </w:tcMar>
            <w:vAlign w:val="bottom"/>
            <w:hideMark/>
          </w:tcPr>
          <w:p w14:paraId="349FA39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B52C58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617062F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F91B46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3C304B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B9817B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44D3061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E9DCA8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66F173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ED9D31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658347A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861DED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DAF996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49CEB7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030144E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(217.1</w:t>
            </w:r>
          </w:p>
        </w:tc>
        <w:tc>
          <w:tcPr>
            <w:tcW w:w="192" w:type="dxa"/>
            <w:shd w:val="clear" w:color="auto" w:fill="CFF0FC"/>
            <w:noWrap/>
            <w:tcMar>
              <w:top w:w="15" w:type="dxa"/>
              <w:left w:w="0" w:type="dxa"/>
              <w:bottom w:w="0" w:type="dxa"/>
              <w:right w:w="15" w:type="dxa"/>
            </w:tcMar>
            <w:vAlign w:val="bottom"/>
            <w:hideMark/>
          </w:tcPr>
          <w:p w14:paraId="62BC957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77BE469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9A6788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626AA81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0BF340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23CAB5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C851F0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7A04899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B1F403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8EF809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7249E9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12E58F4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(217.1</w:t>
            </w:r>
          </w:p>
        </w:tc>
        <w:tc>
          <w:tcPr>
            <w:tcW w:w="192" w:type="dxa"/>
            <w:shd w:val="clear" w:color="auto" w:fill="CFF0FC"/>
            <w:noWrap/>
            <w:tcMar>
              <w:top w:w="15" w:type="dxa"/>
              <w:left w:w="0" w:type="dxa"/>
              <w:bottom w:w="0" w:type="dxa"/>
              <w:right w:w="15" w:type="dxa"/>
            </w:tcMar>
            <w:vAlign w:val="bottom"/>
            <w:hideMark/>
          </w:tcPr>
          <w:p w14:paraId="0BB6710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711A27E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378A78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16BF8FE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E01658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6A1554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652093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6439780C"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(217.1</w:t>
            </w:r>
          </w:p>
        </w:tc>
        <w:tc>
          <w:tcPr>
            <w:tcW w:w="194" w:type="dxa"/>
            <w:shd w:val="clear" w:color="auto" w:fill="CFF0FC"/>
            <w:noWrap/>
            <w:tcMar>
              <w:top w:w="15" w:type="dxa"/>
              <w:left w:w="0" w:type="dxa"/>
              <w:bottom w:w="0" w:type="dxa"/>
              <w:right w:w="15" w:type="dxa"/>
            </w:tcMar>
            <w:vAlign w:val="bottom"/>
            <w:hideMark/>
          </w:tcPr>
          <w:p w14:paraId="0BBF4D1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r>
      <w:tr w:rsidR="00AC4931" w:rsidRPr="00AC4931" w14:paraId="091506D3" w14:textId="77777777" w:rsidTr="00AC4931">
        <w:tc>
          <w:tcPr>
            <w:tcW w:w="5791" w:type="dxa"/>
            <w:shd w:val="clear" w:color="auto" w:fill="FFFFFF"/>
            <w:tcMar>
              <w:top w:w="15" w:type="dxa"/>
              <w:left w:w="0" w:type="dxa"/>
              <w:bottom w:w="0" w:type="dxa"/>
              <w:right w:w="15" w:type="dxa"/>
            </w:tcMar>
            <w:hideMark/>
          </w:tcPr>
          <w:p w14:paraId="5FB15A2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Dividends paid to non-controlling</w:t>
            </w:r>
          </w:p>
          <w:p w14:paraId="31DCA2F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interest on subsidiary shares</w:t>
            </w:r>
          </w:p>
        </w:tc>
        <w:tc>
          <w:tcPr>
            <w:tcW w:w="200" w:type="dxa"/>
            <w:shd w:val="clear" w:color="auto" w:fill="FFFFFF"/>
            <w:tcMar>
              <w:top w:w="15" w:type="dxa"/>
              <w:left w:w="0" w:type="dxa"/>
              <w:bottom w:w="0" w:type="dxa"/>
              <w:right w:w="15" w:type="dxa"/>
            </w:tcMar>
            <w:vAlign w:val="bottom"/>
            <w:hideMark/>
          </w:tcPr>
          <w:p w14:paraId="786405C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03E009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5A9EA0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284502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903F62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8073E7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18F41E3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8380CA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94A595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452C71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36AD48D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0D0983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D6BE7E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FAC105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46FB8C6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B46517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3B01A5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5EF932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32EE5D8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D86A34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1331DE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10F26D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0D51227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CA37FA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764F66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74D5A8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1D96E51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0DF09A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782404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AE7EFB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EE4A4E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(1.1</w:t>
            </w:r>
          </w:p>
        </w:tc>
        <w:tc>
          <w:tcPr>
            <w:tcW w:w="192" w:type="dxa"/>
            <w:shd w:val="clear" w:color="auto" w:fill="FFFFFF"/>
            <w:noWrap/>
            <w:tcMar>
              <w:top w:w="15" w:type="dxa"/>
              <w:left w:w="0" w:type="dxa"/>
              <w:bottom w:w="0" w:type="dxa"/>
              <w:right w:w="15" w:type="dxa"/>
            </w:tcMar>
            <w:vAlign w:val="bottom"/>
            <w:hideMark/>
          </w:tcPr>
          <w:p w14:paraId="04975FA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3E3E524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7E847B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2514E97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(1.1</w:t>
            </w:r>
          </w:p>
        </w:tc>
        <w:tc>
          <w:tcPr>
            <w:tcW w:w="194" w:type="dxa"/>
            <w:shd w:val="clear" w:color="auto" w:fill="FFFFFF"/>
            <w:noWrap/>
            <w:tcMar>
              <w:top w:w="15" w:type="dxa"/>
              <w:left w:w="0" w:type="dxa"/>
              <w:bottom w:w="0" w:type="dxa"/>
              <w:right w:w="15" w:type="dxa"/>
            </w:tcMar>
            <w:vAlign w:val="bottom"/>
            <w:hideMark/>
          </w:tcPr>
          <w:p w14:paraId="2E4E335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r>
      <w:tr w:rsidR="00AC4931" w:rsidRPr="00AC4931" w14:paraId="368C7C48" w14:textId="77777777" w:rsidTr="00AC4931">
        <w:tc>
          <w:tcPr>
            <w:tcW w:w="5791" w:type="dxa"/>
            <w:shd w:val="clear" w:color="auto" w:fill="CFF0FC"/>
            <w:tcMar>
              <w:top w:w="15" w:type="dxa"/>
              <w:left w:w="0" w:type="dxa"/>
              <w:bottom w:w="0" w:type="dxa"/>
              <w:right w:w="15" w:type="dxa"/>
            </w:tcMar>
            <w:hideMark/>
          </w:tcPr>
          <w:p w14:paraId="06B37B3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Distribution of Veoneer</w:t>
            </w:r>
          </w:p>
        </w:tc>
        <w:tc>
          <w:tcPr>
            <w:tcW w:w="200" w:type="dxa"/>
            <w:shd w:val="clear" w:color="auto" w:fill="CFF0FC"/>
            <w:tcMar>
              <w:top w:w="15" w:type="dxa"/>
              <w:left w:w="0" w:type="dxa"/>
              <w:bottom w:w="0" w:type="dxa"/>
              <w:right w:w="15" w:type="dxa"/>
            </w:tcMar>
            <w:vAlign w:val="bottom"/>
            <w:hideMark/>
          </w:tcPr>
          <w:p w14:paraId="2E898C3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6DD436F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014ED6D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895AA6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0B84F7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29CDB08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52F9B6C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0E6EA8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5C03A4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7A8770B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38FC9AB7"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DC81DC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12BE13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5B6CE1F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7B257D6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(2.7</w:t>
            </w:r>
          </w:p>
        </w:tc>
        <w:tc>
          <w:tcPr>
            <w:tcW w:w="192" w:type="dxa"/>
            <w:shd w:val="clear" w:color="auto" w:fill="CFF0FC"/>
            <w:noWrap/>
            <w:tcMar>
              <w:top w:w="15" w:type="dxa"/>
              <w:left w:w="0" w:type="dxa"/>
              <w:bottom w:w="0" w:type="dxa"/>
              <w:right w:w="15" w:type="dxa"/>
            </w:tcMar>
            <w:vAlign w:val="bottom"/>
            <w:hideMark/>
          </w:tcPr>
          <w:p w14:paraId="6849770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6567CC1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5A0E517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bottom w:val="single" w:sz="6" w:space="0" w:color="000000"/>
            </w:tcBorders>
            <w:shd w:val="clear" w:color="auto" w:fill="CFF0FC"/>
            <w:noWrap/>
            <w:tcMar>
              <w:top w:w="15" w:type="dxa"/>
              <w:left w:w="0" w:type="dxa"/>
              <w:bottom w:w="0" w:type="dxa"/>
              <w:right w:w="15" w:type="dxa"/>
            </w:tcMar>
            <w:vAlign w:val="bottom"/>
            <w:hideMark/>
          </w:tcPr>
          <w:p w14:paraId="7257653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DD3EBC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6089BF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735328F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tcBorders>
              <w:bottom w:val="single" w:sz="6" w:space="0" w:color="000000"/>
            </w:tcBorders>
            <w:shd w:val="clear" w:color="auto" w:fill="CFF0FC"/>
            <w:noWrap/>
            <w:tcMar>
              <w:top w:w="15" w:type="dxa"/>
              <w:left w:w="0" w:type="dxa"/>
              <w:bottom w:w="0" w:type="dxa"/>
              <w:right w:w="15" w:type="dxa"/>
            </w:tcMar>
            <w:vAlign w:val="bottom"/>
            <w:hideMark/>
          </w:tcPr>
          <w:p w14:paraId="58568ED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BB2167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A137BB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687ECC3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bottom w:val="single" w:sz="6" w:space="0" w:color="000000"/>
            </w:tcBorders>
            <w:shd w:val="clear" w:color="auto" w:fill="CFF0FC"/>
            <w:noWrap/>
            <w:tcMar>
              <w:top w:w="15" w:type="dxa"/>
              <w:left w:w="0" w:type="dxa"/>
              <w:bottom w:w="0" w:type="dxa"/>
              <w:right w:w="15" w:type="dxa"/>
            </w:tcMar>
            <w:vAlign w:val="bottom"/>
            <w:hideMark/>
          </w:tcPr>
          <w:p w14:paraId="636D298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(2.7</w:t>
            </w:r>
          </w:p>
        </w:tc>
        <w:tc>
          <w:tcPr>
            <w:tcW w:w="192" w:type="dxa"/>
            <w:shd w:val="clear" w:color="auto" w:fill="CFF0FC"/>
            <w:noWrap/>
            <w:tcMar>
              <w:top w:w="15" w:type="dxa"/>
              <w:left w:w="0" w:type="dxa"/>
              <w:bottom w:w="0" w:type="dxa"/>
              <w:right w:w="15" w:type="dxa"/>
            </w:tcMar>
            <w:vAlign w:val="bottom"/>
            <w:hideMark/>
          </w:tcPr>
          <w:p w14:paraId="6DE002A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45D39BB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620A62E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4381D997"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785583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196E29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147FB12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CFF0FC"/>
            <w:noWrap/>
            <w:tcMar>
              <w:top w:w="15" w:type="dxa"/>
              <w:left w:w="0" w:type="dxa"/>
              <w:bottom w:w="0" w:type="dxa"/>
              <w:right w:w="15" w:type="dxa"/>
            </w:tcMar>
            <w:vAlign w:val="bottom"/>
            <w:hideMark/>
          </w:tcPr>
          <w:p w14:paraId="01BC913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(2.7</w:t>
            </w:r>
          </w:p>
        </w:tc>
        <w:tc>
          <w:tcPr>
            <w:tcW w:w="194" w:type="dxa"/>
            <w:shd w:val="clear" w:color="auto" w:fill="CFF0FC"/>
            <w:noWrap/>
            <w:tcMar>
              <w:top w:w="15" w:type="dxa"/>
              <w:left w:w="0" w:type="dxa"/>
              <w:bottom w:w="0" w:type="dxa"/>
              <w:right w:w="15" w:type="dxa"/>
            </w:tcMar>
            <w:vAlign w:val="bottom"/>
            <w:hideMark/>
          </w:tcPr>
          <w:p w14:paraId="3A1AF09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r>
      <w:tr w:rsidR="00AC4931" w:rsidRPr="00AC4931" w14:paraId="6C49F503" w14:textId="77777777" w:rsidTr="00AC4931">
        <w:tc>
          <w:tcPr>
            <w:tcW w:w="5791" w:type="dxa"/>
            <w:shd w:val="clear" w:color="auto" w:fill="FFFFFF"/>
            <w:tcMar>
              <w:top w:w="15" w:type="dxa"/>
              <w:left w:w="0" w:type="dxa"/>
              <w:bottom w:w="0" w:type="dxa"/>
              <w:right w:w="15" w:type="dxa"/>
            </w:tcMar>
            <w:hideMark/>
          </w:tcPr>
          <w:p w14:paraId="4688976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Balance at December 31, 2019</w:t>
            </w:r>
          </w:p>
        </w:tc>
        <w:tc>
          <w:tcPr>
            <w:tcW w:w="200" w:type="dxa"/>
            <w:shd w:val="clear" w:color="auto" w:fill="FFFFFF"/>
            <w:tcMar>
              <w:top w:w="15" w:type="dxa"/>
              <w:left w:w="0" w:type="dxa"/>
              <w:bottom w:w="0" w:type="dxa"/>
              <w:right w:w="15" w:type="dxa"/>
            </w:tcMar>
            <w:vAlign w:val="bottom"/>
            <w:hideMark/>
          </w:tcPr>
          <w:p w14:paraId="0125C5B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11F52F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9BE2113"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102.8</w:t>
            </w:r>
          </w:p>
        </w:tc>
        <w:tc>
          <w:tcPr>
            <w:tcW w:w="192" w:type="dxa"/>
            <w:shd w:val="clear" w:color="auto" w:fill="FFFFFF"/>
            <w:noWrap/>
            <w:tcMar>
              <w:top w:w="15" w:type="dxa"/>
              <w:left w:w="0" w:type="dxa"/>
              <w:bottom w:w="0" w:type="dxa"/>
              <w:right w:w="15" w:type="dxa"/>
            </w:tcMar>
            <w:vAlign w:val="bottom"/>
            <w:hideMark/>
          </w:tcPr>
          <w:p w14:paraId="1E07B15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82BAAF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E4A23A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D460B9D"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102.8</w:t>
            </w:r>
          </w:p>
        </w:tc>
        <w:tc>
          <w:tcPr>
            <w:tcW w:w="192" w:type="dxa"/>
            <w:shd w:val="clear" w:color="auto" w:fill="FFFFFF"/>
            <w:noWrap/>
            <w:tcMar>
              <w:top w:w="15" w:type="dxa"/>
              <w:left w:w="0" w:type="dxa"/>
              <w:bottom w:w="0" w:type="dxa"/>
              <w:right w:w="15" w:type="dxa"/>
            </w:tcMar>
            <w:vAlign w:val="bottom"/>
            <w:hideMark/>
          </w:tcPr>
          <w:p w14:paraId="3338795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8943A2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987B67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66F09CF"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1,329.3</w:t>
            </w:r>
          </w:p>
        </w:tc>
        <w:tc>
          <w:tcPr>
            <w:tcW w:w="192" w:type="dxa"/>
            <w:shd w:val="clear" w:color="auto" w:fill="FFFFFF"/>
            <w:noWrap/>
            <w:tcMar>
              <w:top w:w="15" w:type="dxa"/>
              <w:left w:w="0" w:type="dxa"/>
              <w:bottom w:w="0" w:type="dxa"/>
              <w:right w:w="15" w:type="dxa"/>
            </w:tcMar>
            <w:vAlign w:val="bottom"/>
            <w:hideMark/>
          </w:tcPr>
          <w:p w14:paraId="5CD80E3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7A6EAF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98FDC8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F0C94CA"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2,283.5</w:t>
            </w:r>
          </w:p>
        </w:tc>
        <w:tc>
          <w:tcPr>
            <w:tcW w:w="192" w:type="dxa"/>
            <w:shd w:val="clear" w:color="auto" w:fill="FFFFFF"/>
            <w:noWrap/>
            <w:tcMar>
              <w:top w:w="15" w:type="dxa"/>
              <w:left w:w="0" w:type="dxa"/>
              <w:bottom w:w="0" w:type="dxa"/>
              <w:right w:w="15" w:type="dxa"/>
            </w:tcMar>
            <w:vAlign w:val="bottom"/>
            <w:hideMark/>
          </w:tcPr>
          <w:p w14:paraId="50B4F07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87A9C7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2D2404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187"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6F8A79A"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(448.9</w:t>
            </w:r>
          </w:p>
        </w:tc>
        <w:tc>
          <w:tcPr>
            <w:tcW w:w="192" w:type="dxa"/>
            <w:shd w:val="clear" w:color="auto" w:fill="FFFFFF"/>
            <w:noWrap/>
            <w:tcMar>
              <w:top w:w="15" w:type="dxa"/>
              <w:left w:w="0" w:type="dxa"/>
              <w:bottom w:w="0" w:type="dxa"/>
              <w:right w:w="15" w:type="dxa"/>
            </w:tcMar>
            <w:vAlign w:val="bottom"/>
            <w:hideMark/>
          </w:tcPr>
          <w:p w14:paraId="3C42A78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64226F3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811642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059"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E3BF778"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(1,157.5</w:t>
            </w:r>
          </w:p>
        </w:tc>
        <w:tc>
          <w:tcPr>
            <w:tcW w:w="192" w:type="dxa"/>
            <w:shd w:val="clear" w:color="auto" w:fill="FFFFFF"/>
            <w:noWrap/>
            <w:tcMar>
              <w:top w:w="15" w:type="dxa"/>
              <w:left w:w="0" w:type="dxa"/>
              <w:bottom w:w="0" w:type="dxa"/>
              <w:right w:w="15" w:type="dxa"/>
            </w:tcMar>
            <w:vAlign w:val="bottom"/>
            <w:hideMark/>
          </w:tcPr>
          <w:p w14:paraId="0D91A57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27867FA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DDC224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187"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11CCEBF"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2,109.2</w:t>
            </w:r>
          </w:p>
        </w:tc>
        <w:tc>
          <w:tcPr>
            <w:tcW w:w="192" w:type="dxa"/>
            <w:shd w:val="clear" w:color="auto" w:fill="FFFFFF"/>
            <w:noWrap/>
            <w:tcMar>
              <w:top w:w="15" w:type="dxa"/>
              <w:left w:w="0" w:type="dxa"/>
              <w:bottom w:w="0" w:type="dxa"/>
              <w:right w:w="15" w:type="dxa"/>
            </w:tcMar>
            <w:vAlign w:val="bottom"/>
            <w:hideMark/>
          </w:tcPr>
          <w:p w14:paraId="3934491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5E4805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A1CA86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874671B"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13.2</w:t>
            </w:r>
          </w:p>
        </w:tc>
        <w:tc>
          <w:tcPr>
            <w:tcW w:w="192" w:type="dxa"/>
            <w:shd w:val="clear" w:color="auto" w:fill="FFFFFF"/>
            <w:noWrap/>
            <w:tcMar>
              <w:top w:w="15" w:type="dxa"/>
              <w:left w:w="0" w:type="dxa"/>
              <w:bottom w:w="0" w:type="dxa"/>
              <w:right w:w="15" w:type="dxa"/>
            </w:tcMar>
            <w:vAlign w:val="bottom"/>
            <w:hideMark/>
          </w:tcPr>
          <w:p w14:paraId="34A456C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FA2776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6CA583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BA82F79"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2,122.4</w:t>
            </w:r>
          </w:p>
        </w:tc>
        <w:tc>
          <w:tcPr>
            <w:tcW w:w="194" w:type="dxa"/>
            <w:shd w:val="clear" w:color="auto" w:fill="FFFFFF"/>
            <w:noWrap/>
            <w:tcMar>
              <w:top w:w="15" w:type="dxa"/>
              <w:left w:w="0" w:type="dxa"/>
              <w:bottom w:w="0" w:type="dxa"/>
              <w:right w:w="15" w:type="dxa"/>
            </w:tcMar>
            <w:vAlign w:val="bottom"/>
            <w:hideMark/>
          </w:tcPr>
          <w:p w14:paraId="4E31EC7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A91C638" w14:textId="77777777" w:rsidTr="00AC4931">
        <w:tc>
          <w:tcPr>
            <w:tcW w:w="5791" w:type="dxa"/>
            <w:shd w:val="clear" w:color="auto" w:fill="CFF0FC"/>
            <w:tcMar>
              <w:top w:w="15" w:type="dxa"/>
              <w:left w:w="0" w:type="dxa"/>
              <w:bottom w:w="0" w:type="dxa"/>
              <w:right w:w="15" w:type="dxa"/>
            </w:tcMar>
            <w:hideMark/>
          </w:tcPr>
          <w:p w14:paraId="6C49551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Comprehensive Income:</w:t>
            </w:r>
          </w:p>
        </w:tc>
        <w:tc>
          <w:tcPr>
            <w:tcW w:w="200" w:type="dxa"/>
            <w:shd w:val="clear" w:color="auto" w:fill="CFF0FC"/>
            <w:tcMar>
              <w:top w:w="15" w:type="dxa"/>
              <w:left w:w="0" w:type="dxa"/>
              <w:bottom w:w="0" w:type="dxa"/>
              <w:right w:w="15" w:type="dxa"/>
            </w:tcMar>
            <w:vAlign w:val="bottom"/>
            <w:hideMark/>
          </w:tcPr>
          <w:p w14:paraId="545368C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1EE8083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468F0E7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92B2D8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87E20E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69C22D9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595BDF9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49E30C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3C1F24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32773E5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239E84B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35536E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728AD3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7E88DFC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63FDD13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B50625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75D91C8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2529974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top w:val="single" w:sz="6" w:space="0" w:color="000000"/>
            </w:tcBorders>
            <w:shd w:val="clear" w:color="auto" w:fill="CFF0FC"/>
            <w:noWrap/>
            <w:tcMar>
              <w:top w:w="15" w:type="dxa"/>
              <w:left w:w="0" w:type="dxa"/>
              <w:bottom w:w="0" w:type="dxa"/>
              <w:right w:w="15" w:type="dxa"/>
            </w:tcMar>
            <w:vAlign w:val="bottom"/>
            <w:hideMark/>
          </w:tcPr>
          <w:p w14:paraId="479E60D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1F5888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383388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3C1D31B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tcBorders>
              <w:top w:val="single" w:sz="6" w:space="0" w:color="000000"/>
            </w:tcBorders>
            <w:shd w:val="clear" w:color="auto" w:fill="CFF0FC"/>
            <w:noWrap/>
            <w:tcMar>
              <w:top w:w="15" w:type="dxa"/>
              <w:left w:w="0" w:type="dxa"/>
              <w:bottom w:w="0" w:type="dxa"/>
              <w:right w:w="15" w:type="dxa"/>
            </w:tcMar>
            <w:vAlign w:val="bottom"/>
            <w:hideMark/>
          </w:tcPr>
          <w:p w14:paraId="4709380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7B7831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62CF0A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651A2F8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top w:val="single" w:sz="6" w:space="0" w:color="000000"/>
            </w:tcBorders>
            <w:shd w:val="clear" w:color="auto" w:fill="CFF0FC"/>
            <w:noWrap/>
            <w:tcMar>
              <w:top w:w="15" w:type="dxa"/>
              <w:left w:w="0" w:type="dxa"/>
              <w:bottom w:w="0" w:type="dxa"/>
              <w:right w:w="15" w:type="dxa"/>
            </w:tcMar>
            <w:vAlign w:val="bottom"/>
            <w:hideMark/>
          </w:tcPr>
          <w:p w14:paraId="389F4D7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26B201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72BA56E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71A60D7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0A5EF41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7C6947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83B1E2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2EFFC41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CFF0FC"/>
            <w:noWrap/>
            <w:tcMar>
              <w:top w:w="15" w:type="dxa"/>
              <w:left w:w="0" w:type="dxa"/>
              <w:bottom w:w="0" w:type="dxa"/>
              <w:right w:w="15" w:type="dxa"/>
            </w:tcMar>
            <w:vAlign w:val="bottom"/>
            <w:hideMark/>
          </w:tcPr>
          <w:p w14:paraId="2513442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4" w:type="dxa"/>
            <w:shd w:val="clear" w:color="auto" w:fill="CFF0FC"/>
            <w:noWrap/>
            <w:tcMar>
              <w:top w:w="15" w:type="dxa"/>
              <w:left w:w="0" w:type="dxa"/>
              <w:bottom w:w="0" w:type="dxa"/>
              <w:right w:w="15" w:type="dxa"/>
            </w:tcMar>
            <w:vAlign w:val="bottom"/>
            <w:hideMark/>
          </w:tcPr>
          <w:p w14:paraId="6F299DA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48F62F16" w14:textId="77777777" w:rsidTr="00AC4931">
        <w:tc>
          <w:tcPr>
            <w:tcW w:w="5791" w:type="dxa"/>
            <w:shd w:val="clear" w:color="auto" w:fill="FFFFFF"/>
            <w:tcMar>
              <w:top w:w="15" w:type="dxa"/>
              <w:left w:w="0" w:type="dxa"/>
              <w:bottom w:w="0" w:type="dxa"/>
              <w:right w:w="15" w:type="dxa"/>
            </w:tcMar>
            <w:hideMark/>
          </w:tcPr>
          <w:p w14:paraId="356E0ED0" w14:textId="77777777" w:rsidR="00AC4931" w:rsidRPr="00AC4931" w:rsidRDefault="00AC4931" w:rsidP="00AC4931">
            <w:pPr>
              <w:widowControl/>
              <w:ind w:left="274"/>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Net income</w:t>
            </w:r>
          </w:p>
        </w:tc>
        <w:tc>
          <w:tcPr>
            <w:tcW w:w="200" w:type="dxa"/>
            <w:shd w:val="clear" w:color="auto" w:fill="FFFFFF"/>
            <w:tcMar>
              <w:top w:w="15" w:type="dxa"/>
              <w:left w:w="0" w:type="dxa"/>
              <w:bottom w:w="0" w:type="dxa"/>
              <w:right w:w="15" w:type="dxa"/>
            </w:tcMar>
            <w:vAlign w:val="bottom"/>
            <w:hideMark/>
          </w:tcPr>
          <w:p w14:paraId="5A3B0B7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632CBA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05BB010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223816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728ED3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58204C7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6A21442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940290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D7255A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64D6B7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31FC49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4C595F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B171F0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10DA0B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72DB522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186.9</w:t>
            </w:r>
          </w:p>
        </w:tc>
        <w:tc>
          <w:tcPr>
            <w:tcW w:w="192" w:type="dxa"/>
            <w:shd w:val="clear" w:color="auto" w:fill="FFFFFF"/>
            <w:noWrap/>
            <w:tcMar>
              <w:top w:w="15" w:type="dxa"/>
              <w:left w:w="0" w:type="dxa"/>
              <w:bottom w:w="0" w:type="dxa"/>
              <w:right w:w="15" w:type="dxa"/>
            </w:tcMar>
            <w:vAlign w:val="bottom"/>
            <w:hideMark/>
          </w:tcPr>
          <w:p w14:paraId="62EBEC3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FD328B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2CEE48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4621F14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F31E94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8CF941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E706EB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2A54968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A1FCBC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0D8779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B71AD5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231373E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186.9</w:t>
            </w:r>
          </w:p>
        </w:tc>
        <w:tc>
          <w:tcPr>
            <w:tcW w:w="192" w:type="dxa"/>
            <w:shd w:val="clear" w:color="auto" w:fill="FFFFFF"/>
            <w:noWrap/>
            <w:tcMar>
              <w:top w:w="15" w:type="dxa"/>
              <w:left w:w="0" w:type="dxa"/>
              <w:bottom w:w="0" w:type="dxa"/>
              <w:right w:w="15" w:type="dxa"/>
            </w:tcMar>
            <w:vAlign w:val="bottom"/>
            <w:hideMark/>
          </w:tcPr>
          <w:p w14:paraId="3C52BBC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CFA825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16833C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5982FA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1.4</w:t>
            </w:r>
          </w:p>
        </w:tc>
        <w:tc>
          <w:tcPr>
            <w:tcW w:w="192" w:type="dxa"/>
            <w:shd w:val="clear" w:color="auto" w:fill="FFFFFF"/>
            <w:noWrap/>
            <w:tcMar>
              <w:top w:w="15" w:type="dxa"/>
              <w:left w:w="0" w:type="dxa"/>
              <w:bottom w:w="0" w:type="dxa"/>
              <w:right w:w="15" w:type="dxa"/>
            </w:tcMar>
            <w:vAlign w:val="bottom"/>
            <w:hideMark/>
          </w:tcPr>
          <w:p w14:paraId="4A687D3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597C01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9B1969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3CEADCF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188.3</w:t>
            </w:r>
          </w:p>
        </w:tc>
        <w:tc>
          <w:tcPr>
            <w:tcW w:w="194" w:type="dxa"/>
            <w:shd w:val="clear" w:color="auto" w:fill="FFFFFF"/>
            <w:noWrap/>
            <w:tcMar>
              <w:top w:w="15" w:type="dxa"/>
              <w:left w:w="0" w:type="dxa"/>
              <w:bottom w:w="0" w:type="dxa"/>
              <w:right w:w="15" w:type="dxa"/>
            </w:tcMar>
            <w:vAlign w:val="bottom"/>
            <w:hideMark/>
          </w:tcPr>
          <w:p w14:paraId="192C063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6BC569D7" w14:textId="77777777" w:rsidTr="00AC4931">
        <w:tc>
          <w:tcPr>
            <w:tcW w:w="5791" w:type="dxa"/>
            <w:shd w:val="clear" w:color="auto" w:fill="CFF0FC"/>
            <w:tcMar>
              <w:top w:w="15" w:type="dxa"/>
              <w:left w:w="0" w:type="dxa"/>
              <w:bottom w:w="0" w:type="dxa"/>
              <w:right w:w="15" w:type="dxa"/>
            </w:tcMar>
            <w:hideMark/>
          </w:tcPr>
          <w:p w14:paraId="27793C0E" w14:textId="77777777" w:rsidR="00AC4931" w:rsidRPr="00AC4931" w:rsidRDefault="00AC4931" w:rsidP="00AC4931">
            <w:pPr>
              <w:widowControl/>
              <w:ind w:left="274"/>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lastRenderedPageBreak/>
              <w:t>Foreign currency translation</w:t>
            </w:r>
          </w:p>
        </w:tc>
        <w:tc>
          <w:tcPr>
            <w:tcW w:w="200" w:type="dxa"/>
            <w:shd w:val="clear" w:color="auto" w:fill="CFF0FC"/>
            <w:tcMar>
              <w:top w:w="15" w:type="dxa"/>
              <w:left w:w="0" w:type="dxa"/>
              <w:bottom w:w="0" w:type="dxa"/>
              <w:right w:w="15" w:type="dxa"/>
            </w:tcMar>
            <w:vAlign w:val="bottom"/>
            <w:hideMark/>
          </w:tcPr>
          <w:p w14:paraId="7101AF7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8B6366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3152387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A4D947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D453B2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3FBEBA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228D9D9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DE2D3C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71E2C4F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3AC265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1E48420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51AFA7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7085A5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67F6A2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4118B8E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C7B5CF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3AAA67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4C1976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21DAE2C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96.0</w:t>
            </w:r>
          </w:p>
        </w:tc>
        <w:tc>
          <w:tcPr>
            <w:tcW w:w="192" w:type="dxa"/>
            <w:shd w:val="clear" w:color="auto" w:fill="CFF0FC"/>
            <w:noWrap/>
            <w:tcMar>
              <w:top w:w="15" w:type="dxa"/>
              <w:left w:w="0" w:type="dxa"/>
              <w:bottom w:w="0" w:type="dxa"/>
              <w:right w:w="15" w:type="dxa"/>
            </w:tcMar>
            <w:vAlign w:val="bottom"/>
            <w:hideMark/>
          </w:tcPr>
          <w:p w14:paraId="653BA0C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B939EA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93A348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38FDD9F0"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D9E9D2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900FB7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5BC444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6293F9C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96.0</w:t>
            </w:r>
          </w:p>
        </w:tc>
        <w:tc>
          <w:tcPr>
            <w:tcW w:w="192" w:type="dxa"/>
            <w:shd w:val="clear" w:color="auto" w:fill="CFF0FC"/>
            <w:noWrap/>
            <w:tcMar>
              <w:top w:w="15" w:type="dxa"/>
              <w:left w:w="0" w:type="dxa"/>
              <w:bottom w:w="0" w:type="dxa"/>
              <w:right w:w="15" w:type="dxa"/>
            </w:tcMar>
            <w:vAlign w:val="bottom"/>
            <w:hideMark/>
          </w:tcPr>
          <w:p w14:paraId="61E365D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BC7F68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1495CB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2676402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0.9</w:t>
            </w:r>
          </w:p>
        </w:tc>
        <w:tc>
          <w:tcPr>
            <w:tcW w:w="192" w:type="dxa"/>
            <w:shd w:val="clear" w:color="auto" w:fill="CFF0FC"/>
            <w:noWrap/>
            <w:tcMar>
              <w:top w:w="15" w:type="dxa"/>
              <w:left w:w="0" w:type="dxa"/>
              <w:bottom w:w="0" w:type="dxa"/>
              <w:right w:w="15" w:type="dxa"/>
            </w:tcMar>
            <w:vAlign w:val="bottom"/>
            <w:hideMark/>
          </w:tcPr>
          <w:p w14:paraId="21870AA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4AF97C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F5DBC1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7A05137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96.9</w:t>
            </w:r>
          </w:p>
        </w:tc>
        <w:tc>
          <w:tcPr>
            <w:tcW w:w="194" w:type="dxa"/>
            <w:shd w:val="clear" w:color="auto" w:fill="CFF0FC"/>
            <w:noWrap/>
            <w:tcMar>
              <w:top w:w="15" w:type="dxa"/>
              <w:left w:w="0" w:type="dxa"/>
              <w:bottom w:w="0" w:type="dxa"/>
              <w:right w:w="15" w:type="dxa"/>
            </w:tcMar>
            <w:vAlign w:val="bottom"/>
            <w:hideMark/>
          </w:tcPr>
          <w:p w14:paraId="2FC9CCE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1DC9A755" w14:textId="77777777" w:rsidTr="00AC4931">
        <w:tc>
          <w:tcPr>
            <w:tcW w:w="5791" w:type="dxa"/>
            <w:shd w:val="clear" w:color="auto" w:fill="FFFFFF"/>
            <w:tcMar>
              <w:top w:w="15" w:type="dxa"/>
              <w:left w:w="0" w:type="dxa"/>
              <w:bottom w:w="0" w:type="dxa"/>
              <w:right w:w="15" w:type="dxa"/>
            </w:tcMar>
            <w:hideMark/>
          </w:tcPr>
          <w:p w14:paraId="0F7A4D5A" w14:textId="77777777" w:rsidR="00AC4931" w:rsidRPr="00AC4931" w:rsidRDefault="00AC4931" w:rsidP="00AC4931">
            <w:pPr>
              <w:widowControl/>
              <w:ind w:left="274"/>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Pension liability</w:t>
            </w:r>
          </w:p>
        </w:tc>
        <w:tc>
          <w:tcPr>
            <w:tcW w:w="200" w:type="dxa"/>
            <w:shd w:val="clear" w:color="auto" w:fill="FFFFFF"/>
            <w:tcMar>
              <w:top w:w="15" w:type="dxa"/>
              <w:left w:w="0" w:type="dxa"/>
              <w:bottom w:w="0" w:type="dxa"/>
              <w:right w:w="15" w:type="dxa"/>
            </w:tcMar>
            <w:vAlign w:val="bottom"/>
            <w:hideMark/>
          </w:tcPr>
          <w:p w14:paraId="61F62D1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C2BC7E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76A1DEB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AEAB40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9085EC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129F9E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3263D59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B05420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3C2769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64C17E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103D063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023CF3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8D107A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6209FD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7CA0B7B8"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CB50C0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89B178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0E2454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43876C5C"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6.0</w:t>
            </w:r>
          </w:p>
        </w:tc>
        <w:tc>
          <w:tcPr>
            <w:tcW w:w="192" w:type="dxa"/>
            <w:shd w:val="clear" w:color="auto" w:fill="FFFFFF"/>
            <w:noWrap/>
            <w:tcMar>
              <w:top w:w="15" w:type="dxa"/>
              <w:left w:w="0" w:type="dxa"/>
              <w:bottom w:w="0" w:type="dxa"/>
              <w:right w:w="15" w:type="dxa"/>
            </w:tcMar>
            <w:vAlign w:val="bottom"/>
            <w:hideMark/>
          </w:tcPr>
          <w:p w14:paraId="3D54E38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CA9B7A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5F6E34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3B78CB9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4283D2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6BF937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6E89AEF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bottom w:val="single" w:sz="6" w:space="0" w:color="000000"/>
            </w:tcBorders>
            <w:shd w:val="clear" w:color="auto" w:fill="FFFFFF"/>
            <w:noWrap/>
            <w:tcMar>
              <w:top w:w="15" w:type="dxa"/>
              <w:left w:w="0" w:type="dxa"/>
              <w:bottom w:w="0" w:type="dxa"/>
              <w:right w:w="15" w:type="dxa"/>
            </w:tcMar>
            <w:vAlign w:val="bottom"/>
            <w:hideMark/>
          </w:tcPr>
          <w:p w14:paraId="330B5A42"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6.0</w:t>
            </w:r>
          </w:p>
        </w:tc>
        <w:tc>
          <w:tcPr>
            <w:tcW w:w="192" w:type="dxa"/>
            <w:shd w:val="clear" w:color="auto" w:fill="FFFFFF"/>
            <w:noWrap/>
            <w:tcMar>
              <w:top w:w="15" w:type="dxa"/>
              <w:left w:w="0" w:type="dxa"/>
              <w:bottom w:w="0" w:type="dxa"/>
              <w:right w:w="15" w:type="dxa"/>
            </w:tcMar>
            <w:vAlign w:val="bottom"/>
            <w:hideMark/>
          </w:tcPr>
          <w:p w14:paraId="559265E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C5D07A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47FC0B6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2B4E57F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792827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AA4DFB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3227FF8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438365F1"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6.0</w:t>
            </w:r>
          </w:p>
        </w:tc>
        <w:tc>
          <w:tcPr>
            <w:tcW w:w="194" w:type="dxa"/>
            <w:shd w:val="clear" w:color="auto" w:fill="FFFFFF"/>
            <w:noWrap/>
            <w:tcMar>
              <w:top w:w="15" w:type="dxa"/>
              <w:left w:w="0" w:type="dxa"/>
              <w:bottom w:w="0" w:type="dxa"/>
              <w:right w:w="15" w:type="dxa"/>
            </w:tcMar>
            <w:vAlign w:val="bottom"/>
            <w:hideMark/>
          </w:tcPr>
          <w:p w14:paraId="22EA9E5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482C7CFB" w14:textId="77777777" w:rsidTr="00AC4931">
        <w:tc>
          <w:tcPr>
            <w:tcW w:w="5791" w:type="dxa"/>
            <w:shd w:val="clear" w:color="auto" w:fill="CFF0FC"/>
            <w:tcMar>
              <w:top w:w="15" w:type="dxa"/>
              <w:left w:w="0" w:type="dxa"/>
              <w:bottom w:w="0" w:type="dxa"/>
              <w:right w:w="15" w:type="dxa"/>
            </w:tcMar>
            <w:hideMark/>
          </w:tcPr>
          <w:p w14:paraId="5C252A0A"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Total Comprehensive Income</w:t>
            </w:r>
          </w:p>
        </w:tc>
        <w:tc>
          <w:tcPr>
            <w:tcW w:w="200" w:type="dxa"/>
            <w:shd w:val="clear" w:color="auto" w:fill="CFF0FC"/>
            <w:tcMar>
              <w:top w:w="15" w:type="dxa"/>
              <w:left w:w="0" w:type="dxa"/>
              <w:bottom w:w="0" w:type="dxa"/>
              <w:right w:w="15" w:type="dxa"/>
            </w:tcMar>
            <w:vAlign w:val="bottom"/>
            <w:hideMark/>
          </w:tcPr>
          <w:p w14:paraId="18CAAA63"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1F748E5"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76B4441E"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CA62550"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CF255FE"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7D9A25A"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03362F90"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0CB6B1F"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6D96CDE"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E323AA4"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6800960B"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989168F"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B3361BD"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D3957D2"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3BEAC3B1"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862442E"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CDE5B40"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695F651D"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0BB6F297"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485314C"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4C0EB0F"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80645A2"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23AA57FB"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8FE0309"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3C75BB8"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2166774"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18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08B9D2B"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288.9</w:t>
            </w:r>
          </w:p>
        </w:tc>
        <w:tc>
          <w:tcPr>
            <w:tcW w:w="192" w:type="dxa"/>
            <w:shd w:val="clear" w:color="auto" w:fill="CFF0FC"/>
            <w:noWrap/>
            <w:tcMar>
              <w:top w:w="15" w:type="dxa"/>
              <w:left w:w="0" w:type="dxa"/>
              <w:bottom w:w="0" w:type="dxa"/>
              <w:right w:w="15" w:type="dxa"/>
            </w:tcMar>
            <w:vAlign w:val="bottom"/>
            <w:hideMark/>
          </w:tcPr>
          <w:p w14:paraId="27192DCD"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BFEC746"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82F8BF1"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3186947"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2.3</w:t>
            </w:r>
          </w:p>
        </w:tc>
        <w:tc>
          <w:tcPr>
            <w:tcW w:w="192" w:type="dxa"/>
            <w:shd w:val="clear" w:color="auto" w:fill="CFF0FC"/>
            <w:noWrap/>
            <w:tcMar>
              <w:top w:w="15" w:type="dxa"/>
              <w:left w:w="0" w:type="dxa"/>
              <w:bottom w:w="0" w:type="dxa"/>
              <w:right w:w="15" w:type="dxa"/>
            </w:tcMar>
            <w:vAlign w:val="bottom"/>
            <w:hideMark/>
          </w:tcPr>
          <w:p w14:paraId="3A8BA2A2"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9EAF287"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566D811"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7BF8C4" w14:textId="77777777" w:rsidR="00AC4931" w:rsidRPr="00AC4931" w:rsidRDefault="00AC4931" w:rsidP="00AC4931">
            <w:pPr>
              <w:widowControl/>
              <w:jc w:val="righ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291.2</w:t>
            </w:r>
          </w:p>
        </w:tc>
        <w:tc>
          <w:tcPr>
            <w:tcW w:w="194" w:type="dxa"/>
            <w:shd w:val="clear" w:color="auto" w:fill="CFF0FC"/>
            <w:noWrap/>
            <w:tcMar>
              <w:top w:w="15" w:type="dxa"/>
              <w:left w:w="0" w:type="dxa"/>
              <w:bottom w:w="0" w:type="dxa"/>
              <w:right w:w="15" w:type="dxa"/>
            </w:tcMar>
            <w:vAlign w:val="bottom"/>
            <w:hideMark/>
          </w:tcPr>
          <w:p w14:paraId="700342F4"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rPr>
              <w:t> </w:t>
            </w:r>
          </w:p>
        </w:tc>
      </w:tr>
      <w:tr w:rsidR="00AC4931" w:rsidRPr="00AC4931" w14:paraId="57D5A0F2" w14:textId="77777777" w:rsidTr="00AC4931">
        <w:tc>
          <w:tcPr>
            <w:tcW w:w="5791" w:type="dxa"/>
            <w:shd w:val="clear" w:color="auto" w:fill="FFFFFF"/>
            <w:tcMar>
              <w:top w:w="15" w:type="dxa"/>
              <w:left w:w="0" w:type="dxa"/>
              <w:bottom w:w="0" w:type="dxa"/>
              <w:right w:w="15" w:type="dxa"/>
            </w:tcMar>
            <w:hideMark/>
          </w:tcPr>
          <w:p w14:paraId="6DC38A3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Stock-based compensation</w:t>
            </w:r>
          </w:p>
        </w:tc>
        <w:tc>
          <w:tcPr>
            <w:tcW w:w="200" w:type="dxa"/>
            <w:shd w:val="clear" w:color="auto" w:fill="FFFFFF"/>
            <w:tcMar>
              <w:top w:w="15" w:type="dxa"/>
              <w:left w:w="0" w:type="dxa"/>
              <w:bottom w:w="0" w:type="dxa"/>
              <w:right w:w="15" w:type="dxa"/>
            </w:tcMar>
            <w:vAlign w:val="bottom"/>
            <w:hideMark/>
          </w:tcPr>
          <w:p w14:paraId="019A427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5F3903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3BF14DE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347534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2539D2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CC15F8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517B716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7BA337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D562FA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E6F136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46491CC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DE2ED5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5B9038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5C8CD2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FFFFFF"/>
            <w:noWrap/>
            <w:tcMar>
              <w:top w:w="15" w:type="dxa"/>
              <w:left w:w="0" w:type="dxa"/>
              <w:bottom w:w="0" w:type="dxa"/>
              <w:right w:w="15" w:type="dxa"/>
            </w:tcMar>
            <w:vAlign w:val="bottom"/>
            <w:hideMark/>
          </w:tcPr>
          <w:p w14:paraId="2373F23E"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0.7</w:t>
            </w:r>
          </w:p>
        </w:tc>
        <w:tc>
          <w:tcPr>
            <w:tcW w:w="192" w:type="dxa"/>
            <w:shd w:val="clear" w:color="auto" w:fill="FFFFFF"/>
            <w:noWrap/>
            <w:tcMar>
              <w:top w:w="15" w:type="dxa"/>
              <w:left w:w="0" w:type="dxa"/>
              <w:bottom w:w="0" w:type="dxa"/>
              <w:right w:w="15" w:type="dxa"/>
            </w:tcMar>
            <w:vAlign w:val="bottom"/>
            <w:hideMark/>
          </w:tcPr>
          <w:p w14:paraId="3221058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7DDA6B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D51ADC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FFFFFF"/>
            <w:noWrap/>
            <w:tcMar>
              <w:top w:w="15" w:type="dxa"/>
              <w:left w:w="0" w:type="dxa"/>
              <w:bottom w:w="0" w:type="dxa"/>
              <w:right w:w="15" w:type="dxa"/>
            </w:tcMar>
            <w:vAlign w:val="bottom"/>
            <w:hideMark/>
          </w:tcPr>
          <w:p w14:paraId="5185337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E152E1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D95B62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3796D1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FFFFFF"/>
            <w:noWrap/>
            <w:tcMar>
              <w:top w:w="15" w:type="dxa"/>
              <w:left w:w="0" w:type="dxa"/>
              <w:bottom w:w="0" w:type="dxa"/>
              <w:right w:w="15" w:type="dxa"/>
            </w:tcMar>
            <w:vAlign w:val="bottom"/>
            <w:hideMark/>
          </w:tcPr>
          <w:p w14:paraId="245B591C"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10.1</w:t>
            </w:r>
          </w:p>
        </w:tc>
        <w:tc>
          <w:tcPr>
            <w:tcW w:w="192" w:type="dxa"/>
            <w:shd w:val="clear" w:color="auto" w:fill="FFFFFF"/>
            <w:noWrap/>
            <w:tcMar>
              <w:top w:w="15" w:type="dxa"/>
              <w:left w:w="0" w:type="dxa"/>
              <w:bottom w:w="0" w:type="dxa"/>
              <w:right w:w="15" w:type="dxa"/>
            </w:tcMar>
            <w:vAlign w:val="bottom"/>
            <w:hideMark/>
          </w:tcPr>
          <w:p w14:paraId="5F7658C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A384FF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3D616F4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top w:val="single" w:sz="6" w:space="0" w:color="000000"/>
            </w:tcBorders>
            <w:shd w:val="clear" w:color="auto" w:fill="FFFFFF"/>
            <w:noWrap/>
            <w:tcMar>
              <w:top w:w="15" w:type="dxa"/>
              <w:left w:w="0" w:type="dxa"/>
              <w:bottom w:w="0" w:type="dxa"/>
              <w:right w:w="15" w:type="dxa"/>
            </w:tcMar>
            <w:vAlign w:val="bottom"/>
            <w:hideMark/>
          </w:tcPr>
          <w:p w14:paraId="5DF6025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10.8</w:t>
            </w:r>
          </w:p>
        </w:tc>
        <w:tc>
          <w:tcPr>
            <w:tcW w:w="192" w:type="dxa"/>
            <w:shd w:val="clear" w:color="auto" w:fill="FFFFFF"/>
            <w:noWrap/>
            <w:tcMar>
              <w:top w:w="15" w:type="dxa"/>
              <w:left w:w="0" w:type="dxa"/>
              <w:bottom w:w="0" w:type="dxa"/>
              <w:right w:w="15" w:type="dxa"/>
            </w:tcMar>
            <w:vAlign w:val="bottom"/>
            <w:hideMark/>
          </w:tcPr>
          <w:p w14:paraId="41C52C8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44B391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14D9608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FFFFFF"/>
            <w:noWrap/>
            <w:tcMar>
              <w:top w:w="15" w:type="dxa"/>
              <w:left w:w="0" w:type="dxa"/>
              <w:bottom w:w="0" w:type="dxa"/>
              <w:right w:w="15" w:type="dxa"/>
            </w:tcMar>
            <w:vAlign w:val="bottom"/>
            <w:hideMark/>
          </w:tcPr>
          <w:p w14:paraId="7259C21C"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7878918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4749EE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49018F5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top w:val="single" w:sz="6" w:space="0" w:color="000000"/>
            </w:tcBorders>
            <w:shd w:val="clear" w:color="auto" w:fill="FFFFFF"/>
            <w:noWrap/>
            <w:tcMar>
              <w:top w:w="15" w:type="dxa"/>
              <w:left w:w="0" w:type="dxa"/>
              <w:bottom w:w="0" w:type="dxa"/>
              <w:right w:w="15" w:type="dxa"/>
            </w:tcMar>
            <w:vAlign w:val="bottom"/>
            <w:hideMark/>
          </w:tcPr>
          <w:p w14:paraId="5BE4BAA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10.8</w:t>
            </w:r>
          </w:p>
        </w:tc>
        <w:tc>
          <w:tcPr>
            <w:tcW w:w="194" w:type="dxa"/>
            <w:shd w:val="clear" w:color="auto" w:fill="FFFFFF"/>
            <w:noWrap/>
            <w:tcMar>
              <w:top w:w="15" w:type="dxa"/>
              <w:left w:w="0" w:type="dxa"/>
              <w:bottom w:w="0" w:type="dxa"/>
              <w:right w:w="15" w:type="dxa"/>
            </w:tcMar>
            <w:vAlign w:val="bottom"/>
            <w:hideMark/>
          </w:tcPr>
          <w:p w14:paraId="70D9351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59B4F3C9" w14:textId="77777777" w:rsidTr="00AC4931">
        <w:tc>
          <w:tcPr>
            <w:tcW w:w="5791" w:type="dxa"/>
            <w:shd w:val="clear" w:color="auto" w:fill="CFF0FC"/>
            <w:tcMar>
              <w:top w:w="15" w:type="dxa"/>
              <w:left w:w="0" w:type="dxa"/>
              <w:bottom w:w="0" w:type="dxa"/>
              <w:right w:w="15" w:type="dxa"/>
            </w:tcMar>
            <w:hideMark/>
          </w:tcPr>
          <w:p w14:paraId="398C40C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Cash dividends declared</w:t>
            </w:r>
          </w:p>
        </w:tc>
        <w:tc>
          <w:tcPr>
            <w:tcW w:w="200" w:type="dxa"/>
            <w:shd w:val="clear" w:color="auto" w:fill="CFF0FC"/>
            <w:tcMar>
              <w:top w:w="15" w:type="dxa"/>
              <w:left w:w="0" w:type="dxa"/>
              <w:bottom w:w="0" w:type="dxa"/>
              <w:right w:w="15" w:type="dxa"/>
            </w:tcMar>
            <w:vAlign w:val="bottom"/>
            <w:hideMark/>
          </w:tcPr>
          <w:p w14:paraId="549CE19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188120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7C28C07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26D070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BB3510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937C62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4BB93C3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C476AA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7AD3B21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6639D8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56A026D4"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8FE6F7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4077AB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DFB2E0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48206AF9"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1EB4BC6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16ACB57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7ABADF0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6E0B54A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3BC6D2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2EB4583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7A846A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shd w:val="clear" w:color="auto" w:fill="CFF0FC"/>
            <w:noWrap/>
            <w:tcMar>
              <w:top w:w="15" w:type="dxa"/>
              <w:left w:w="0" w:type="dxa"/>
              <w:bottom w:w="0" w:type="dxa"/>
              <w:right w:w="15" w:type="dxa"/>
            </w:tcMar>
            <w:vAlign w:val="bottom"/>
            <w:hideMark/>
          </w:tcPr>
          <w:p w14:paraId="6DAAB83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969665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6B876A4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504DD6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shd w:val="clear" w:color="auto" w:fill="CFF0FC"/>
            <w:noWrap/>
            <w:tcMar>
              <w:top w:w="15" w:type="dxa"/>
              <w:left w:w="0" w:type="dxa"/>
              <w:bottom w:w="0" w:type="dxa"/>
              <w:right w:w="15" w:type="dxa"/>
            </w:tcMar>
            <w:vAlign w:val="bottom"/>
            <w:hideMark/>
          </w:tcPr>
          <w:p w14:paraId="66AE16C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192" w:type="dxa"/>
            <w:shd w:val="clear" w:color="auto" w:fill="CFF0FC"/>
            <w:noWrap/>
            <w:tcMar>
              <w:top w:w="15" w:type="dxa"/>
              <w:left w:w="0" w:type="dxa"/>
              <w:bottom w:w="0" w:type="dxa"/>
              <w:right w:w="15" w:type="dxa"/>
            </w:tcMar>
            <w:vAlign w:val="bottom"/>
            <w:hideMark/>
          </w:tcPr>
          <w:p w14:paraId="3FAC94C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AD470E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2FB58B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1F87D47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38EF1E4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4869F22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237B598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shd w:val="clear" w:color="auto" w:fill="CFF0FC"/>
            <w:noWrap/>
            <w:tcMar>
              <w:top w:w="15" w:type="dxa"/>
              <w:left w:w="0" w:type="dxa"/>
              <w:bottom w:w="0" w:type="dxa"/>
              <w:right w:w="15" w:type="dxa"/>
            </w:tcMar>
            <w:vAlign w:val="bottom"/>
            <w:hideMark/>
          </w:tcPr>
          <w:p w14:paraId="4E271D1C"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194" w:type="dxa"/>
            <w:shd w:val="clear" w:color="auto" w:fill="CFF0FC"/>
            <w:noWrap/>
            <w:tcMar>
              <w:top w:w="15" w:type="dxa"/>
              <w:left w:w="0" w:type="dxa"/>
              <w:bottom w:w="0" w:type="dxa"/>
              <w:right w:w="15" w:type="dxa"/>
            </w:tcMar>
            <w:vAlign w:val="bottom"/>
            <w:hideMark/>
          </w:tcPr>
          <w:p w14:paraId="4D949F6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r w:rsidR="00AC4931" w:rsidRPr="00AC4931" w14:paraId="0CD0BF24" w14:textId="77777777" w:rsidTr="00AC4931">
        <w:tc>
          <w:tcPr>
            <w:tcW w:w="5791" w:type="dxa"/>
            <w:shd w:val="clear" w:color="auto" w:fill="FFFFFF"/>
            <w:tcMar>
              <w:top w:w="15" w:type="dxa"/>
              <w:left w:w="0" w:type="dxa"/>
              <w:bottom w:w="0" w:type="dxa"/>
              <w:right w:w="15" w:type="dxa"/>
            </w:tcMar>
            <w:hideMark/>
          </w:tcPr>
          <w:p w14:paraId="0DF9420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Dividends paid to non-controlling</w:t>
            </w:r>
          </w:p>
          <w:p w14:paraId="2E6708D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interest on subsidiary shares</w:t>
            </w:r>
          </w:p>
        </w:tc>
        <w:tc>
          <w:tcPr>
            <w:tcW w:w="200" w:type="dxa"/>
            <w:shd w:val="clear" w:color="auto" w:fill="FFFFFF"/>
            <w:tcMar>
              <w:top w:w="15" w:type="dxa"/>
              <w:left w:w="0" w:type="dxa"/>
              <w:bottom w:w="0" w:type="dxa"/>
              <w:right w:w="15" w:type="dxa"/>
            </w:tcMar>
            <w:vAlign w:val="bottom"/>
            <w:hideMark/>
          </w:tcPr>
          <w:p w14:paraId="41CB1B7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27E870C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1B3B5B0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F1F37F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BB2C93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14DDE53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1FAF95F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E1A2CC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D33CF2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079E688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631DC635"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849C90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1B2E3D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16DBB36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057F544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0D044E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0EF9B4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13257C7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bottom w:val="single" w:sz="6" w:space="0" w:color="000000"/>
            </w:tcBorders>
            <w:shd w:val="clear" w:color="auto" w:fill="FFFFFF"/>
            <w:noWrap/>
            <w:tcMar>
              <w:top w:w="15" w:type="dxa"/>
              <w:left w:w="0" w:type="dxa"/>
              <w:bottom w:w="0" w:type="dxa"/>
              <w:right w:w="15" w:type="dxa"/>
            </w:tcMar>
            <w:vAlign w:val="bottom"/>
            <w:hideMark/>
          </w:tcPr>
          <w:p w14:paraId="2025B07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60EF6BA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C025FE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6226FB0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059" w:type="dxa"/>
            <w:tcBorders>
              <w:bottom w:val="single" w:sz="6" w:space="0" w:color="000000"/>
            </w:tcBorders>
            <w:shd w:val="clear" w:color="auto" w:fill="FFFFFF"/>
            <w:noWrap/>
            <w:tcMar>
              <w:top w:w="15" w:type="dxa"/>
              <w:left w:w="0" w:type="dxa"/>
              <w:bottom w:w="0" w:type="dxa"/>
              <w:right w:w="15" w:type="dxa"/>
            </w:tcMar>
            <w:vAlign w:val="bottom"/>
            <w:hideMark/>
          </w:tcPr>
          <w:p w14:paraId="0C787BD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5344B4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23826D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7F37470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187" w:type="dxa"/>
            <w:tcBorders>
              <w:bottom w:val="single" w:sz="6" w:space="0" w:color="000000"/>
            </w:tcBorders>
            <w:shd w:val="clear" w:color="auto" w:fill="FFFFFF"/>
            <w:noWrap/>
            <w:tcMar>
              <w:top w:w="15" w:type="dxa"/>
              <w:left w:w="0" w:type="dxa"/>
              <w:bottom w:w="0" w:type="dxa"/>
              <w:right w:w="15" w:type="dxa"/>
            </w:tcMar>
            <w:vAlign w:val="bottom"/>
            <w:hideMark/>
          </w:tcPr>
          <w:p w14:paraId="06AD66A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45473596"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7DF821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348DF0C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445B3FB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(1.3</w:t>
            </w:r>
          </w:p>
        </w:tc>
        <w:tc>
          <w:tcPr>
            <w:tcW w:w="192" w:type="dxa"/>
            <w:shd w:val="clear" w:color="auto" w:fill="FFFFFF"/>
            <w:noWrap/>
            <w:tcMar>
              <w:top w:w="15" w:type="dxa"/>
              <w:left w:w="0" w:type="dxa"/>
              <w:bottom w:w="0" w:type="dxa"/>
              <w:right w:w="15" w:type="dxa"/>
            </w:tcMar>
            <w:vAlign w:val="bottom"/>
            <w:hideMark/>
          </w:tcPr>
          <w:p w14:paraId="7BA80A2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0" w:type="dxa"/>
            <w:shd w:val="clear" w:color="auto" w:fill="FFFFFF"/>
            <w:tcMar>
              <w:top w:w="15" w:type="dxa"/>
              <w:left w:w="0" w:type="dxa"/>
              <w:bottom w:w="0" w:type="dxa"/>
              <w:right w:w="15" w:type="dxa"/>
            </w:tcMar>
            <w:vAlign w:val="bottom"/>
            <w:hideMark/>
          </w:tcPr>
          <w:p w14:paraId="789A364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4F2075E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931" w:type="dxa"/>
            <w:tcBorders>
              <w:bottom w:val="single" w:sz="6" w:space="0" w:color="000000"/>
            </w:tcBorders>
            <w:shd w:val="clear" w:color="auto" w:fill="FFFFFF"/>
            <w:noWrap/>
            <w:tcMar>
              <w:top w:w="15" w:type="dxa"/>
              <w:left w:w="0" w:type="dxa"/>
              <w:bottom w:w="0" w:type="dxa"/>
              <w:right w:w="15" w:type="dxa"/>
            </w:tcMar>
            <w:vAlign w:val="bottom"/>
            <w:hideMark/>
          </w:tcPr>
          <w:p w14:paraId="2B5785AB"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(1.3</w:t>
            </w:r>
          </w:p>
        </w:tc>
        <w:tc>
          <w:tcPr>
            <w:tcW w:w="194" w:type="dxa"/>
            <w:shd w:val="clear" w:color="auto" w:fill="FFFFFF"/>
            <w:noWrap/>
            <w:tcMar>
              <w:top w:w="15" w:type="dxa"/>
              <w:left w:w="0" w:type="dxa"/>
              <w:bottom w:w="0" w:type="dxa"/>
              <w:right w:w="15" w:type="dxa"/>
            </w:tcMar>
            <w:vAlign w:val="bottom"/>
            <w:hideMark/>
          </w:tcPr>
          <w:p w14:paraId="57AFC2C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r>
      <w:tr w:rsidR="00AC4931" w:rsidRPr="00AC4931" w14:paraId="5BA3ED0F" w14:textId="77777777" w:rsidTr="00AC4931">
        <w:tc>
          <w:tcPr>
            <w:tcW w:w="5791" w:type="dxa"/>
            <w:shd w:val="clear" w:color="auto" w:fill="CFF0FC"/>
            <w:tcMar>
              <w:top w:w="15" w:type="dxa"/>
              <w:left w:w="0" w:type="dxa"/>
              <w:bottom w:w="0" w:type="dxa"/>
              <w:right w:w="15" w:type="dxa"/>
            </w:tcMar>
            <w:hideMark/>
          </w:tcPr>
          <w:p w14:paraId="3F416FF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Balance at December 31, 2020</w:t>
            </w:r>
          </w:p>
        </w:tc>
        <w:tc>
          <w:tcPr>
            <w:tcW w:w="200" w:type="dxa"/>
            <w:shd w:val="clear" w:color="auto" w:fill="CFF0FC"/>
            <w:tcMar>
              <w:top w:w="15" w:type="dxa"/>
              <w:left w:w="0" w:type="dxa"/>
              <w:bottom w:w="0" w:type="dxa"/>
              <w:right w:w="15" w:type="dxa"/>
            </w:tcMar>
            <w:vAlign w:val="bottom"/>
            <w:hideMark/>
          </w:tcPr>
          <w:p w14:paraId="4C703C4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8C6485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9D105F2"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102.8</w:t>
            </w:r>
          </w:p>
        </w:tc>
        <w:tc>
          <w:tcPr>
            <w:tcW w:w="192" w:type="dxa"/>
            <w:shd w:val="clear" w:color="auto" w:fill="CFF0FC"/>
            <w:noWrap/>
            <w:tcMar>
              <w:top w:w="15" w:type="dxa"/>
              <w:left w:w="0" w:type="dxa"/>
              <w:bottom w:w="0" w:type="dxa"/>
              <w:right w:w="15" w:type="dxa"/>
            </w:tcMar>
            <w:vAlign w:val="bottom"/>
            <w:hideMark/>
          </w:tcPr>
          <w:p w14:paraId="22DDE96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6511CF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0D1212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1F26EF9"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102.8</w:t>
            </w:r>
          </w:p>
        </w:tc>
        <w:tc>
          <w:tcPr>
            <w:tcW w:w="192" w:type="dxa"/>
            <w:shd w:val="clear" w:color="auto" w:fill="CFF0FC"/>
            <w:noWrap/>
            <w:tcMar>
              <w:top w:w="15" w:type="dxa"/>
              <w:left w:w="0" w:type="dxa"/>
              <w:bottom w:w="0" w:type="dxa"/>
              <w:right w:w="15" w:type="dxa"/>
            </w:tcMar>
            <w:vAlign w:val="bottom"/>
            <w:hideMark/>
          </w:tcPr>
          <w:p w14:paraId="5C98261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3F92B5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8FFDE2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AF95CB3"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1,329.3</w:t>
            </w:r>
          </w:p>
        </w:tc>
        <w:tc>
          <w:tcPr>
            <w:tcW w:w="192" w:type="dxa"/>
            <w:shd w:val="clear" w:color="auto" w:fill="CFF0FC"/>
            <w:noWrap/>
            <w:tcMar>
              <w:top w:w="15" w:type="dxa"/>
              <w:left w:w="0" w:type="dxa"/>
              <w:bottom w:w="0" w:type="dxa"/>
              <w:right w:w="15" w:type="dxa"/>
            </w:tcMar>
            <w:vAlign w:val="bottom"/>
            <w:hideMark/>
          </w:tcPr>
          <w:p w14:paraId="3B66082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5453CB29"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DA5BB9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A194AB8"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2,471.1</w:t>
            </w:r>
          </w:p>
        </w:tc>
        <w:tc>
          <w:tcPr>
            <w:tcW w:w="192" w:type="dxa"/>
            <w:shd w:val="clear" w:color="auto" w:fill="CFF0FC"/>
            <w:noWrap/>
            <w:tcMar>
              <w:top w:w="15" w:type="dxa"/>
              <w:left w:w="0" w:type="dxa"/>
              <w:bottom w:w="0" w:type="dxa"/>
              <w:right w:w="15" w:type="dxa"/>
            </w:tcMar>
            <w:vAlign w:val="bottom"/>
            <w:hideMark/>
          </w:tcPr>
          <w:p w14:paraId="475452A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8F3BA6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942737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18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55517C4"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(346.9</w:t>
            </w:r>
          </w:p>
        </w:tc>
        <w:tc>
          <w:tcPr>
            <w:tcW w:w="192" w:type="dxa"/>
            <w:shd w:val="clear" w:color="auto" w:fill="CFF0FC"/>
            <w:noWrap/>
            <w:tcMar>
              <w:top w:w="15" w:type="dxa"/>
              <w:left w:w="0" w:type="dxa"/>
              <w:bottom w:w="0" w:type="dxa"/>
              <w:right w:w="15" w:type="dxa"/>
            </w:tcMar>
            <w:vAlign w:val="bottom"/>
            <w:hideMark/>
          </w:tcPr>
          <w:p w14:paraId="3C7D8B2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374F2B0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333AF8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05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0E16FB0"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(1,147.4</w:t>
            </w:r>
          </w:p>
        </w:tc>
        <w:tc>
          <w:tcPr>
            <w:tcW w:w="192" w:type="dxa"/>
            <w:shd w:val="clear" w:color="auto" w:fill="CFF0FC"/>
            <w:noWrap/>
            <w:tcMar>
              <w:top w:w="15" w:type="dxa"/>
              <w:left w:w="0" w:type="dxa"/>
              <w:bottom w:w="0" w:type="dxa"/>
              <w:right w:w="15" w:type="dxa"/>
            </w:tcMar>
            <w:vAlign w:val="bottom"/>
            <w:hideMark/>
          </w:tcPr>
          <w:p w14:paraId="03867BD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200" w:type="dxa"/>
            <w:shd w:val="clear" w:color="auto" w:fill="CFF0FC"/>
            <w:tcMar>
              <w:top w:w="15" w:type="dxa"/>
              <w:left w:w="0" w:type="dxa"/>
              <w:bottom w:w="0" w:type="dxa"/>
              <w:right w:w="15" w:type="dxa"/>
            </w:tcMar>
            <w:vAlign w:val="bottom"/>
            <w:hideMark/>
          </w:tcPr>
          <w:p w14:paraId="5949DD3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1B784D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18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86FA5A9"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2,408.9</w:t>
            </w:r>
          </w:p>
        </w:tc>
        <w:tc>
          <w:tcPr>
            <w:tcW w:w="192" w:type="dxa"/>
            <w:shd w:val="clear" w:color="auto" w:fill="CFF0FC"/>
            <w:noWrap/>
            <w:tcMar>
              <w:top w:w="15" w:type="dxa"/>
              <w:left w:w="0" w:type="dxa"/>
              <w:bottom w:w="0" w:type="dxa"/>
              <w:right w:w="15" w:type="dxa"/>
            </w:tcMar>
            <w:vAlign w:val="bottom"/>
            <w:hideMark/>
          </w:tcPr>
          <w:p w14:paraId="6E332CC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3C49736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8DC4D2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6885669"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14.2</w:t>
            </w:r>
          </w:p>
        </w:tc>
        <w:tc>
          <w:tcPr>
            <w:tcW w:w="192" w:type="dxa"/>
            <w:shd w:val="clear" w:color="auto" w:fill="CFF0FC"/>
            <w:noWrap/>
            <w:tcMar>
              <w:top w:w="15" w:type="dxa"/>
              <w:left w:w="0" w:type="dxa"/>
              <w:bottom w:w="0" w:type="dxa"/>
              <w:right w:w="15" w:type="dxa"/>
            </w:tcMar>
            <w:vAlign w:val="bottom"/>
            <w:hideMark/>
          </w:tcPr>
          <w:p w14:paraId="1767EF6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CFF0FC"/>
            <w:tcMar>
              <w:top w:w="15" w:type="dxa"/>
              <w:left w:w="0" w:type="dxa"/>
              <w:bottom w:w="0" w:type="dxa"/>
              <w:right w:w="15" w:type="dxa"/>
            </w:tcMar>
            <w:vAlign w:val="bottom"/>
            <w:hideMark/>
          </w:tcPr>
          <w:p w14:paraId="09584CE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B8A6DB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93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89FE9BC"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2,423.1</w:t>
            </w:r>
          </w:p>
        </w:tc>
        <w:tc>
          <w:tcPr>
            <w:tcW w:w="194" w:type="dxa"/>
            <w:shd w:val="clear" w:color="auto" w:fill="CFF0FC"/>
            <w:noWrap/>
            <w:tcMar>
              <w:top w:w="15" w:type="dxa"/>
              <w:left w:w="0" w:type="dxa"/>
              <w:bottom w:w="0" w:type="dxa"/>
              <w:right w:w="15" w:type="dxa"/>
            </w:tcMar>
            <w:vAlign w:val="bottom"/>
            <w:hideMark/>
          </w:tcPr>
          <w:p w14:paraId="19D6AC7D"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3ACA3463"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3AC0CCCC" w14:textId="77777777" w:rsidTr="00AC4931">
        <w:tc>
          <w:tcPr>
            <w:tcW w:w="919" w:type="dxa"/>
            <w:noWrap/>
            <w:hideMark/>
          </w:tcPr>
          <w:p w14:paraId="7A488EEE"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4CA03FEA"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See Note 15 for further details – includes tax effects where applicable.</w:t>
            </w:r>
          </w:p>
        </w:tc>
      </w:tr>
    </w:tbl>
    <w:p w14:paraId="117D9151" w14:textId="77777777" w:rsidR="00AC4931" w:rsidRPr="00AC4931" w:rsidRDefault="00AC4931" w:rsidP="00AC4931">
      <w:pPr>
        <w:widowControl/>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t> </w:t>
      </w:r>
    </w:p>
    <w:p w14:paraId="193C96C9" w14:textId="77777777" w:rsidR="00AC4931" w:rsidRPr="00AC4931" w:rsidRDefault="00AC4931" w:rsidP="00AC4931">
      <w:pPr>
        <w:widowControl/>
        <w:spacing w:before="40"/>
        <w:rPr>
          <w:rFonts w:ascii="Arial" w:eastAsia="宋体" w:hAnsi="Arial" w:cs="Arial"/>
          <w:color w:val="000000"/>
          <w:kern w:val="0"/>
          <w:sz w:val="18"/>
          <w:szCs w:val="18"/>
        </w:rPr>
      </w:pPr>
      <w:r w:rsidRPr="00AC4931">
        <w:rPr>
          <w:rFonts w:ascii="Arial" w:eastAsia="宋体" w:hAnsi="Arial" w:cs="Arial"/>
          <w:color w:val="000000"/>
          <w:kern w:val="0"/>
          <w:sz w:val="18"/>
          <w:szCs w:val="18"/>
        </w:rPr>
        <w:t>See Notes to the Consolidated Financial Statements.</w:t>
      </w:r>
    </w:p>
    <w:p w14:paraId="44716600"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58</w:t>
      </w:r>
    </w:p>
    <w:p w14:paraId="4D62E4B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5EC3A3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281F04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DEB9249"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70E031D9">
          <v:rect id="_x0000_i1085" style="width:0;height:1.5pt" o:hralign="center" o:hrstd="t" o:hrnoshade="t" o:hr="t" fillcolor="black" stroked="f"/>
        </w:pict>
      </w:r>
    </w:p>
    <w:p w14:paraId="1157C0B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E8980F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C25D5C2"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2862C59" w14:textId="77777777" w:rsidR="00AC4931" w:rsidRPr="00AC4931" w:rsidRDefault="00AC4931" w:rsidP="00AC4931">
      <w:pPr>
        <w:widowControl/>
        <w:rPr>
          <w:rFonts w:ascii="Arial" w:eastAsia="宋体" w:hAnsi="Arial" w:cs="Arial" w:hint="eastAsia"/>
          <w:b/>
          <w:bCs/>
          <w:color w:val="000000"/>
          <w:kern w:val="0"/>
          <w:sz w:val="22"/>
        </w:rPr>
      </w:pPr>
      <w:r w:rsidRPr="00AC4931">
        <w:rPr>
          <w:rFonts w:ascii="Arial" w:eastAsia="宋体" w:hAnsi="Arial" w:cs="Arial"/>
          <w:b/>
          <w:bCs/>
          <w:color w:val="000000"/>
          <w:kern w:val="0"/>
          <w:sz w:val="22"/>
        </w:rPr>
        <w:t>Notes to the Consolidated Financial Statements</w:t>
      </w:r>
    </w:p>
    <w:p w14:paraId="30602701" w14:textId="77777777" w:rsidR="00AC4931" w:rsidRPr="00AC4931" w:rsidRDefault="00AC4931" w:rsidP="00AC4931">
      <w:pPr>
        <w:widowControl/>
        <w:rPr>
          <w:rFonts w:ascii="微软雅黑" w:eastAsia="微软雅黑" w:hAnsi="微软雅黑" w:cs="宋体"/>
          <w:b/>
          <w:bCs/>
          <w:color w:val="000000"/>
          <w:kern w:val="0"/>
          <w:sz w:val="16"/>
          <w:szCs w:val="16"/>
        </w:rPr>
      </w:pPr>
      <w:r w:rsidRPr="00AC4931">
        <w:rPr>
          <w:rFonts w:ascii="微软雅黑" w:eastAsia="微软雅黑" w:hAnsi="微软雅黑" w:cs="宋体" w:hint="eastAsia"/>
          <w:b/>
          <w:bCs/>
          <w:color w:val="000000"/>
          <w:kern w:val="0"/>
          <w:sz w:val="16"/>
          <w:szCs w:val="16"/>
        </w:rPr>
        <w:t> </w:t>
      </w:r>
    </w:p>
    <w:p w14:paraId="73C50E94" w14:textId="77777777" w:rsidR="00AC4931" w:rsidRPr="00AC4931" w:rsidRDefault="00AC4931" w:rsidP="00AC4931">
      <w:pPr>
        <w:widowControl/>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rPr>
        <w:t>(DOLLARS IN MILLIONS, EXCEPT PER SHARE DATA)</w:t>
      </w:r>
    </w:p>
    <w:p w14:paraId="69CD2CF6" w14:textId="77777777" w:rsidR="00AC4931" w:rsidRPr="00AC4931" w:rsidRDefault="00AC4931" w:rsidP="00AC4931">
      <w:pPr>
        <w:widowControl/>
        <w:rPr>
          <w:rFonts w:ascii="微软雅黑" w:eastAsia="微软雅黑" w:hAnsi="微软雅黑" w:cs="宋体"/>
          <w:color w:val="000000"/>
          <w:kern w:val="0"/>
          <w:sz w:val="16"/>
          <w:szCs w:val="16"/>
        </w:rPr>
      </w:pPr>
      <w:r w:rsidRPr="00AC4931">
        <w:rPr>
          <w:rFonts w:ascii="微软雅黑" w:eastAsia="微软雅黑" w:hAnsi="微软雅黑" w:cs="宋体" w:hint="eastAsia"/>
          <w:color w:val="000000"/>
          <w:kern w:val="0"/>
          <w:sz w:val="16"/>
          <w:szCs w:val="16"/>
        </w:rPr>
        <w:t> </w:t>
      </w:r>
    </w:p>
    <w:p w14:paraId="7F42DA77" w14:textId="77777777" w:rsidR="00AC4931" w:rsidRPr="00AC4931" w:rsidRDefault="00AC4931" w:rsidP="00AC4931">
      <w:pPr>
        <w:widowControl/>
        <w:rPr>
          <w:rFonts w:ascii="微软雅黑" w:eastAsia="微软雅黑" w:hAnsi="微软雅黑" w:cs="宋体" w:hint="eastAsia"/>
          <w:color w:val="000000"/>
          <w:kern w:val="0"/>
          <w:sz w:val="18"/>
          <w:szCs w:val="18"/>
        </w:rPr>
      </w:pPr>
      <w:r w:rsidRPr="00AC4931">
        <w:rPr>
          <w:rFonts w:ascii="微软雅黑" w:eastAsia="微软雅黑" w:hAnsi="微软雅黑" w:cs="宋体" w:hint="eastAsia"/>
          <w:color w:val="000000"/>
          <w:kern w:val="0"/>
          <w:sz w:val="18"/>
          <w:szCs w:val="18"/>
        </w:rPr>
        <w:t> </w:t>
      </w:r>
    </w:p>
    <w:p w14:paraId="42C40629" w14:textId="77777777" w:rsidR="00AC4931" w:rsidRPr="00AC4931" w:rsidRDefault="00AC4931" w:rsidP="00AC4931">
      <w:pPr>
        <w:widowControl/>
        <w:rPr>
          <w:rFonts w:ascii="Arial" w:eastAsia="宋体" w:hAnsi="Arial" w:cs="Arial" w:hint="eastAsia"/>
          <w:b/>
          <w:bCs/>
          <w:kern w:val="0"/>
          <w:sz w:val="22"/>
        </w:rPr>
      </w:pPr>
      <w:r w:rsidRPr="00AC4931">
        <w:rPr>
          <w:rFonts w:ascii="Arial" w:eastAsia="宋体" w:hAnsi="Arial" w:cs="Arial"/>
          <w:b/>
          <w:bCs/>
          <w:kern w:val="0"/>
          <w:sz w:val="22"/>
        </w:rPr>
        <w:t>1. Basis of Presentation</w:t>
      </w:r>
    </w:p>
    <w:p w14:paraId="752D215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p w14:paraId="5F650DA0" w14:textId="77777777" w:rsidR="00AC4931" w:rsidRPr="00AC4931" w:rsidRDefault="00AC4931" w:rsidP="00AC4931">
      <w:pPr>
        <w:widowControl/>
        <w:rPr>
          <w:rFonts w:ascii="Arial" w:eastAsia="宋体" w:hAnsi="Arial" w:cs="Arial"/>
          <w:b/>
          <w:bCs/>
          <w:kern w:val="0"/>
          <w:sz w:val="18"/>
          <w:szCs w:val="18"/>
        </w:rPr>
      </w:pPr>
      <w:r w:rsidRPr="00AC4931">
        <w:rPr>
          <w:rFonts w:ascii="Arial" w:eastAsia="宋体" w:hAnsi="Arial" w:cs="Arial"/>
          <w:b/>
          <w:bCs/>
          <w:kern w:val="0"/>
          <w:sz w:val="18"/>
          <w:szCs w:val="18"/>
        </w:rPr>
        <w:t>NATURE OF OPERATIONS</w:t>
      </w:r>
    </w:p>
    <w:p w14:paraId="42C89941"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Through its operating subsidiaries, Autoliv is a leading developer, manufacturer and supplier of safety systems to the automotive industry. The Company has a broad range of product offerings, primarily passive safety systems, including modules and components for passenger and driver airbags, side airbags, curtain airbags, seatbelts and steering wheels. The Company is also a supplier of anti-whiplash systems and pedestrian protection systems.</w:t>
      </w:r>
    </w:p>
    <w:p w14:paraId="24AC1C32"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79C26BDF"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PRINCIPLES OF CONSOLIDATION</w:t>
      </w:r>
    </w:p>
    <w:p w14:paraId="32B155AE"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consolidated financial statements have been prepared in accordance with United States (U.S.) Generally Accepted Accounting Principles (GAAP) and include Autoliv, Inc. and all companies over which Autoliv, Inc. directly or indirectly exercises control, which as a general rule means that the Company owns more than 50% of the voting rights.</w:t>
      </w:r>
    </w:p>
    <w:p w14:paraId="5830BDDD"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lastRenderedPageBreak/>
        <w:t>Consolidation is also required when the Company has both the power to direct the activities of a variable interest entity (VIE) and the obligation to absorb losses or the right to receive benefits from the VIE that could be significant to the VIE.</w:t>
      </w:r>
    </w:p>
    <w:p w14:paraId="60F0B654"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All intercompany accounts and transactions within the Company have been eliminated from the consolidated financial statements.</w:t>
      </w:r>
    </w:p>
    <w:p w14:paraId="0D8F95B3"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Investments in affiliated companies in which the Company exercises significant influence over the operations and financial policies, but does not control, are reported using the equity method of accounting. Generally, the Company owns between 20-50% of such investments.</w:t>
      </w:r>
    </w:p>
    <w:p w14:paraId="586EBE0E"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2B7E0A9C"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DISCONTINUED OPERATIONS</w:t>
      </w:r>
    </w:p>
    <w:p w14:paraId="1D69CF40"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On June 29, 2018 (the “Distribution Date”), Autoliv completed the spin-off of its former Electronics segment (the “spin-off”) through the distribution of all of the issued and outstanding stock of Veoneer, Inc. (“Veoneer”).</w:t>
      </w:r>
    </w:p>
    <w:p w14:paraId="7F409626"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accordance with U.S. GAAP, the financial position and results of operations of the Electronics business are presented as discontinued operations and, as such, have been excluded from continuing operations for all periods presented. The sum of the individual earnings per share amounts from continuing operations and discontinued operations may not equal the total company earnings per share amounts due to rounding. The cash flows and comprehensive income related to the Electronics business have not been segregated and are included in the Consolidated Statements of Cash Flows and Comprehensive Income, respectively, for all comparison periods presented. With the exception of Note 3, the Notes to the Consolidated Financial Statements reflect the continuing operations of Autoliv. See Note 3, Discontinued Operations, below for additional information regarding discontinued operations.</w:t>
      </w:r>
    </w:p>
    <w:p w14:paraId="6BCD3014"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Responsibility for certain product, warranty and recall liabilities for Electronics products manufactured prior to April 1, 2018 was retained by Autoliv as provided in the Distribution Agreement between Autoliv and Veoneer.</w:t>
      </w:r>
    </w:p>
    <w:p w14:paraId="39BA6E45"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Certain amounts in prior year’s consolidated financial statements and related footnotes thereto have been reclassified, unless otherwise noted, to conform with the current year presentation as a result of the spin-off of Veoneer.</w:t>
      </w:r>
    </w:p>
    <w:p w14:paraId="40252269"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SEGMENT REPORTING</w:t>
      </w:r>
    </w:p>
    <w:p w14:paraId="6BA5EBB6"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Prior to the spin-off, Autoliv had two reportable operating segments: Passive Safety and Electronics. After completion of the spin-off, Autoliv’s remaining business is comprised of passive safety products - principally airbags (including steering wheels and inflators) and seatbelts. In addition, as of August 1, 2019, Autoliv implemented a new organizational structure which has been considered when evaluating the operating and reportable segments in the Company after the spin-off.</w:t>
      </w:r>
    </w:p>
    <w:p w14:paraId="57508F97"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accordance with ASC 280, </w:t>
      </w:r>
      <w:r w:rsidRPr="00AC4931">
        <w:rPr>
          <w:rFonts w:ascii="Arial" w:eastAsia="宋体" w:hAnsi="Arial" w:cs="Arial"/>
          <w:i/>
          <w:iCs/>
          <w:kern w:val="0"/>
          <w:sz w:val="18"/>
          <w:szCs w:val="18"/>
        </w:rPr>
        <w:t>Segment Reporting</w:t>
      </w:r>
      <w:r w:rsidRPr="00AC4931">
        <w:rPr>
          <w:rFonts w:ascii="Arial" w:eastAsia="宋体" w:hAnsi="Arial" w:cs="Arial"/>
          <w:kern w:val="0"/>
          <w:sz w:val="18"/>
          <w:szCs w:val="18"/>
        </w:rPr>
        <w:t xml:space="preserve">, the operating segments are determined based on the information provided to the Chief Operating Decision Maker (CODM) on a regular basis and used for the purpose of assessing performance and allocating resources within the Company. The CEO is deemed to </w:t>
      </w:r>
      <w:r w:rsidRPr="00AC4931">
        <w:rPr>
          <w:rFonts w:ascii="Arial" w:eastAsia="宋体" w:hAnsi="Arial" w:cs="Arial"/>
          <w:kern w:val="0"/>
          <w:sz w:val="18"/>
          <w:szCs w:val="18"/>
        </w:rPr>
        <w:lastRenderedPageBreak/>
        <w:t>be the CODM of Autoliv since he is the person who makes all major decisions on how to allocate the resources and assess the performance of the Company for both strategic and operational initiatives.</w:t>
      </w:r>
    </w:p>
    <w:p w14:paraId="48A1720A"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ASC 280 indicates that a component is an operating segment if it meets the following criteria:</w:t>
      </w: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1EF5264B" w14:textId="77777777" w:rsidTr="00AC4931">
        <w:tc>
          <w:tcPr>
            <w:tcW w:w="919" w:type="dxa"/>
            <w:noWrap/>
            <w:hideMark/>
          </w:tcPr>
          <w:p w14:paraId="74A0CFD5"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5852154A"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60079BE9"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It engages in business activities from which it may earn revenues and incur expenses.</w:t>
            </w:r>
          </w:p>
        </w:tc>
      </w:tr>
      <w:tr w:rsidR="00AC4931" w:rsidRPr="00AC4931" w14:paraId="4E73448D" w14:textId="77777777" w:rsidTr="00AC4931">
        <w:tc>
          <w:tcPr>
            <w:tcW w:w="919" w:type="dxa"/>
            <w:noWrap/>
            <w:hideMark/>
          </w:tcPr>
          <w:p w14:paraId="3DCACD42"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283137CB"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03361FEC"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Its operating results are regularly reviewed by the CODM to make decisions about resources to be allocated to the segment and assess its performance.</w:t>
            </w:r>
          </w:p>
        </w:tc>
      </w:tr>
    </w:tbl>
    <w:p w14:paraId="3719A852" w14:textId="77777777" w:rsidR="00AC4931" w:rsidRPr="00AC4931" w:rsidRDefault="00AC4931" w:rsidP="00AC4931">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7BB9E18A" w14:textId="77777777" w:rsidTr="00AC4931">
        <w:tc>
          <w:tcPr>
            <w:tcW w:w="919" w:type="dxa"/>
            <w:noWrap/>
            <w:hideMark/>
          </w:tcPr>
          <w:p w14:paraId="6E5B2D20"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3ADF0E93"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1A3EF140"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Its discrete financial information is available.  </w:t>
            </w:r>
          </w:p>
        </w:tc>
      </w:tr>
    </w:tbl>
    <w:p w14:paraId="250E5B4D"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59</w:t>
      </w:r>
    </w:p>
    <w:p w14:paraId="32D16FAA"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7B5ACA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FADE2C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CE1D125"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3E5454B">
          <v:rect id="_x0000_i1086" style="width:0;height:1.5pt" o:hralign="center" o:hrstd="t" o:hrnoshade="t" o:hr="t" fillcolor="black" stroked="f"/>
        </w:pict>
      </w:r>
    </w:p>
    <w:p w14:paraId="0E21652A"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232C53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0C58BD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5930A1B" w14:textId="77777777" w:rsidR="00AC4931" w:rsidRPr="00AC4931" w:rsidRDefault="00AC4931" w:rsidP="00AC4931">
      <w:pPr>
        <w:widowControl/>
        <w:jc w:val="left"/>
        <w:rPr>
          <w:rFonts w:ascii="Times New Roman" w:eastAsia="宋体" w:hAnsi="Times New Roman" w:cs="Times New Roman" w:hint="eastAsia"/>
          <w:kern w:val="0"/>
          <w:sz w:val="22"/>
        </w:rPr>
      </w:pPr>
      <w:r w:rsidRPr="00AC4931">
        <w:rPr>
          <w:rFonts w:ascii="Times New Roman" w:eastAsia="宋体" w:hAnsi="Times New Roman" w:cs="Times New Roman"/>
          <w:kern w:val="0"/>
          <w:sz w:val="22"/>
        </w:rPr>
        <w:t> </w:t>
      </w:r>
    </w:p>
    <w:p w14:paraId="44F77477"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as a whole has met the definition of an operating segment as it engages in business activities from which it may earn revenues and incur expenses, the consolidated operating results are regularly reviewed by the CEO/CODM to allocate resources and assess performance, and discrete financial information is available. Additionally, as Autoliv supplies customers on a global basis it also manages the business on a global basis. Therefore, based on the above analysis, we have concluded that the Company is the single operating and reportable segment under ASC 280, </w:t>
      </w:r>
      <w:r w:rsidRPr="00AC4931">
        <w:rPr>
          <w:rFonts w:ascii="Arial" w:eastAsia="宋体" w:hAnsi="Arial" w:cs="Arial"/>
          <w:i/>
          <w:iCs/>
          <w:kern w:val="0"/>
          <w:sz w:val="18"/>
          <w:szCs w:val="18"/>
        </w:rPr>
        <w:t>Segment Reporting</w:t>
      </w:r>
      <w:r w:rsidRPr="00AC4931">
        <w:rPr>
          <w:rFonts w:ascii="Arial" w:eastAsia="宋体" w:hAnsi="Arial" w:cs="Arial"/>
          <w:kern w:val="0"/>
          <w:sz w:val="18"/>
          <w:szCs w:val="18"/>
        </w:rPr>
        <w:t>.</w:t>
      </w:r>
    </w:p>
    <w:p w14:paraId="643BDE15"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For more information on our segment, see Note 21.</w:t>
      </w:r>
    </w:p>
    <w:p w14:paraId="67C3B833"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A7E5DEF" w14:textId="77777777" w:rsidR="00AC4931" w:rsidRPr="00AC4931" w:rsidRDefault="00AC4931" w:rsidP="00AC4931">
      <w:pPr>
        <w:widowControl/>
        <w:spacing w:before="160"/>
        <w:rPr>
          <w:rFonts w:ascii="Arial" w:eastAsia="宋体" w:hAnsi="Arial" w:cs="Arial" w:hint="eastAsia"/>
          <w:b/>
          <w:bCs/>
          <w:kern w:val="0"/>
          <w:sz w:val="22"/>
        </w:rPr>
      </w:pPr>
      <w:r w:rsidRPr="00AC4931">
        <w:rPr>
          <w:rFonts w:ascii="Arial" w:eastAsia="宋体" w:hAnsi="Arial" w:cs="Arial"/>
          <w:b/>
          <w:bCs/>
          <w:kern w:val="0"/>
          <w:sz w:val="22"/>
        </w:rPr>
        <w:t>2. Summary of Significant Accounting Policies</w:t>
      </w:r>
    </w:p>
    <w:p w14:paraId="3CE678C2" w14:textId="77777777" w:rsidR="00AC4931" w:rsidRPr="00AC4931" w:rsidRDefault="00AC4931" w:rsidP="00AC4931">
      <w:pPr>
        <w:widowControl/>
        <w:spacing w:before="120"/>
        <w:rPr>
          <w:rFonts w:ascii="Arial" w:eastAsia="宋体" w:hAnsi="Arial" w:cs="Arial"/>
          <w:b/>
          <w:bCs/>
          <w:kern w:val="0"/>
          <w:sz w:val="18"/>
          <w:szCs w:val="18"/>
        </w:rPr>
      </w:pPr>
      <w:r w:rsidRPr="00AC4931">
        <w:rPr>
          <w:rFonts w:ascii="Arial" w:eastAsia="宋体" w:hAnsi="Arial" w:cs="Arial"/>
          <w:b/>
          <w:bCs/>
          <w:kern w:val="0"/>
          <w:sz w:val="18"/>
          <w:szCs w:val="18"/>
        </w:rPr>
        <w:t>BUSINESS COMBINATIONS</w:t>
      </w:r>
    </w:p>
    <w:p w14:paraId="70B389A2"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Transactions in which the Company obtains control of a business are accounted for according to the acquisition method as described in ASC 805, </w:t>
      </w:r>
      <w:r w:rsidRPr="00AC4931">
        <w:rPr>
          <w:rFonts w:ascii="Arial" w:eastAsia="宋体" w:hAnsi="Arial" w:cs="Arial"/>
          <w:i/>
          <w:iCs/>
          <w:kern w:val="0"/>
          <w:sz w:val="18"/>
          <w:szCs w:val="18"/>
        </w:rPr>
        <w:t>Business Combinations</w:t>
      </w:r>
      <w:r w:rsidRPr="00AC4931">
        <w:rPr>
          <w:rFonts w:ascii="Arial" w:eastAsia="宋体" w:hAnsi="Arial" w:cs="Arial"/>
          <w:kern w:val="0"/>
          <w:sz w:val="18"/>
          <w:szCs w:val="18"/>
        </w:rPr>
        <w:t>. The assets acquired and liabilities assumed are recognized and measured at their fair values as of the date control is obtained. Acquisition related costs in connection with a business combination are expensed as incurred. Contingent consideration is recognized and measured at fair value at the acquisition date and until paid is re-measured on a recurring basis and classified as a liability.</w:t>
      </w:r>
    </w:p>
    <w:p w14:paraId="32B3FFEB"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EQUITY METHOD INVESTMENT</w:t>
      </w:r>
    </w:p>
    <w:p w14:paraId="3E6D9BC9"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Investments accounted for under the equity method, means that a proportional share of the equity method investment’s net income increases the investment, and a proportional share of losses and payment of dividends decreases it. In the Consolidated Statements of Net Income, the proportional share of the net income (loss) is reported as Income from equity method investment.</w:t>
      </w:r>
    </w:p>
    <w:p w14:paraId="0DFE3774"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6CA210EA"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lastRenderedPageBreak/>
        <w:t>USE OF ESTIMATES</w:t>
      </w:r>
    </w:p>
    <w:p w14:paraId="206FCE8E"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preparation of consolidated financial statements in conformity with U.S. GAAP requires management to make estimates and assumptions that affect the reported amounts of assets and liabilities, disclosures of contingent assets and liabilities at the date of the consolidated financial statements, and the reported amounts of net sales and expenses during the reporting period. The accounting estimates that require management’s most significant judgments include the estimation of variable consideration for our contracts with customers, valuation of stock based payments, assessment of recoverability of goodwill and intangible assets, estimation of pension benefit obligations based on actuarial assumptions, estimation of accruals for warranty and recalls, restructuring charges, uncertain tax positions, valuation allowances and legal proceedings. Actual results could differ from those estimates.</w:t>
      </w:r>
    </w:p>
    <w:p w14:paraId="7C53E6A3"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REVENUE RECOGNITION</w:t>
      </w:r>
    </w:p>
    <w:p w14:paraId="39C3FF3D"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In accordance with ASC 606, </w:t>
      </w:r>
      <w:r w:rsidRPr="00AC4931">
        <w:rPr>
          <w:rFonts w:ascii="Arial" w:eastAsia="宋体" w:hAnsi="Arial" w:cs="Arial"/>
          <w:i/>
          <w:iCs/>
          <w:kern w:val="0"/>
          <w:sz w:val="18"/>
          <w:szCs w:val="18"/>
        </w:rPr>
        <w:t>Revenue from Contracts with Customers</w:t>
      </w:r>
      <w:r w:rsidRPr="00AC4931">
        <w:rPr>
          <w:rFonts w:ascii="Arial" w:eastAsia="宋体" w:hAnsi="Arial" w:cs="Arial"/>
          <w:kern w:val="0"/>
          <w:sz w:val="18"/>
          <w:szCs w:val="18"/>
        </w:rPr>
        <w:t>, revenue is measured based on consideration specified in a contract with a customer, adjusted for any variable consideration (i.e. price concessions) and estimated at contract inception. The estimated amount of variable consideration that will be received by the Company is based on historical experience and trends, management´s understanding of the status of negotiations with customers and anticipated future pricing strategies. The Company recognizes revenue when it satisfies a performance obligation by transferring control over a product to a customer.</w:t>
      </w:r>
    </w:p>
    <w:p w14:paraId="2F23A319"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addition, from time to time, the Company may make payments to customers in connection with ongoing and future business. These payments to customers are generally recognized as a reduction to revenue at the time of the commitment to make these payments unless the payment can be clearly linked to the future business. If the payments are capitalized, the amounts are amortized to revenue as the related goods are transferred.</w:t>
      </w:r>
    </w:p>
    <w:p w14:paraId="0534CB0E"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Taxes assessed by a governmental authority that are both imposed on and concurrent with a specific revenue-producing transaction and collected by the Company from a customer, are excluded from revenue.</w:t>
      </w:r>
    </w:p>
    <w:p w14:paraId="555E8AD0"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Shipping and handling costs associated with outbound freight before control of a product has transferred to a customer are accounted for as a fulfillment cost and are included in cost of sales.</w:t>
      </w:r>
    </w:p>
    <w:p w14:paraId="27002648" w14:textId="77777777" w:rsidR="00AC4931" w:rsidRPr="00AC4931" w:rsidRDefault="00AC4931" w:rsidP="00AC4931">
      <w:pPr>
        <w:widowControl/>
        <w:spacing w:before="340"/>
        <w:rPr>
          <w:rFonts w:ascii="Arial" w:eastAsia="宋体" w:hAnsi="Arial" w:cs="Arial"/>
          <w:kern w:val="0"/>
          <w:sz w:val="18"/>
          <w:szCs w:val="18"/>
        </w:rPr>
      </w:pPr>
      <w:r w:rsidRPr="00AC4931">
        <w:rPr>
          <w:rFonts w:ascii="Arial" w:eastAsia="宋体" w:hAnsi="Arial" w:cs="Arial"/>
          <w:kern w:val="0"/>
          <w:sz w:val="18"/>
          <w:szCs w:val="18"/>
          <w:u w:val="single"/>
        </w:rPr>
        <w:t>Nature of goods and services</w:t>
      </w:r>
    </w:p>
    <w:p w14:paraId="4BC94E0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Company generates revenue from the sale of parts, which includes airbag and seatbelt products and components, to original equipment manufacturers (“OEMs”).</w:t>
      </w:r>
    </w:p>
    <w:p w14:paraId="04C35364"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accounts for individual products separately if they are distinct (i.e., if a product is separately identifiable from other items and if a customer can benefit from it on its own or with other resources that are readily available to the customer). The consideration for each of the products, including any price concessions, is based on their stand-alone selling prices. The stand-alone selling prices are determined based on the cost-plus margin approach.</w:t>
      </w:r>
    </w:p>
    <w:p w14:paraId="5462C592"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recognizes revenue for parts primarily at a point in time.</w:t>
      </w:r>
    </w:p>
    <w:p w14:paraId="6C424C40"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lastRenderedPageBreak/>
        <w:t>For parts with revenue recognized at a point in time, the Company recognizes revenue upon shipment to the customers and transfer of title and risk of loss under standard commercial terms (typically FOB shipping point). There are certain contracts where the criteria to recognize revenue over time have been met (e.g., there is no alternative use to the Company and the Company has an enforceable right to payment). In such cases, at period end, the Company recognizes revenue and a related asset and associated cost of goods sold and inventory. However, the financial impact of these contracts is immaterial considering the very short production cycles and limited inventory days on hand. The contract balances with customers, included in other current assets, amounted to $19.5 million as of December 31, 2020.</w:t>
      </w:r>
    </w:p>
    <w:p w14:paraId="467427C3"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60</w:t>
      </w:r>
    </w:p>
    <w:p w14:paraId="71264F0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5B3EFE1"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306674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7B4CEC8"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DA04B00">
          <v:rect id="_x0000_i1087" style="width:0;height:1.5pt" o:hralign="center" o:hrstd="t" o:hrnoshade="t" o:hr="t" fillcolor="black" stroked="f"/>
        </w:pict>
      </w:r>
    </w:p>
    <w:p w14:paraId="1E6DAD2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09819C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62240D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B1D2ABA" w14:textId="77777777" w:rsidR="00AC4931" w:rsidRPr="00AC4931" w:rsidRDefault="00AC4931" w:rsidP="00AC4931">
      <w:pPr>
        <w:widowControl/>
        <w:spacing w:before="240"/>
        <w:rPr>
          <w:rFonts w:ascii="Arial" w:eastAsia="宋体" w:hAnsi="Arial" w:cs="Arial" w:hint="eastAsia"/>
          <w:kern w:val="0"/>
          <w:sz w:val="18"/>
          <w:szCs w:val="18"/>
        </w:rPr>
      </w:pPr>
      <w:r w:rsidRPr="00AC4931">
        <w:rPr>
          <w:rFonts w:ascii="Arial" w:eastAsia="宋体" w:hAnsi="Arial" w:cs="Arial"/>
          <w:kern w:val="0"/>
          <w:sz w:val="18"/>
          <w:szCs w:val="18"/>
        </w:rPr>
        <w:t>The amount of revenue recognized is based on the purchase order price and adjusted for variable consideration (i.e. price concessions). Customers typically pay for the parts based on customary business practices.</w:t>
      </w:r>
    </w:p>
    <w:p w14:paraId="68FD0021"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GOVERNMENT GRANTS</w:t>
      </w:r>
    </w:p>
    <w:p w14:paraId="4CFAD4AB" w14:textId="77777777" w:rsidR="00AC4931" w:rsidRPr="00AC4931" w:rsidRDefault="00AC4931" w:rsidP="00AC4931">
      <w:pPr>
        <w:widowControl/>
        <w:spacing w:before="200" w:after="120"/>
        <w:rPr>
          <w:rFonts w:ascii="Arial" w:eastAsia="宋体" w:hAnsi="Arial" w:cs="Arial"/>
          <w:kern w:val="0"/>
          <w:sz w:val="18"/>
          <w:szCs w:val="18"/>
        </w:rPr>
      </w:pPr>
      <w:r w:rsidRPr="00AC4931">
        <w:rPr>
          <w:rFonts w:ascii="Arial" w:eastAsia="宋体" w:hAnsi="Arial" w:cs="Arial"/>
          <w:kern w:val="0"/>
          <w:sz w:val="18"/>
          <w:szCs w:val="18"/>
        </w:rPr>
        <w:t>Generally, the Company receives grants related to assets or grants related to income. The Company account for government grants as follows depending on which category the grants fall into.</w:t>
      </w:r>
    </w:p>
    <w:p w14:paraId="4DBD866D" w14:textId="77777777" w:rsidR="00AC4931" w:rsidRPr="00AC4931" w:rsidRDefault="00AC4931" w:rsidP="00AC4931">
      <w:pPr>
        <w:widowControl/>
        <w:spacing w:before="200" w:after="120"/>
        <w:rPr>
          <w:rFonts w:ascii="Arial" w:eastAsia="宋体" w:hAnsi="Arial" w:cs="Arial"/>
          <w:kern w:val="0"/>
          <w:sz w:val="18"/>
          <w:szCs w:val="18"/>
        </w:rPr>
      </w:pPr>
      <w:r w:rsidRPr="00AC4931">
        <w:rPr>
          <w:rFonts w:ascii="Arial" w:eastAsia="宋体" w:hAnsi="Arial" w:cs="Arial"/>
          <w:kern w:val="0"/>
          <w:sz w:val="18"/>
          <w:szCs w:val="18"/>
        </w:rPr>
        <w:t>Government grants connected to Capital Expenditure are offset against the capitalized costs of the asset in the balance sheet when: a) all performance obligations connected to the government grant have been fulfilled; and b) the cash has been received.</w:t>
      </w:r>
    </w:p>
    <w:p w14:paraId="7ADAE96C"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Other government grants including those reimbursing expenses are recognized in the profit and loss when: a) all performance obligations connected to the government grant have been fulfilled; and b) the cash has been received.</w:t>
      </w:r>
    </w:p>
    <w:p w14:paraId="3B39CEAB"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When the cash has been received but there are outstanding performance obligations connected to the government grants received, the cash received is recognized as other payables and offset against the capitalized costs when the outstanding performance obligations are fulfilled.</w:t>
      </w:r>
    </w:p>
    <w:p w14:paraId="33BA4878"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RESEARCH, DEVELOPMENT AND ENGINEERING, NET (R,D&amp;E)</w:t>
      </w:r>
    </w:p>
    <w:p w14:paraId="0C7AEEFA" w14:textId="77777777" w:rsidR="00AC4931" w:rsidRPr="00AC4931" w:rsidRDefault="00AC4931" w:rsidP="00AC4931">
      <w:pPr>
        <w:widowControl/>
        <w:shd w:val="clear" w:color="auto" w:fill="FFFFFF"/>
        <w:spacing w:after="200"/>
        <w:rPr>
          <w:rFonts w:ascii="Arial" w:eastAsia="宋体" w:hAnsi="Arial" w:cs="Arial"/>
          <w:kern w:val="0"/>
          <w:sz w:val="18"/>
          <w:szCs w:val="18"/>
        </w:rPr>
      </w:pPr>
      <w:r w:rsidRPr="00AC4931">
        <w:rPr>
          <w:rFonts w:ascii="Arial" w:eastAsia="宋体" w:hAnsi="Arial" w:cs="Arial"/>
          <w:kern w:val="0"/>
          <w:sz w:val="18"/>
          <w:szCs w:val="18"/>
        </w:rPr>
        <w:t>Research and development and most engineering expenses are expensed as incurred. These expenses are reported net of expense reimbursements from contracts to perform engineering design and product development fulfillment activities related to the production of parts.</w:t>
      </w:r>
      <w:r w:rsidRPr="00AC4931">
        <w:rPr>
          <w:rFonts w:ascii="Arial" w:eastAsia="宋体" w:hAnsi="Arial" w:cs="Arial"/>
          <w:kern w:val="0"/>
          <w:sz w:val="24"/>
          <w:szCs w:val="24"/>
        </w:rPr>
        <w:t> </w:t>
      </w:r>
      <w:r w:rsidRPr="00AC4931">
        <w:rPr>
          <w:rFonts w:ascii="Arial" w:eastAsia="宋体" w:hAnsi="Arial" w:cs="Arial"/>
          <w:kern w:val="0"/>
          <w:sz w:val="18"/>
          <w:szCs w:val="18"/>
        </w:rPr>
        <w:t>For the years 2020, 2019 and 2018 total reimbursements from customers were $181 million, $199 million and $192 million, respectively.</w:t>
      </w:r>
    </w:p>
    <w:p w14:paraId="632E95F4"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lastRenderedPageBreak/>
        <w:t>Certain engineering expenses related to long-term supply arrangements are capitalized when defined criteria, such as the existence of a contractual guarantee for reimbursement, are met. The aggregate amount of such assets is not significant in any period presented.</w:t>
      </w:r>
    </w:p>
    <w:p w14:paraId="0D3BA722"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Tooling is generally agreed upon as a separate contract or a separate component of an engineering contract, as a pre-production project. Capitalization of tooling costs is made only when the specific criteria for capitalization of customer funded tooling is met or the criteria for capitalization as Property, Plant &amp; Equipment (P,P&amp;E) for tools owned by the Company are fulfilled. Depreciation on the Company’s own tooling is recognized in the Consolidated Statements of Income as Cost of sales.</w:t>
      </w:r>
    </w:p>
    <w:p w14:paraId="44876FA2"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STOCK BASED COMPENSATION</w:t>
      </w:r>
    </w:p>
    <w:p w14:paraId="1AD2811B"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compensation costs for all of the Company’s stock-based compensation awards are determined based on the fair value method as defined in ASC 718, </w:t>
      </w:r>
      <w:r w:rsidRPr="00AC4931">
        <w:rPr>
          <w:rFonts w:ascii="Arial" w:eastAsia="宋体" w:hAnsi="Arial" w:cs="Arial"/>
          <w:i/>
          <w:iCs/>
          <w:kern w:val="0"/>
          <w:sz w:val="18"/>
          <w:szCs w:val="18"/>
        </w:rPr>
        <w:t>Compensation - Stock Compensation</w:t>
      </w:r>
      <w:r w:rsidRPr="00AC4931">
        <w:rPr>
          <w:rFonts w:ascii="Arial" w:eastAsia="宋体" w:hAnsi="Arial" w:cs="Arial"/>
          <w:kern w:val="0"/>
          <w:sz w:val="18"/>
          <w:szCs w:val="18"/>
        </w:rPr>
        <w:t>. The Company records the compensation expense for awards under the Stock Incentive Plan, including Restricted Stock Units (RSUs), Performance Shares (PSs) and stock options (SOs), over the respective vesting period. For further details, see Note 17.</w:t>
      </w:r>
    </w:p>
    <w:p w14:paraId="18AFA7D3"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INCOME TAXES</w:t>
      </w:r>
    </w:p>
    <w:p w14:paraId="25C61A47"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Current tax liabilities and assets are recognized for the estimated taxes payable or refundable on the tax returns for the current year. In certain circumstances, payments or refunds may extend beyond twelve months, in such cases amounts would be classified as non-current taxes payable or receivable. Deferred tax liabilities or assets are recognized for the estimated future tax effects attributable to temporary differences and carryforwards that result from events that have been recognized in either the financial statements or the tax returns, but not both. The measurement of current and deferred tax liabilities and assets is based on provisions of enacted tax laws. Deferred tax assets are reduced by the amount of any tax benefits that are not expected to be realized. A valuation allowance is recognized if, based on the weight of all available evidence, it is more likely than not that some portion, or all, of the deferred tax asset will not be realized. Evaluation of the realizability of deferred tax assets is subject to significant judgment requiring careful consideration of all facts and circumstances. The Company classifies deferred tax assets and liabilities as non-current in the Consolidated Balance Sheet. Tax assets and liabilities are not offset unless attributable to the same tax jurisdiction and netting is possible according to law and, as it relates to payables and receivables, expected to take place in the same period.</w:t>
      </w:r>
    </w:p>
    <w:p w14:paraId="3BEADA5A"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 xml:space="preserve">Tax benefits associated with tax positions taken in the Company’s income tax returns are initially recognized when it is more likely than not that those tax positions will be sustained upon examination by the relevant taxing authorities. The Company’s evaluation of its tax benefits is based on the probability of the tax position being upheld if challenged by the taxing authorities (including through negotiation, appeals, settlement and litigation). Whenever a tax position does not meet the initial recognition criteria, the tax benefit is subsequently recognized if there is a substantive change in the facts and circumstances that cause a change in judgment concerning the sustainability of the tax position upon examination by the relevant taxing authorities. In cases where tax benefits meet the initial recognition criterion, the Company continues, in subsequent periods, to assess its ability to sustain those positions. A previously recognized tax benefit is derecognized when it is no longer more likely than not that the tax position would be </w:t>
      </w:r>
      <w:r w:rsidRPr="00AC4931">
        <w:rPr>
          <w:rFonts w:ascii="Arial" w:eastAsia="宋体" w:hAnsi="Arial" w:cs="Arial"/>
          <w:kern w:val="0"/>
          <w:sz w:val="18"/>
          <w:szCs w:val="18"/>
        </w:rPr>
        <w:lastRenderedPageBreak/>
        <w:t>sustained upon examination. Liabilities for unrecognized tax benefits are classified as non-current unless the payment of the liability is expected to be made within the next 12 months.</w:t>
      </w:r>
    </w:p>
    <w:p w14:paraId="3BC79041"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61</w:t>
      </w:r>
    </w:p>
    <w:p w14:paraId="71F5D41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ED7802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C5D332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E808CA1"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96A2966">
          <v:rect id="_x0000_i1088" style="width:0;height:1.5pt" o:hralign="center" o:hrstd="t" o:hrnoshade="t" o:hr="t" fillcolor="black" stroked="f"/>
        </w:pict>
      </w:r>
    </w:p>
    <w:p w14:paraId="749FC31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00B676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08B8B0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4606700" w14:textId="77777777" w:rsidR="00AC4931" w:rsidRPr="00AC4931" w:rsidRDefault="00AC4931" w:rsidP="00AC4931">
      <w:pPr>
        <w:widowControl/>
        <w:spacing w:before="340"/>
        <w:rPr>
          <w:rFonts w:ascii="Arial" w:eastAsia="宋体" w:hAnsi="Arial" w:cs="Arial" w:hint="eastAsia"/>
          <w:b/>
          <w:bCs/>
          <w:kern w:val="0"/>
          <w:sz w:val="18"/>
          <w:szCs w:val="18"/>
        </w:rPr>
      </w:pPr>
      <w:r w:rsidRPr="00AC4931">
        <w:rPr>
          <w:rFonts w:ascii="Arial" w:eastAsia="宋体" w:hAnsi="Arial" w:cs="Arial"/>
          <w:b/>
          <w:bCs/>
          <w:kern w:val="0"/>
          <w:sz w:val="18"/>
          <w:szCs w:val="18"/>
        </w:rPr>
        <w:t>EARNINGS PER SHARE</w:t>
      </w:r>
    </w:p>
    <w:p w14:paraId="415C4956"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Company calculates basic earnings per share (EPS) by dividing net income attributable to controlling interest by the weighted-average number of shares of common stock outstanding for the period (net of treasury shares). The Company’s unvested RSUs and PSs, of which some include the right to receive non-forfeitable dividend equivalents, are considered participating securities. The diluted EPS reflects the potential dilution that could occur if common stock was issued for awards under the Stock Incentive Plan and is calculated using the more dilutive method of either the two-class method or the treasury stock method. The treasury stock method assumes that the Company uses the proceeds from the exercise of stock option awards to repurchase ordinary shares at the average market price during the period.  For unvested restricted stock, assumed proceeds under the treasury stock method will include unamortized compensation cost and windfall tax benefits or shortfalls. Post spin-off assumed proceeds under the treasury stock method related to RSUs will only include unamortized compensation cost related to Autoliv employees holding Autoliv RSUs. Calculations of EPS under the two-class method exclude from the numerator any dividends paid or owed on participating securities and any undistributed earnings considered to be attributable to participating securities. The related participating securities are similarly excluded from the denominator. For further details, see Notes 17 and 22.</w:t>
      </w:r>
    </w:p>
    <w:p w14:paraId="0C763605"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CASH EQUIVALENTS</w:t>
      </w:r>
    </w:p>
    <w:p w14:paraId="2E032620"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Company considers all highly liquid investment instruments purchased with a maturity of three months or less to be cash equivalents.</w:t>
      </w:r>
    </w:p>
    <w:p w14:paraId="49DA57F7"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RECEIVABLES AND ALLOWANCE FOR EXPECTED CREDIT LOSSES</w:t>
      </w:r>
    </w:p>
    <w:p w14:paraId="586D7D5D"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In addition to continuing to individually assess overdue customer balances for expected credit losses, the Company has as of January 1, 2020 implemented a new methodology that reflects the expected credit losses on receivables considering both historical experience as well as forward looking assumptions. The method calculates the expected credit loss for a group of customers by using the customer groups’ average short-term default rates based on officially published credit ratings and the Company’s historical experience. These default rates are considered the Company’s best estimate of the customer’s ability to pay. The Company regularly reassess the customer group’s and the applied customer group’s default rates by using its best judgement when considering changes in customer’s credit ratings, customer’s </w:t>
      </w:r>
      <w:r w:rsidRPr="00AC4931">
        <w:rPr>
          <w:rFonts w:ascii="Arial" w:eastAsia="宋体" w:hAnsi="Arial" w:cs="Arial"/>
          <w:color w:val="000000"/>
          <w:kern w:val="0"/>
          <w:sz w:val="18"/>
          <w:szCs w:val="18"/>
        </w:rPr>
        <w:lastRenderedPageBreak/>
        <w:t>historical payments and loss experience, current market and economic conditions and the Company’s expectations of future market and economic conditions.</w:t>
      </w:r>
    </w:p>
    <w:p w14:paraId="7B6F426E"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There can be no assurance that the amount ultimately realized for receivables will not be materially different than that assumed in the calculation of the allowance for expected credit losses.</w:t>
      </w:r>
    </w:p>
    <w:p w14:paraId="76547A82"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DERIVATIVE INSTRUMENTS AND HEDGING ACTIVITIES</w:t>
      </w:r>
    </w:p>
    <w:p w14:paraId="21ECB381"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All derivatives are recognized at fair value.</w:t>
      </w:r>
    </w:p>
    <w:p w14:paraId="10AF3375"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Hedge accounting is not applied either because non-hedge accounting treatment creates the same accounting result or the hedge does not meet the hedge accounting requirements, although entered into applying the same rationale concerning mitigating market risk that occurs from changes in interest and foreign exchange rates.</w:t>
      </w:r>
    </w:p>
    <w:p w14:paraId="2C55CFF2"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For further details on the Company’s financial instruments, see Notes 5 and 14.</w:t>
      </w:r>
    </w:p>
    <w:p w14:paraId="7317327B"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INVENTORIES</w:t>
      </w:r>
    </w:p>
    <w:p w14:paraId="5BF8820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cost of inventories is computed according to the first-in first-out method (FIFO). Cost includes the cost of materials, direct labor and the applicable share of manufacturing overhead. Inventories are evaluated based on individual or, in some cases, groups of inventory items. Reserves are established to reduce the value of inventories to the lower of cost or net realizable value. Net realizable value is the estimated selling prices in the ordinary course of business, less reasonably predictable costs of completion, disposal and transportation. Excess inventories are quantities of items that exceed anticipated sales or usage for a reasonable period. The Company calculates provisions for excess inventories based on the number of months of inventories on hand compared to anticipated sales or usage. Management uses its judgment to forecast sales or usage and to determine what constitutes a reasonable period. There can be no assurance that the amount ultimately realized for inventories will not be materially different than that assumed in the calculation of the reserves.</w:t>
      </w:r>
    </w:p>
    <w:p w14:paraId="67A155BB"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3362C532" w14:textId="77777777" w:rsidR="00AC4931" w:rsidRPr="00AC4931" w:rsidRDefault="00AC4931" w:rsidP="00AC4931">
      <w:pPr>
        <w:widowControl/>
        <w:rPr>
          <w:rFonts w:ascii="宋体" w:eastAsia="宋体" w:hAnsi="宋体" w:cs="宋体"/>
          <w:kern w:val="0"/>
          <w:sz w:val="16"/>
          <w:szCs w:val="16"/>
        </w:rPr>
      </w:pPr>
      <w:r w:rsidRPr="00AC4931">
        <w:rPr>
          <w:rFonts w:ascii="宋体" w:eastAsia="宋体" w:hAnsi="宋体" w:cs="宋体"/>
          <w:kern w:val="0"/>
          <w:sz w:val="16"/>
          <w:szCs w:val="16"/>
        </w:rPr>
        <w:t> </w:t>
      </w:r>
    </w:p>
    <w:p w14:paraId="6F33D5F8" w14:textId="77777777" w:rsidR="00AC4931" w:rsidRPr="00AC4931" w:rsidRDefault="00AC4931" w:rsidP="00AC4931">
      <w:pPr>
        <w:widowControl/>
        <w:rPr>
          <w:rFonts w:ascii="Arial" w:eastAsia="宋体" w:hAnsi="Arial" w:cs="Arial"/>
          <w:b/>
          <w:bCs/>
          <w:kern w:val="0"/>
          <w:sz w:val="18"/>
          <w:szCs w:val="18"/>
        </w:rPr>
      </w:pPr>
      <w:r w:rsidRPr="00AC4931">
        <w:rPr>
          <w:rFonts w:ascii="Arial" w:eastAsia="宋体" w:hAnsi="Arial" w:cs="Arial"/>
          <w:b/>
          <w:bCs/>
          <w:kern w:val="0"/>
          <w:sz w:val="18"/>
          <w:szCs w:val="18"/>
        </w:rPr>
        <w:t>PROPERTY, PLANT AND EQUIPMENT</w:t>
      </w:r>
    </w:p>
    <w:p w14:paraId="32A47DE3"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Property, Plant and Equipment is recorded at historical cost. Construction in progress generally involves short-term projects for which capitalized interest is not significant. The Company provides for depreciation of property, plant and equipment computed under the straight-line method over the assets’ estimated useful lives, or in the case of leasehold improvements over the shorter of the useful life or the lease term. Amortization on capital leases is recognized with depreciation expense in the Consolidated Statements of Income over the shorter of the assets’ expected life or the lease contract term. Repairs and maintenance are expensed as incurred.</w:t>
      </w:r>
    </w:p>
    <w:p w14:paraId="6B7E2B6E"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6254FD1E" w14:textId="77777777" w:rsidR="00AC4931" w:rsidRPr="00AC4931" w:rsidRDefault="00AC4931" w:rsidP="00AC4931">
      <w:pPr>
        <w:widowControl/>
        <w:rPr>
          <w:rFonts w:ascii="宋体" w:eastAsia="宋体" w:hAnsi="宋体" w:cs="宋体"/>
          <w:kern w:val="0"/>
          <w:sz w:val="16"/>
          <w:szCs w:val="16"/>
        </w:rPr>
      </w:pPr>
      <w:r w:rsidRPr="00AC4931">
        <w:rPr>
          <w:rFonts w:ascii="宋体" w:eastAsia="宋体" w:hAnsi="宋体" w:cs="宋体"/>
          <w:kern w:val="0"/>
          <w:sz w:val="16"/>
          <w:szCs w:val="16"/>
        </w:rPr>
        <w:t> </w:t>
      </w:r>
    </w:p>
    <w:p w14:paraId="717F3FF0"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62</w:t>
      </w:r>
    </w:p>
    <w:p w14:paraId="39C4C470"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CB0C60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4AA672B"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844A7EE"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lastRenderedPageBreak/>
        <w:pict w14:anchorId="38C30532">
          <v:rect id="_x0000_i1089" style="width:0;height:1.5pt" o:hralign="center" o:hrstd="t" o:hrnoshade="t" o:hr="t" fillcolor="black" stroked="f"/>
        </w:pict>
      </w:r>
    </w:p>
    <w:p w14:paraId="4CEAF7A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D2AAEB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97E3492"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9B3899A" w14:textId="77777777" w:rsidR="00AC4931" w:rsidRPr="00AC4931" w:rsidRDefault="00AC4931" w:rsidP="00AC4931">
      <w:pPr>
        <w:widowControl/>
        <w:jc w:val="left"/>
        <w:rPr>
          <w:rFonts w:ascii="Times New Roman" w:eastAsia="宋体" w:hAnsi="Times New Roman" w:cs="Times New Roman" w:hint="eastAsia"/>
          <w:kern w:val="0"/>
          <w:sz w:val="22"/>
        </w:rPr>
      </w:pPr>
      <w:r w:rsidRPr="00AC4931">
        <w:rPr>
          <w:rFonts w:ascii="Times New Roman" w:eastAsia="宋体" w:hAnsi="Times New Roman" w:cs="Times New Roman"/>
          <w:kern w:val="0"/>
          <w:sz w:val="22"/>
        </w:rPr>
        <w:t> </w:t>
      </w:r>
    </w:p>
    <w:p w14:paraId="17B29424" w14:textId="77777777" w:rsidR="00AC4931" w:rsidRPr="00AC4931" w:rsidRDefault="00AC4931" w:rsidP="00AC4931">
      <w:pPr>
        <w:widowControl/>
        <w:rPr>
          <w:rFonts w:ascii="Arial" w:eastAsia="宋体" w:hAnsi="Arial" w:cs="Arial"/>
          <w:b/>
          <w:bCs/>
          <w:kern w:val="0"/>
          <w:sz w:val="18"/>
          <w:szCs w:val="18"/>
        </w:rPr>
      </w:pPr>
      <w:r w:rsidRPr="00AC4931">
        <w:rPr>
          <w:rFonts w:ascii="Arial" w:eastAsia="宋体" w:hAnsi="Arial" w:cs="Arial"/>
          <w:b/>
          <w:bCs/>
          <w:kern w:val="0"/>
          <w:sz w:val="18"/>
          <w:szCs w:val="18"/>
        </w:rPr>
        <w:t>LEASES</w:t>
      </w:r>
    </w:p>
    <w:p w14:paraId="38E9EF96"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In accordance with ASC 842, </w:t>
      </w:r>
      <w:r w:rsidRPr="00AC4931">
        <w:rPr>
          <w:rFonts w:ascii="Arial" w:eastAsia="宋体" w:hAnsi="Arial" w:cs="Arial"/>
          <w:i/>
          <w:iCs/>
          <w:kern w:val="0"/>
          <w:sz w:val="18"/>
          <w:szCs w:val="18"/>
        </w:rPr>
        <w:t>Leases</w:t>
      </w:r>
      <w:r w:rsidRPr="00AC4931">
        <w:rPr>
          <w:rFonts w:ascii="Arial" w:eastAsia="宋体" w:hAnsi="Arial" w:cs="Arial"/>
          <w:kern w:val="0"/>
          <w:sz w:val="18"/>
          <w:szCs w:val="18"/>
        </w:rPr>
        <w:t>, the Company recognizes contracts that is, or contains, a lease when the contract conveys the right to control the use of a physically identified asset for a period of time in exchange for consideration in the balance sheet as a right-of-use asset and lease liability. The Company recognizes a right-of-use asset and a lease liability at lease commencement. The lease liability for both finance and operating leases is measured at the present value of the remaining lease payments, discounted at the Company's incremental borrowing rate (if the implicit interest rate in the lease contract is not readily determinable). The right-of-use asset (ROU) for finance and operating leases is initially measured at the sum of the Initial lease liability plus initial direct costs plus prepaid lease payments minus lease incentives received. Lease payments include undiscounted fixed payments plus optional payments that are reasonably certain to be owed. Lease payments do not include variable lease payments other than those that depend on an index or rate. Variable lease payments that depend on an index or a rate are included in the calculation of lease payments and in the measurement of the lease liability.</w:t>
      </w:r>
    </w:p>
    <w:p w14:paraId="0199246A"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If the rate implicit in the lease is not readily determinable, the Company uses its incremental borrowing rate as the discount rate. The Company uses its best judgement when determining the incremental borrowing rate, which is the rate of interest that the Company would have to pay to borrow on a collateralized basis over a similar term to the lease payments in a similar currency.</w:t>
      </w:r>
    </w:p>
    <w:p w14:paraId="6B169E98"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has elected the practical expedient of not separating lease components from non-lease components for all its classes of underlying assets. The Company has also elected to recognize the lease payments for short-term leases in its consolidated statement of income on a straight-line basis over the lease term and recognize the variable lease payments in the period in which the obligation for those payments is incurred.</w:t>
      </w:r>
    </w:p>
    <w:p w14:paraId="5DCF0DE0"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For further details on the Company’s leases, see Note 4.</w:t>
      </w:r>
    </w:p>
    <w:p w14:paraId="6B543BE4"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LONG-LIVED ASSET IMPAIRMENT</w:t>
      </w:r>
    </w:p>
    <w:p w14:paraId="198A7ACA"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Company evaluates the carrying value and useful lives of long-lived assets, other than goodwill and intangible assets, when indications of impairment are evident or it is likely that the useful lives have decreased, in which case the Company depreciates the assets over the remaining useful lives. Impairment testing is primarily done by using the cash flow method based on undiscounted future cash flows. Estimated undiscounted cash flows for a long-lived asset being evaluated for recoverability are compared with the respective carrying amount of that asset. If the estimated undiscounted cash flows exceed the carrying amount of the assets, the carrying amounts of the long-lived asset are considered recoverable and an impairment cannot be recorded. However, if the carrying amount of a group of assets exceeds the undiscounted cash flows, an entity must then measure the long-lived assets’ fair value to determine whether an impairment loss should be recognized, generally using a discounted cash flow model.</w:t>
      </w:r>
      <w:r w:rsidRPr="00AC4931">
        <w:rPr>
          <w:rFonts w:ascii="Arial" w:eastAsia="宋体" w:hAnsi="Arial" w:cs="Arial"/>
          <w:kern w:val="0"/>
          <w:sz w:val="20"/>
          <w:szCs w:val="20"/>
        </w:rPr>
        <w:t> </w:t>
      </w:r>
      <w:r w:rsidRPr="00AC4931">
        <w:rPr>
          <w:rFonts w:ascii="Arial" w:eastAsia="宋体" w:hAnsi="Arial" w:cs="Arial"/>
          <w:kern w:val="0"/>
          <w:sz w:val="18"/>
          <w:szCs w:val="18"/>
        </w:rPr>
        <w:t>Generally, the lowest level of cash flows for impairment assessment is customer platform level.</w:t>
      </w:r>
    </w:p>
    <w:p w14:paraId="70954CA7"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lastRenderedPageBreak/>
        <w:t> </w:t>
      </w:r>
    </w:p>
    <w:p w14:paraId="2AAAA87E"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GOODWILL AND INTANGIBLE ASSETS</w:t>
      </w:r>
    </w:p>
    <w:p w14:paraId="700EAD22"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Goodwill represents the excess of the fair value of consideration transferred over the fair value of net assets of businesses acquired. Goodwill is not amortized but subject to at least an annual review for impairment. Other intangible assets, principally related to acquired technology, are amortized over their useful lives which range from 3 to 25 years.</w:t>
      </w:r>
    </w:p>
    <w:p w14:paraId="7E14D680"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performs its annual impairment testing in the fourth quarter of each year. Impairment testing is required more often than annually if an event or circumstance indicates that an impairment, or decline in value, may have occurred. In 2018 and 2019, the Company opted to use a qualitative assessment for impairment testing. The qualitative assessment permits the Company to assess whether it is more than likely than not (i.e. a likelihood of greater than 50%) that goodwill or an indefinite-lived intangible asset is impaired. If the Company concludes based on the qualitative assessment that it is not more likely than not that the fair value of goodwill or an indefinite-lived intangible asset is less than its carrying amount, it would not have to quantitatively determine the asset’s fair value. In conducting its qualitative impairment testings in 2018 and 2019, the Company used the fair value calculation performed in 2017 for its goodwill as the starting point. The Company also considered external factors that could affect the significant inputs used to determine fair value.</w:t>
      </w:r>
    </w:p>
    <w:p w14:paraId="0075F519"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2020 the company performed a quantitative impairment testing by calculating the fair value of its goodwill. The estimated fair market value of goodwill is determined by the discounted cash flow method. The Company discounts projected operating cash flows using its weighted average cost of capital. Estimating the fair value requires the Company to make judgments about appropriate discount rates, growth rates, relevant comparable company earnings multiples and the amount and timing of expected future cash flows. If the estimated fair value of a reporting unit exceeds its carrying value, goodwill is considered not to be impaired. If the carrying value of a reporting unit exceeds its estimated fair value, an impairment loss is recognized for the excess of carrying amount over the fair value of the respective reporting unit. To supplement this analysis, the Company compares the market value of its equity, calculated by reference to the quoted market prices of its shares, with the book value of its equity.</w:t>
      </w:r>
    </w:p>
    <w:p w14:paraId="484878A7"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There were no impairments of goodwill from 2018 through 2020.</w:t>
      </w:r>
    </w:p>
    <w:p w14:paraId="1F497DD5"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616D072E"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WARRANTIES AND RECALLS</w:t>
      </w:r>
    </w:p>
    <w:p w14:paraId="2EB94F65"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Company records liabilities for product recalls when probable claims are identified and when it is possible to reasonably estimate costs. Recall costs are costs incurred when the customer decides to formally recall a product due to a known or suspected safety concern. Product recall costs are estimated based on the expected cost of replacing the product and the customer´s cost of carrying out</w:t>
      </w:r>
    </w:p>
    <w:p w14:paraId="1627ADCF"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63</w:t>
      </w:r>
    </w:p>
    <w:p w14:paraId="0B43A90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DB9432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752B49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AE6FB3F"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CAB3285">
          <v:rect id="_x0000_i1090" style="width:0;height:1.5pt" o:hralign="center" o:hrstd="t" o:hrnoshade="t" o:hr="t" fillcolor="black" stroked="f"/>
        </w:pict>
      </w:r>
    </w:p>
    <w:p w14:paraId="5A415310"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71C68F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lastRenderedPageBreak/>
        <w:t> </w:t>
      </w:r>
    </w:p>
    <w:p w14:paraId="37F4025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70A439B" w14:textId="77777777" w:rsidR="00AC4931" w:rsidRPr="00AC4931" w:rsidRDefault="00AC4931" w:rsidP="00AC4931">
      <w:pPr>
        <w:widowControl/>
        <w:spacing w:before="120"/>
        <w:rPr>
          <w:rFonts w:ascii="Arial" w:eastAsia="宋体" w:hAnsi="Arial" w:cs="Arial" w:hint="eastAsia"/>
          <w:kern w:val="0"/>
          <w:sz w:val="18"/>
          <w:szCs w:val="18"/>
        </w:rPr>
      </w:pPr>
      <w:r w:rsidRPr="00AC4931">
        <w:rPr>
          <w:rFonts w:ascii="Arial" w:eastAsia="宋体" w:hAnsi="Arial" w:cs="Arial"/>
          <w:kern w:val="0"/>
          <w:sz w:val="18"/>
          <w:szCs w:val="18"/>
        </w:rPr>
        <w:t>the recall, which is affected by the number of vehicles subject to recall and the cost of labor and materials to remove and replace the defective product. Insurance receivables, related to recall issues covered by the insurance, are included within other current and non-current assets in the Consolidated Balance Sheets.</w:t>
      </w:r>
    </w:p>
    <w:p w14:paraId="4FD06B26"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Provisions for warranty claims are estimated based on prior experience, likely changes in performance of newer products and the mix and volume of products sold. The provisions are recorded on an accrual basis.</w:t>
      </w:r>
    </w:p>
    <w:p w14:paraId="09AB627B"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0EEDBBB7"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RESTRUCTURING PROVISIONS</w:t>
      </w:r>
    </w:p>
    <w:p w14:paraId="51470357"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Company defines restructuring expense to include costs directly associated with rightsizing, exit or disposal activities.</w:t>
      </w:r>
    </w:p>
    <w:p w14:paraId="2C5812B9"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Estimates of restructuring charges are based on information available at the time such charges are recorded. In general, management anticipates that restructuring activities will be completed within a timeframe such that significant changes to the exit plan are not likely. Due to inherent uncertainty involved in estimating restructuring expenses, actual amounts paid for such activities may differ from amounts initially estimated.</w:t>
      </w:r>
    </w:p>
    <w:p w14:paraId="49D30F2F"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40FA5EF5"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PENSION OBLIGATIONS</w:t>
      </w:r>
    </w:p>
    <w:p w14:paraId="6019B185"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Company provides for both defined contribution plans and defined benefit plans. A defined contribution plan generally specifies the periodic amount that the employer must contribute to the plan and how that amount will be allocated to the eligible employees who perform services during the same period. A defined benefit pension plan is one that contains pension benefit formulas, which generally determine the amount of pension benefits that each employee will receive for services performed during a specified period of employment.</w:t>
      </w:r>
    </w:p>
    <w:p w14:paraId="54BC3752"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amount recognized as a defined benefit liability is the net total of projected benefit obligation (PBO) minus the fair value of plan assets (if any) (see Note 19).</w:t>
      </w:r>
    </w:p>
    <w:p w14:paraId="53A3363B"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37644F6C"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CONTINGENT LIABILITIES</w:t>
      </w:r>
    </w:p>
    <w:p w14:paraId="1E47C1D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Various claims, lawsuits and proceedings are pending or threatened against the Company or its subsidiaries, covering a range of matters that arise in the ordinary course of its business activities with respect to commercial, product liability or other matters (see Note 18).</w:t>
      </w:r>
    </w:p>
    <w:p w14:paraId="41E44C9E"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diligently defends itself in such matters and, in addition, carries insurance coverage to the extent reasonably available against insurable risks.</w:t>
      </w:r>
    </w:p>
    <w:p w14:paraId="6E5C185F"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records liabilities for claims, lawsuits and proceedings when they are probable and it is possible to reasonably estimate the cost of such liabilities. Legal costs expected to be incurred in connection with a loss contingency are expensed as such costs are incurred.</w:t>
      </w:r>
    </w:p>
    <w:p w14:paraId="5E1FDF95"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lastRenderedPageBreak/>
        <w:t>The Company believes, based on currently available information, that the resolution of outstanding matters, other than any antitrust related matters described in Note 18, after taking into account recorded liabilities and available insurance coverage, should not have a material effect on the Company’s financial position or results of operations.</w:t>
      </w:r>
    </w:p>
    <w:p w14:paraId="07D146B3"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However, due to the inherent uncertainty associated with such matters, there can be no assurance that the final outcomes of these matters will not be materially different than currently estimated.</w:t>
      </w:r>
    </w:p>
    <w:p w14:paraId="02920644"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37070BE3"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TRANSLATION OF NON-U.S. SUBSIDIARIES</w:t>
      </w:r>
    </w:p>
    <w:p w14:paraId="245FCB40"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balance sheets of subsidiaries with functional currency other than U.S. dollars are translated into U.S. dollars using year-end exchange rates.</w:t>
      </w:r>
    </w:p>
    <w:p w14:paraId="0A05212F"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Statements of Income of these subsidiaries is translated into U.S. dollars using the average exchange rates for the year. Translation differences are reflected in equity as a component of OCI.</w:t>
      </w:r>
    </w:p>
    <w:p w14:paraId="01D6ADC4"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23D4F9B1"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RECEIVABLES AND LIABILITIES IN NON-FUNCTIONAL CURRENCIES</w:t>
      </w:r>
    </w:p>
    <w:p w14:paraId="3C7BCBB4"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Receivables and liabilities not denominated in functional currencies are converted at year-end exchange rates. Net transaction losses, reflected in the Consolidated Statements of Income amounted to $(23.9) million in 2020, $(15.3) million in 2019 and $(22.1) million in 2018, and are recorded in operating income if they relate to operational receivables and liabilities or are recorded in other non-operating items, net if they relate to financial receivables and liabilities.</w:t>
      </w:r>
    </w:p>
    <w:p w14:paraId="74427F0C"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64</w:t>
      </w:r>
    </w:p>
    <w:p w14:paraId="3610D43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EAA0857"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C0EBA9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C18E32E"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EBDEC9C">
          <v:rect id="_x0000_i1091" style="width:0;height:1.5pt" o:hralign="center" o:hrstd="t" o:hrnoshade="t" o:hr="t" fillcolor="black" stroked="f"/>
        </w:pict>
      </w:r>
    </w:p>
    <w:p w14:paraId="61D061F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24BC73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025FAC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C113798" w14:textId="77777777" w:rsidR="00AC4931" w:rsidRPr="00AC4931" w:rsidRDefault="00AC4931" w:rsidP="00AC4931">
      <w:pPr>
        <w:widowControl/>
        <w:rPr>
          <w:rFonts w:ascii="宋体" w:eastAsia="宋体" w:hAnsi="宋体" w:cs="宋体" w:hint="eastAsia"/>
          <w:kern w:val="0"/>
          <w:sz w:val="18"/>
          <w:szCs w:val="18"/>
        </w:rPr>
      </w:pPr>
      <w:r w:rsidRPr="00AC4931">
        <w:rPr>
          <w:rFonts w:ascii="宋体" w:eastAsia="宋体" w:hAnsi="宋体" w:cs="宋体"/>
          <w:kern w:val="0"/>
          <w:sz w:val="18"/>
          <w:szCs w:val="18"/>
        </w:rPr>
        <w:t> </w:t>
      </w:r>
    </w:p>
    <w:p w14:paraId="4B8EA3A0"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NEW ACCOUNTING STANDARDS</w:t>
      </w:r>
    </w:p>
    <w:p w14:paraId="3A281E72" w14:textId="77777777" w:rsidR="00AC4931" w:rsidRPr="00AC4931" w:rsidRDefault="00AC4931" w:rsidP="00AC4931">
      <w:pPr>
        <w:widowControl/>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p w14:paraId="3024D5C7" w14:textId="77777777" w:rsidR="00AC4931" w:rsidRPr="00AC4931" w:rsidRDefault="00AC4931" w:rsidP="00AC4931">
      <w:pPr>
        <w:widowControl/>
        <w:rPr>
          <w:rFonts w:ascii="Arial" w:eastAsia="宋体" w:hAnsi="Arial" w:cs="Arial"/>
          <w:color w:val="000000"/>
          <w:kern w:val="0"/>
          <w:sz w:val="18"/>
          <w:szCs w:val="18"/>
        </w:rPr>
      </w:pPr>
      <w:r w:rsidRPr="00AC4931">
        <w:rPr>
          <w:rFonts w:ascii="Arial" w:eastAsia="宋体" w:hAnsi="Arial" w:cs="Arial"/>
          <w:color w:val="000000"/>
          <w:kern w:val="0"/>
          <w:sz w:val="18"/>
          <w:szCs w:val="18"/>
        </w:rPr>
        <w:t>Changes to U.S. GAAP are established by the Financial Accounting Standards Board (“FASB”) in the form of accounting standards updates (“ASUs”) to the FASB’s Accounting Standards Codification (ASC).</w:t>
      </w:r>
    </w:p>
    <w:p w14:paraId="102A0F62"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The Company considers the applicability and impact of all ASUs. ASUs not listed below were assessed and determined to be either not applicable or are expected to have an immaterial impact on the Company’s consolidated financial statements.</w:t>
      </w:r>
    </w:p>
    <w:p w14:paraId="389CDF25" w14:textId="77777777" w:rsidR="00AC4931" w:rsidRPr="00AC4931" w:rsidRDefault="00AC4931" w:rsidP="00AC4931">
      <w:pPr>
        <w:widowControl/>
        <w:rPr>
          <w:rFonts w:ascii="宋体" w:eastAsia="宋体" w:hAnsi="宋体" w:cs="宋体"/>
          <w:b/>
          <w:bCs/>
          <w:kern w:val="0"/>
          <w:sz w:val="18"/>
          <w:szCs w:val="18"/>
        </w:rPr>
      </w:pPr>
      <w:r w:rsidRPr="00AC4931">
        <w:rPr>
          <w:rFonts w:ascii="宋体" w:eastAsia="宋体" w:hAnsi="宋体" w:cs="宋体"/>
          <w:b/>
          <w:bCs/>
          <w:kern w:val="0"/>
          <w:sz w:val="18"/>
          <w:szCs w:val="18"/>
        </w:rPr>
        <w:t> </w:t>
      </w:r>
    </w:p>
    <w:p w14:paraId="75295F49"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Adoption of New Accounting Standards</w:t>
      </w:r>
    </w:p>
    <w:p w14:paraId="4F39735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p w14:paraId="6A0AF2AC" w14:textId="77777777" w:rsidR="00AC4931" w:rsidRPr="00AC4931" w:rsidRDefault="00AC4931" w:rsidP="00AC4931">
      <w:pPr>
        <w:widowControl/>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In June 2016, the FASB issued ASU 2016-13, </w:t>
      </w:r>
      <w:r w:rsidRPr="00AC4931">
        <w:rPr>
          <w:rFonts w:ascii="Arial" w:eastAsia="宋体" w:hAnsi="Arial" w:cs="Arial"/>
          <w:i/>
          <w:iCs/>
          <w:color w:val="000000"/>
          <w:kern w:val="0"/>
          <w:sz w:val="18"/>
          <w:szCs w:val="18"/>
        </w:rPr>
        <w:t>Financial Instruments – Credit Losses (Topic 326), Measurement of Credit Losses on Financial Instruments, </w:t>
      </w:r>
      <w:r w:rsidRPr="00AC4931">
        <w:rPr>
          <w:rFonts w:ascii="Arial" w:eastAsia="宋体" w:hAnsi="Arial" w:cs="Arial"/>
          <w:color w:val="000000"/>
          <w:kern w:val="0"/>
          <w:sz w:val="18"/>
          <w:szCs w:val="18"/>
        </w:rPr>
        <w:t>which requires the measurement and recognition of expected credit losses for financial assets held and enhanced disclosures. The Company’s financial assets in the scope of ASU 2016-13 mainly consists of short-term trade receivables. Historically, the Company’s actual credit losses have not been material. In addition to continuing to individually assess overdue customer balances for expected credit losses, the Company has implemented a new methodology that reflects the expected credit losses on receivables considering both historical experience as well as forward looking assumptions. The method calculates the expected credit loss for a group of customers by using the customer groups’ average short-term default rates based on officially published credit ratings and the Company’s historical experience. These default rates are considered the Company’s best estimate of the customer’s ability to pay. The Company will regularly reassess the customer group’s and the applied customer group’s default rates by using its best judgement when considering changes in customer’s credit ratings, customer’s historical payments and loss experience, current market and economic conditions and the Company’s expectations of future market and economic conditions. ASU 2016-13 was adopted prospectively by the Company on January 1, 2020. The adoption of ASU 2016-13 did not have a material impact on the consolidated financial statements.</w:t>
      </w:r>
    </w:p>
    <w:p w14:paraId="410CAC6B"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1E3F48FC" w14:textId="77777777" w:rsidR="00AC4931" w:rsidRPr="00AC4931" w:rsidRDefault="00AC4931" w:rsidP="00AC4931">
      <w:pPr>
        <w:widowControl/>
        <w:rPr>
          <w:rFonts w:ascii="Arial" w:eastAsia="宋体" w:hAnsi="Arial" w:cs="Arial"/>
          <w:color w:val="000000"/>
          <w:kern w:val="0"/>
          <w:sz w:val="18"/>
          <w:szCs w:val="18"/>
        </w:rPr>
      </w:pPr>
      <w:r w:rsidRPr="00AC4931">
        <w:rPr>
          <w:rFonts w:ascii="Arial" w:eastAsia="宋体" w:hAnsi="Arial" w:cs="Arial"/>
          <w:color w:val="000000"/>
          <w:kern w:val="0"/>
          <w:sz w:val="18"/>
          <w:szCs w:val="18"/>
        </w:rPr>
        <w:t>In August 2018, the FASB issued ASU 2018-15, </w:t>
      </w:r>
      <w:r w:rsidRPr="00AC4931">
        <w:rPr>
          <w:rFonts w:ascii="Arial" w:eastAsia="宋体" w:hAnsi="Arial" w:cs="Arial"/>
          <w:i/>
          <w:iCs/>
          <w:color w:val="000000"/>
          <w:kern w:val="0"/>
          <w:sz w:val="18"/>
          <w:szCs w:val="18"/>
        </w:rPr>
        <w:t>Intangibles-Goodwill and Other-Internal Use Software (Subtopic 350-40), Customer’s accounting for implementation costs incurred in a cloud computing arrangement that is a service contract</w:t>
      </w:r>
      <w:r w:rsidRPr="00AC4931">
        <w:rPr>
          <w:rFonts w:ascii="Arial" w:eastAsia="宋体" w:hAnsi="Arial" w:cs="Arial"/>
          <w:color w:val="000000"/>
          <w:kern w:val="0"/>
          <w:sz w:val="18"/>
          <w:szCs w:val="18"/>
        </w:rPr>
        <w:t>, which align the requirements for capitalizing implementation costs incurred in a hosting arrangement that is a service contract with the requirements for capitalizing implementation costs incurred to develop or obtain internal-use software (and hosting arrangements that include an internal-use software license). The accounting for the service element of a hosting arrangement that is a service contract is not affected by the amendments in ASU 2018-15. The amendments in ASU 2018-15 are effective for public business entities for annual periods beginning after December 15, 2019, and interim periods within those annual years. The Company adopted ASU 2018-15 prospectively as of January 1, 2020 and the impact on the consolidated financial statements has not been material during 2020. The future impact of ASU 2018-15 will depend on the nature of the Company’s future cloud computing arrangements.</w:t>
      </w:r>
    </w:p>
    <w:p w14:paraId="7CDFA34A"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2A88537B" w14:textId="77777777" w:rsidR="00AC4931" w:rsidRPr="00AC4931" w:rsidRDefault="00AC4931" w:rsidP="00AC4931">
      <w:pPr>
        <w:widowControl/>
        <w:rPr>
          <w:rFonts w:ascii="Arial" w:eastAsia="宋体" w:hAnsi="Arial" w:cs="Arial"/>
          <w:color w:val="000000"/>
          <w:kern w:val="0"/>
          <w:sz w:val="18"/>
          <w:szCs w:val="18"/>
        </w:rPr>
      </w:pPr>
      <w:r w:rsidRPr="00AC4931">
        <w:rPr>
          <w:rFonts w:ascii="Arial" w:eastAsia="宋体" w:hAnsi="Arial" w:cs="Arial"/>
          <w:color w:val="000000"/>
          <w:kern w:val="0"/>
          <w:sz w:val="18"/>
          <w:szCs w:val="18"/>
        </w:rPr>
        <w:t>In March 2020, the FASB issued ASU 2020-04, </w:t>
      </w:r>
      <w:r w:rsidRPr="00AC4931">
        <w:rPr>
          <w:rFonts w:ascii="Arial" w:eastAsia="宋体" w:hAnsi="Arial" w:cs="Arial"/>
          <w:i/>
          <w:iCs/>
          <w:color w:val="000000"/>
          <w:kern w:val="0"/>
          <w:sz w:val="18"/>
          <w:szCs w:val="18"/>
        </w:rPr>
        <w:t>Reference Rate Reform (Topic 848) – Facilitation of the Effects of Reference Rate Reform on Financial Reporting</w:t>
      </w:r>
      <w:r w:rsidRPr="00AC4931">
        <w:rPr>
          <w:rFonts w:ascii="Arial" w:eastAsia="宋体" w:hAnsi="Arial" w:cs="Arial"/>
          <w:color w:val="000000"/>
          <w:kern w:val="0"/>
          <w:sz w:val="18"/>
          <w:szCs w:val="18"/>
        </w:rPr>
        <w:t>, which provides optional expedients and exceptions for applying U.S. GAAP to contracts, hedging relationships, and other transactions affected by the reference rate reform if certain criteria are met. The amendments in ASU 2020-04 apply only to contracts, hedging relationships, and other transactions that reference LIBOR or another reference rate expected to be discontinued because of reference rate reform. The amendments in ASU 2020-04 are effective for all entities as of March 12, 2020 through December 31, 2022. The adoption of ASU 2020-04 did not have a material impact on the Company’s consolidated financial statements.</w:t>
      </w:r>
    </w:p>
    <w:p w14:paraId="4AF76A6D" w14:textId="77777777" w:rsidR="00AC4931" w:rsidRPr="00AC4931" w:rsidRDefault="00AC4931" w:rsidP="00AC4931">
      <w:pPr>
        <w:widowControl/>
        <w:rPr>
          <w:rFonts w:ascii="Times New Roman" w:eastAsia="宋体" w:hAnsi="Times New Roman" w:cs="Times New Roman"/>
          <w:kern w:val="0"/>
          <w:sz w:val="22"/>
        </w:rPr>
      </w:pPr>
      <w:r w:rsidRPr="00AC4931">
        <w:rPr>
          <w:rFonts w:ascii="Times New Roman" w:eastAsia="宋体" w:hAnsi="Times New Roman" w:cs="Times New Roman"/>
          <w:kern w:val="0"/>
          <w:sz w:val="22"/>
        </w:rPr>
        <w:t> </w:t>
      </w:r>
    </w:p>
    <w:p w14:paraId="10BAC226" w14:textId="77777777" w:rsidR="00AC4931" w:rsidRPr="00AC4931" w:rsidRDefault="00AC4931" w:rsidP="00AC4931">
      <w:pPr>
        <w:widowControl/>
        <w:spacing w:before="140"/>
        <w:rPr>
          <w:rFonts w:ascii="Arial" w:eastAsia="宋体" w:hAnsi="Arial" w:cs="Arial"/>
          <w:b/>
          <w:bCs/>
          <w:kern w:val="0"/>
          <w:sz w:val="18"/>
          <w:szCs w:val="18"/>
        </w:rPr>
      </w:pPr>
      <w:r w:rsidRPr="00AC4931">
        <w:rPr>
          <w:rFonts w:ascii="Arial" w:eastAsia="宋体" w:hAnsi="Arial" w:cs="Arial"/>
          <w:b/>
          <w:bCs/>
          <w:kern w:val="0"/>
          <w:sz w:val="18"/>
          <w:szCs w:val="18"/>
        </w:rPr>
        <w:t>Accounting Standards Issued But Not Yet Adopted</w:t>
      </w:r>
    </w:p>
    <w:p w14:paraId="67B6EA84"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p w14:paraId="6F4FCB6D" w14:textId="77777777" w:rsidR="00AC4931" w:rsidRPr="00AC4931" w:rsidRDefault="00AC4931" w:rsidP="00AC4931">
      <w:pPr>
        <w:widowControl/>
        <w:rPr>
          <w:rFonts w:ascii="Arial" w:eastAsia="宋体" w:hAnsi="Arial" w:cs="Arial"/>
          <w:color w:val="000000"/>
          <w:kern w:val="0"/>
          <w:sz w:val="18"/>
          <w:szCs w:val="18"/>
        </w:rPr>
      </w:pPr>
      <w:r w:rsidRPr="00AC4931">
        <w:rPr>
          <w:rFonts w:ascii="Arial" w:eastAsia="宋体" w:hAnsi="Arial" w:cs="Arial"/>
          <w:color w:val="000000"/>
          <w:kern w:val="0"/>
          <w:sz w:val="18"/>
          <w:szCs w:val="18"/>
        </w:rPr>
        <w:t>In December 2019, the FASB issued ASU 2019-12, </w:t>
      </w:r>
      <w:r w:rsidRPr="00AC4931">
        <w:rPr>
          <w:rFonts w:ascii="Arial" w:eastAsia="宋体" w:hAnsi="Arial" w:cs="Arial"/>
          <w:i/>
          <w:iCs/>
          <w:color w:val="000000"/>
          <w:kern w:val="0"/>
          <w:sz w:val="18"/>
          <w:szCs w:val="18"/>
        </w:rPr>
        <w:t>Income Taxes (Topic 740), Simplifying the Accounting for Income Taxes</w:t>
      </w:r>
      <w:r w:rsidRPr="00AC4931">
        <w:rPr>
          <w:rFonts w:ascii="Arial" w:eastAsia="宋体" w:hAnsi="Arial" w:cs="Arial"/>
          <w:color w:val="000000"/>
          <w:kern w:val="0"/>
          <w:sz w:val="18"/>
          <w:szCs w:val="18"/>
        </w:rPr>
        <w:t xml:space="preserve">, which simplifies the accounting for income taxes. ASU 2019-12 is effective for public business entities for annual periods beginning after December 15, 2020, and early adoption is permitted. </w:t>
      </w:r>
      <w:r w:rsidRPr="00AC4931">
        <w:rPr>
          <w:rFonts w:ascii="Arial" w:eastAsia="宋体" w:hAnsi="Arial" w:cs="Arial"/>
          <w:color w:val="000000"/>
          <w:kern w:val="0"/>
          <w:sz w:val="18"/>
          <w:szCs w:val="18"/>
        </w:rPr>
        <w:lastRenderedPageBreak/>
        <w:t>The amendments related to changes in ownership of foreign equity method investments or foreign subsidiaries should be applied on a modified retrospective basis through a cumulative-effect adjustment to retained earnings as of the beginning of the fiscal year of adoption. The Company has finalized its evaluation of the impact of adopting ASU 2019-12 and concluded that the adoption will not have a material impact on the Company’s consolidated financial statements. The Company adopted ASU 2019-12 as of January 1, 2021.</w:t>
      </w:r>
    </w:p>
    <w:p w14:paraId="633C1001"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123ED680"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RECLASSIFICATIONS</w:t>
      </w:r>
    </w:p>
    <w:p w14:paraId="0FB7A1B4"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Certain prior-year amounts have been reclassified to conform to current year presentation.</w:t>
      </w:r>
    </w:p>
    <w:p w14:paraId="12C32885" w14:textId="77777777" w:rsidR="00AC4931" w:rsidRPr="00AC4931" w:rsidRDefault="00AC4931" w:rsidP="00AC4931">
      <w:pPr>
        <w:widowControl/>
        <w:rPr>
          <w:rFonts w:ascii="Times New Roman" w:eastAsia="宋体" w:hAnsi="Times New Roman" w:cs="Times New Roman"/>
          <w:color w:val="000000"/>
          <w:kern w:val="0"/>
          <w:sz w:val="20"/>
          <w:szCs w:val="20"/>
        </w:rPr>
      </w:pPr>
      <w:r w:rsidRPr="00AC4931">
        <w:rPr>
          <w:rFonts w:ascii="Times New Roman" w:eastAsia="宋体" w:hAnsi="Times New Roman" w:cs="Times New Roman"/>
          <w:color w:val="000000"/>
          <w:kern w:val="0"/>
          <w:sz w:val="20"/>
          <w:szCs w:val="20"/>
        </w:rPr>
        <w:t> </w:t>
      </w:r>
    </w:p>
    <w:p w14:paraId="63F63DA5" w14:textId="77777777" w:rsidR="00AC4931" w:rsidRPr="00AC4931" w:rsidRDefault="00AC4931" w:rsidP="00AC4931">
      <w:pPr>
        <w:widowControl/>
        <w:jc w:val="left"/>
        <w:rPr>
          <w:rFonts w:ascii="Arial" w:eastAsia="宋体" w:hAnsi="Arial" w:cs="Arial"/>
          <w:color w:val="000000"/>
          <w:kern w:val="0"/>
          <w:sz w:val="20"/>
          <w:szCs w:val="20"/>
        </w:rPr>
      </w:pPr>
    </w:p>
    <w:p w14:paraId="78A7E025"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65</w:t>
      </w:r>
    </w:p>
    <w:p w14:paraId="5B4ED949"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AF2AA72"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A81CAF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053D013"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172B03C7">
          <v:rect id="_x0000_i1092" style="width:0;height:1.5pt" o:hralign="center" o:hrstd="t" o:hrnoshade="t" o:hr="t" fillcolor="black" stroked="f"/>
        </w:pict>
      </w:r>
    </w:p>
    <w:p w14:paraId="5A625626"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98FC35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B461B7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B98F19B" w14:textId="77777777" w:rsidR="00AC4931" w:rsidRPr="00AC4931" w:rsidRDefault="00AC4931" w:rsidP="00AC4931">
      <w:pPr>
        <w:widowControl/>
        <w:spacing w:before="340"/>
        <w:rPr>
          <w:rFonts w:ascii="Arial" w:eastAsia="宋体" w:hAnsi="Arial" w:cs="Arial" w:hint="eastAsia"/>
          <w:b/>
          <w:bCs/>
          <w:kern w:val="0"/>
          <w:sz w:val="22"/>
        </w:rPr>
      </w:pPr>
      <w:r w:rsidRPr="00AC4931">
        <w:rPr>
          <w:rFonts w:ascii="Arial" w:eastAsia="宋体" w:hAnsi="Arial" w:cs="Arial"/>
          <w:b/>
          <w:bCs/>
          <w:kern w:val="0"/>
          <w:sz w:val="22"/>
        </w:rPr>
        <w:t>3. Discontinued Operations</w:t>
      </w:r>
    </w:p>
    <w:p w14:paraId="3579C2D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p w14:paraId="1B35865B"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As discussed in Note 1, Basis of Presentation, on June 29, 2018, the Company completed the spin-off of Veoneer and the requirements for the presentation of Veoneer as a discontinued operation were met on that date. Accordingly, Veoneer’s historical financial results are reflected in the Company’s Consolidated Financial Statements as discontinued operations. The Company did not allocate any general corporate overhead or interest expense to discontinued operations.</w:t>
      </w:r>
    </w:p>
    <w:p w14:paraId="6F702460"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financial results of Veoneer are presented as loss from discontinued operations, net of income taxes in the Consolidated Statements of Income. The following table presents the financial results of Veoneer for the year 2018 (dollars in millions).</w:t>
      </w:r>
    </w:p>
    <w:p w14:paraId="3C30767A"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3253"/>
        <w:gridCol w:w="306"/>
        <w:gridCol w:w="158"/>
        <w:gridCol w:w="2616"/>
        <w:gridCol w:w="158"/>
      </w:tblGrid>
      <w:tr w:rsidR="00AC4931" w:rsidRPr="00AC4931" w14:paraId="74B3A2A3" w14:textId="77777777" w:rsidTr="00AC4931">
        <w:tc>
          <w:tcPr>
            <w:tcW w:w="13217" w:type="dxa"/>
            <w:shd w:val="clear" w:color="auto" w:fill="FFFFFF"/>
            <w:tcMar>
              <w:top w:w="15" w:type="dxa"/>
              <w:left w:w="0" w:type="dxa"/>
              <w:bottom w:w="0" w:type="dxa"/>
              <w:right w:w="15" w:type="dxa"/>
            </w:tcMar>
            <w:vAlign w:val="bottom"/>
            <w:hideMark/>
          </w:tcPr>
          <w:p w14:paraId="2A3E0D0C"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305" w:type="dxa"/>
            <w:shd w:val="clear" w:color="auto" w:fill="FFFFFF"/>
            <w:tcMar>
              <w:top w:w="15" w:type="dxa"/>
              <w:left w:w="0" w:type="dxa"/>
              <w:bottom w:w="0" w:type="dxa"/>
              <w:right w:w="15" w:type="dxa"/>
            </w:tcMar>
            <w:vAlign w:val="bottom"/>
            <w:hideMark/>
          </w:tcPr>
          <w:p w14:paraId="2987605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59" w:type="dxa"/>
            <w:gridSpan w:val="2"/>
            <w:shd w:val="clear" w:color="auto" w:fill="FFFFFF"/>
            <w:tcMar>
              <w:top w:w="15" w:type="dxa"/>
              <w:left w:w="0" w:type="dxa"/>
              <w:bottom w:w="0" w:type="dxa"/>
              <w:right w:w="15" w:type="dxa"/>
            </w:tcMar>
            <w:vAlign w:val="center"/>
            <w:hideMark/>
          </w:tcPr>
          <w:p w14:paraId="4987174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Years ended</w:t>
            </w:r>
          </w:p>
        </w:tc>
        <w:tc>
          <w:tcPr>
            <w:tcW w:w="150" w:type="dxa"/>
            <w:shd w:val="clear" w:color="auto" w:fill="FFFFFF"/>
            <w:noWrap/>
            <w:tcMar>
              <w:top w:w="15" w:type="dxa"/>
              <w:left w:w="0" w:type="dxa"/>
              <w:bottom w:w="0" w:type="dxa"/>
              <w:right w:w="15" w:type="dxa"/>
            </w:tcMar>
            <w:vAlign w:val="center"/>
            <w:hideMark/>
          </w:tcPr>
          <w:p w14:paraId="5E94274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E45C2DE" w14:textId="77777777" w:rsidTr="00AC4931">
        <w:tc>
          <w:tcPr>
            <w:tcW w:w="13217" w:type="dxa"/>
            <w:shd w:val="clear" w:color="auto" w:fill="FFFFFF"/>
            <w:tcMar>
              <w:top w:w="15" w:type="dxa"/>
              <w:left w:w="0" w:type="dxa"/>
              <w:bottom w:w="0" w:type="dxa"/>
              <w:right w:w="15" w:type="dxa"/>
            </w:tcMar>
            <w:vAlign w:val="bottom"/>
            <w:hideMark/>
          </w:tcPr>
          <w:p w14:paraId="2A732AD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305" w:type="dxa"/>
            <w:shd w:val="clear" w:color="auto" w:fill="FFFFFF"/>
            <w:tcMar>
              <w:top w:w="15" w:type="dxa"/>
              <w:left w:w="0" w:type="dxa"/>
              <w:bottom w:w="0" w:type="dxa"/>
              <w:right w:w="15" w:type="dxa"/>
            </w:tcMar>
            <w:vAlign w:val="bottom"/>
            <w:hideMark/>
          </w:tcPr>
          <w:p w14:paraId="1F4076F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59" w:type="dxa"/>
            <w:gridSpan w:val="2"/>
            <w:tcBorders>
              <w:bottom w:val="single" w:sz="6" w:space="0" w:color="000000"/>
            </w:tcBorders>
            <w:shd w:val="clear" w:color="auto" w:fill="FFFFFF"/>
            <w:tcMar>
              <w:top w:w="15" w:type="dxa"/>
              <w:left w:w="0" w:type="dxa"/>
              <w:bottom w:w="0" w:type="dxa"/>
              <w:right w:w="15" w:type="dxa"/>
            </w:tcMar>
            <w:vAlign w:val="bottom"/>
            <w:hideMark/>
          </w:tcPr>
          <w:p w14:paraId="0720C64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 2018</w:t>
            </w:r>
          </w:p>
        </w:tc>
        <w:tc>
          <w:tcPr>
            <w:tcW w:w="150" w:type="dxa"/>
            <w:shd w:val="clear" w:color="auto" w:fill="FFFFFF"/>
            <w:noWrap/>
            <w:tcMar>
              <w:top w:w="15" w:type="dxa"/>
              <w:left w:w="0" w:type="dxa"/>
              <w:bottom w:w="0" w:type="dxa"/>
              <w:right w:w="15" w:type="dxa"/>
            </w:tcMar>
            <w:vAlign w:val="bottom"/>
            <w:hideMark/>
          </w:tcPr>
          <w:p w14:paraId="0F63AF3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E2B2B3F" w14:textId="77777777" w:rsidTr="00AC4931">
        <w:tc>
          <w:tcPr>
            <w:tcW w:w="13217" w:type="dxa"/>
            <w:shd w:val="clear" w:color="auto" w:fill="CFF0FC"/>
            <w:tcMar>
              <w:top w:w="15" w:type="dxa"/>
              <w:left w:w="0" w:type="dxa"/>
              <w:bottom w:w="0" w:type="dxa"/>
              <w:right w:w="15" w:type="dxa"/>
            </w:tcMar>
            <w:hideMark/>
          </w:tcPr>
          <w:p w14:paraId="5551C27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sales</w:t>
            </w:r>
          </w:p>
        </w:tc>
        <w:tc>
          <w:tcPr>
            <w:tcW w:w="305" w:type="dxa"/>
            <w:shd w:val="clear" w:color="auto" w:fill="CFF0FC"/>
            <w:tcMar>
              <w:top w:w="15" w:type="dxa"/>
              <w:left w:w="0" w:type="dxa"/>
              <w:bottom w:w="0" w:type="dxa"/>
              <w:right w:w="15" w:type="dxa"/>
            </w:tcMar>
            <w:vAlign w:val="bottom"/>
            <w:hideMark/>
          </w:tcPr>
          <w:p w14:paraId="3C9D7CBC"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0C712A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594" w:type="dxa"/>
            <w:tcBorders>
              <w:top w:val="single" w:sz="6" w:space="0" w:color="000000"/>
            </w:tcBorders>
            <w:shd w:val="clear" w:color="auto" w:fill="CFF0FC"/>
            <w:noWrap/>
            <w:tcMar>
              <w:top w:w="15" w:type="dxa"/>
              <w:left w:w="0" w:type="dxa"/>
              <w:bottom w:w="0" w:type="dxa"/>
              <w:right w:w="15" w:type="dxa"/>
            </w:tcMar>
            <w:vAlign w:val="bottom"/>
            <w:hideMark/>
          </w:tcPr>
          <w:p w14:paraId="7023B97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1,122.9</w:t>
            </w:r>
          </w:p>
        </w:tc>
        <w:tc>
          <w:tcPr>
            <w:tcW w:w="150" w:type="dxa"/>
            <w:shd w:val="clear" w:color="auto" w:fill="CFF0FC"/>
            <w:noWrap/>
            <w:tcMar>
              <w:top w:w="15" w:type="dxa"/>
              <w:left w:w="0" w:type="dxa"/>
              <w:bottom w:w="0" w:type="dxa"/>
              <w:right w:w="15" w:type="dxa"/>
            </w:tcMar>
            <w:vAlign w:val="bottom"/>
            <w:hideMark/>
          </w:tcPr>
          <w:p w14:paraId="258F869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745626E1" w14:textId="77777777" w:rsidTr="00AC4931">
        <w:tc>
          <w:tcPr>
            <w:tcW w:w="13217" w:type="dxa"/>
            <w:shd w:val="clear" w:color="auto" w:fill="FFFFFF"/>
            <w:tcMar>
              <w:top w:w="15" w:type="dxa"/>
              <w:left w:w="0" w:type="dxa"/>
              <w:bottom w:w="0" w:type="dxa"/>
              <w:right w:w="15" w:type="dxa"/>
            </w:tcMar>
            <w:hideMark/>
          </w:tcPr>
          <w:p w14:paraId="2926C1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Cost of sales</w:t>
            </w:r>
          </w:p>
        </w:tc>
        <w:tc>
          <w:tcPr>
            <w:tcW w:w="305" w:type="dxa"/>
            <w:shd w:val="clear" w:color="auto" w:fill="FFFFFF"/>
            <w:tcMar>
              <w:top w:w="15" w:type="dxa"/>
              <w:left w:w="0" w:type="dxa"/>
              <w:bottom w:w="0" w:type="dxa"/>
              <w:right w:w="15" w:type="dxa"/>
            </w:tcMar>
            <w:vAlign w:val="bottom"/>
            <w:hideMark/>
          </w:tcPr>
          <w:p w14:paraId="4EEAFAEA"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27A8BD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tcBorders>
              <w:bottom w:val="single" w:sz="6" w:space="0" w:color="000000"/>
            </w:tcBorders>
            <w:shd w:val="clear" w:color="auto" w:fill="FFFFFF"/>
            <w:noWrap/>
            <w:tcMar>
              <w:top w:w="15" w:type="dxa"/>
              <w:left w:w="0" w:type="dxa"/>
              <w:bottom w:w="0" w:type="dxa"/>
              <w:right w:w="15" w:type="dxa"/>
            </w:tcMar>
            <w:vAlign w:val="bottom"/>
            <w:hideMark/>
          </w:tcPr>
          <w:p w14:paraId="0F8CC0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(896.4</w:t>
            </w:r>
          </w:p>
        </w:tc>
        <w:tc>
          <w:tcPr>
            <w:tcW w:w="150" w:type="dxa"/>
            <w:shd w:val="clear" w:color="auto" w:fill="FFFFFF"/>
            <w:noWrap/>
            <w:tcMar>
              <w:top w:w="15" w:type="dxa"/>
              <w:left w:w="0" w:type="dxa"/>
              <w:bottom w:w="0" w:type="dxa"/>
              <w:right w:w="15" w:type="dxa"/>
            </w:tcMar>
            <w:vAlign w:val="bottom"/>
            <w:hideMark/>
          </w:tcPr>
          <w:p w14:paraId="25C43C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3D90C80" w14:textId="77777777" w:rsidTr="00AC4931">
        <w:tc>
          <w:tcPr>
            <w:tcW w:w="13217" w:type="dxa"/>
            <w:shd w:val="clear" w:color="auto" w:fill="CFF0FC"/>
            <w:tcMar>
              <w:top w:w="15" w:type="dxa"/>
              <w:left w:w="0" w:type="dxa"/>
              <w:bottom w:w="0" w:type="dxa"/>
              <w:right w:w="15" w:type="dxa"/>
            </w:tcMar>
            <w:hideMark/>
          </w:tcPr>
          <w:p w14:paraId="281E696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Gross profit</w:t>
            </w:r>
          </w:p>
        </w:tc>
        <w:tc>
          <w:tcPr>
            <w:tcW w:w="305" w:type="dxa"/>
            <w:shd w:val="clear" w:color="auto" w:fill="CFF0FC"/>
            <w:tcMar>
              <w:top w:w="15" w:type="dxa"/>
              <w:left w:w="0" w:type="dxa"/>
              <w:bottom w:w="0" w:type="dxa"/>
              <w:right w:w="15" w:type="dxa"/>
            </w:tcMar>
            <w:vAlign w:val="bottom"/>
            <w:hideMark/>
          </w:tcPr>
          <w:p w14:paraId="31BE11A6"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3B7CB7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594" w:type="dxa"/>
            <w:tcBorders>
              <w:top w:val="single" w:sz="6" w:space="0" w:color="000000"/>
            </w:tcBorders>
            <w:shd w:val="clear" w:color="auto" w:fill="CFF0FC"/>
            <w:noWrap/>
            <w:tcMar>
              <w:top w:w="15" w:type="dxa"/>
              <w:left w:w="0" w:type="dxa"/>
              <w:bottom w:w="0" w:type="dxa"/>
              <w:right w:w="15" w:type="dxa"/>
            </w:tcMar>
            <w:vAlign w:val="bottom"/>
            <w:hideMark/>
          </w:tcPr>
          <w:p w14:paraId="1D0697D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226.5</w:t>
            </w:r>
          </w:p>
        </w:tc>
        <w:tc>
          <w:tcPr>
            <w:tcW w:w="150" w:type="dxa"/>
            <w:shd w:val="clear" w:color="auto" w:fill="CFF0FC"/>
            <w:noWrap/>
            <w:tcMar>
              <w:top w:w="15" w:type="dxa"/>
              <w:left w:w="0" w:type="dxa"/>
              <w:bottom w:w="0" w:type="dxa"/>
              <w:right w:w="15" w:type="dxa"/>
            </w:tcMar>
            <w:vAlign w:val="bottom"/>
            <w:hideMark/>
          </w:tcPr>
          <w:p w14:paraId="20FBB84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74F1FCFF" w14:textId="77777777" w:rsidTr="00AC4931">
        <w:tc>
          <w:tcPr>
            <w:tcW w:w="13217" w:type="dxa"/>
            <w:shd w:val="clear" w:color="auto" w:fill="FFFFFF"/>
            <w:tcMar>
              <w:top w:w="15" w:type="dxa"/>
              <w:left w:w="0" w:type="dxa"/>
              <w:bottom w:w="0" w:type="dxa"/>
              <w:right w:w="15" w:type="dxa"/>
            </w:tcMar>
            <w:hideMark/>
          </w:tcPr>
          <w:p w14:paraId="68C177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Selling, general and administrative expenses</w:t>
            </w:r>
          </w:p>
        </w:tc>
        <w:tc>
          <w:tcPr>
            <w:tcW w:w="305" w:type="dxa"/>
            <w:shd w:val="clear" w:color="auto" w:fill="FFFFFF"/>
            <w:tcMar>
              <w:top w:w="15" w:type="dxa"/>
              <w:left w:w="0" w:type="dxa"/>
              <w:bottom w:w="0" w:type="dxa"/>
              <w:right w:w="15" w:type="dxa"/>
            </w:tcMar>
            <w:vAlign w:val="bottom"/>
            <w:hideMark/>
          </w:tcPr>
          <w:p w14:paraId="611BADEE"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DEC71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FFFFFF"/>
            <w:noWrap/>
            <w:tcMar>
              <w:top w:w="15" w:type="dxa"/>
              <w:left w:w="0" w:type="dxa"/>
              <w:bottom w:w="0" w:type="dxa"/>
              <w:right w:w="15" w:type="dxa"/>
            </w:tcMar>
            <w:vAlign w:val="bottom"/>
            <w:hideMark/>
          </w:tcPr>
          <w:p w14:paraId="72CF219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(59.7</w:t>
            </w:r>
          </w:p>
        </w:tc>
        <w:tc>
          <w:tcPr>
            <w:tcW w:w="150" w:type="dxa"/>
            <w:shd w:val="clear" w:color="auto" w:fill="FFFFFF"/>
            <w:noWrap/>
            <w:tcMar>
              <w:top w:w="15" w:type="dxa"/>
              <w:left w:w="0" w:type="dxa"/>
              <w:bottom w:w="0" w:type="dxa"/>
              <w:right w:w="15" w:type="dxa"/>
            </w:tcMar>
            <w:vAlign w:val="bottom"/>
            <w:hideMark/>
          </w:tcPr>
          <w:p w14:paraId="0F48BF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729A00E" w14:textId="77777777" w:rsidTr="00AC4931">
        <w:tc>
          <w:tcPr>
            <w:tcW w:w="13217" w:type="dxa"/>
            <w:shd w:val="clear" w:color="auto" w:fill="CFF0FC"/>
            <w:tcMar>
              <w:top w:w="15" w:type="dxa"/>
              <w:left w:w="0" w:type="dxa"/>
              <w:bottom w:w="0" w:type="dxa"/>
              <w:right w:w="15" w:type="dxa"/>
            </w:tcMar>
            <w:hideMark/>
          </w:tcPr>
          <w:p w14:paraId="0283BC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Research, development and engineering</w:t>
            </w:r>
          </w:p>
          <w:p w14:paraId="12DC6F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expenses, net</w:t>
            </w:r>
          </w:p>
        </w:tc>
        <w:tc>
          <w:tcPr>
            <w:tcW w:w="305" w:type="dxa"/>
            <w:shd w:val="clear" w:color="auto" w:fill="CFF0FC"/>
            <w:tcMar>
              <w:top w:w="15" w:type="dxa"/>
              <w:left w:w="0" w:type="dxa"/>
              <w:bottom w:w="0" w:type="dxa"/>
              <w:right w:w="15" w:type="dxa"/>
            </w:tcMar>
            <w:vAlign w:val="bottom"/>
            <w:hideMark/>
          </w:tcPr>
          <w:p w14:paraId="2D9C4633"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F3DD7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CFF0FC"/>
            <w:noWrap/>
            <w:tcMar>
              <w:top w:w="15" w:type="dxa"/>
              <w:left w:w="0" w:type="dxa"/>
              <w:bottom w:w="0" w:type="dxa"/>
              <w:right w:w="15" w:type="dxa"/>
            </w:tcMar>
            <w:vAlign w:val="bottom"/>
            <w:hideMark/>
          </w:tcPr>
          <w:p w14:paraId="6274286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(224.0</w:t>
            </w:r>
          </w:p>
        </w:tc>
        <w:tc>
          <w:tcPr>
            <w:tcW w:w="150" w:type="dxa"/>
            <w:shd w:val="clear" w:color="auto" w:fill="CFF0FC"/>
            <w:noWrap/>
            <w:tcMar>
              <w:top w:w="15" w:type="dxa"/>
              <w:left w:w="0" w:type="dxa"/>
              <w:bottom w:w="0" w:type="dxa"/>
              <w:right w:w="15" w:type="dxa"/>
            </w:tcMar>
            <w:vAlign w:val="bottom"/>
            <w:hideMark/>
          </w:tcPr>
          <w:p w14:paraId="1D3F79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285DE9D" w14:textId="77777777" w:rsidTr="00AC4931">
        <w:tc>
          <w:tcPr>
            <w:tcW w:w="13217" w:type="dxa"/>
            <w:shd w:val="clear" w:color="auto" w:fill="FFFFFF"/>
            <w:tcMar>
              <w:top w:w="15" w:type="dxa"/>
              <w:left w:w="0" w:type="dxa"/>
              <w:bottom w:w="0" w:type="dxa"/>
              <w:right w:w="15" w:type="dxa"/>
            </w:tcMar>
            <w:hideMark/>
          </w:tcPr>
          <w:p w14:paraId="02EE04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Goodwill, Impairment charge</w:t>
            </w:r>
          </w:p>
        </w:tc>
        <w:tc>
          <w:tcPr>
            <w:tcW w:w="305" w:type="dxa"/>
            <w:shd w:val="clear" w:color="auto" w:fill="FFFFFF"/>
            <w:tcMar>
              <w:top w:w="15" w:type="dxa"/>
              <w:left w:w="0" w:type="dxa"/>
              <w:bottom w:w="0" w:type="dxa"/>
              <w:right w:w="15" w:type="dxa"/>
            </w:tcMar>
            <w:vAlign w:val="bottom"/>
            <w:hideMark/>
          </w:tcPr>
          <w:p w14:paraId="001CD98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DD111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FFFFFF"/>
            <w:noWrap/>
            <w:tcMar>
              <w:top w:w="15" w:type="dxa"/>
              <w:left w:w="0" w:type="dxa"/>
              <w:bottom w:w="0" w:type="dxa"/>
              <w:right w:w="15" w:type="dxa"/>
            </w:tcMar>
            <w:vAlign w:val="bottom"/>
            <w:hideMark/>
          </w:tcPr>
          <w:p w14:paraId="08A180E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36D9F4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F83F41F" w14:textId="77777777" w:rsidTr="00AC4931">
        <w:tc>
          <w:tcPr>
            <w:tcW w:w="13217" w:type="dxa"/>
            <w:shd w:val="clear" w:color="auto" w:fill="CFF0FC"/>
            <w:tcMar>
              <w:top w:w="15" w:type="dxa"/>
              <w:left w:w="0" w:type="dxa"/>
              <w:bottom w:w="0" w:type="dxa"/>
              <w:right w:w="15" w:type="dxa"/>
            </w:tcMar>
            <w:hideMark/>
          </w:tcPr>
          <w:p w14:paraId="44BA20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Amortization of intangibles</w:t>
            </w:r>
          </w:p>
        </w:tc>
        <w:tc>
          <w:tcPr>
            <w:tcW w:w="305" w:type="dxa"/>
            <w:shd w:val="clear" w:color="auto" w:fill="CFF0FC"/>
            <w:tcMar>
              <w:top w:w="15" w:type="dxa"/>
              <w:left w:w="0" w:type="dxa"/>
              <w:bottom w:w="0" w:type="dxa"/>
              <w:right w:w="15" w:type="dxa"/>
            </w:tcMar>
            <w:vAlign w:val="bottom"/>
            <w:hideMark/>
          </w:tcPr>
          <w:p w14:paraId="337DA4D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628C9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CFF0FC"/>
            <w:noWrap/>
            <w:tcMar>
              <w:top w:w="15" w:type="dxa"/>
              <w:left w:w="0" w:type="dxa"/>
              <w:bottom w:w="0" w:type="dxa"/>
              <w:right w:w="15" w:type="dxa"/>
            </w:tcMar>
            <w:vAlign w:val="bottom"/>
            <w:hideMark/>
          </w:tcPr>
          <w:p w14:paraId="15C183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(10.5</w:t>
            </w:r>
          </w:p>
        </w:tc>
        <w:tc>
          <w:tcPr>
            <w:tcW w:w="150" w:type="dxa"/>
            <w:shd w:val="clear" w:color="auto" w:fill="CFF0FC"/>
            <w:noWrap/>
            <w:tcMar>
              <w:top w:w="15" w:type="dxa"/>
              <w:left w:w="0" w:type="dxa"/>
              <w:bottom w:w="0" w:type="dxa"/>
              <w:right w:w="15" w:type="dxa"/>
            </w:tcMar>
            <w:vAlign w:val="bottom"/>
            <w:hideMark/>
          </w:tcPr>
          <w:p w14:paraId="3BD7C3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DC46660" w14:textId="77777777" w:rsidTr="00AC4931">
        <w:tc>
          <w:tcPr>
            <w:tcW w:w="13217" w:type="dxa"/>
            <w:shd w:val="clear" w:color="auto" w:fill="FFFFFF"/>
            <w:tcMar>
              <w:top w:w="15" w:type="dxa"/>
              <w:left w:w="0" w:type="dxa"/>
              <w:bottom w:w="0" w:type="dxa"/>
              <w:right w:w="15" w:type="dxa"/>
            </w:tcMar>
            <w:hideMark/>
          </w:tcPr>
          <w:p w14:paraId="64393C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Other income (expense), net</w:t>
            </w:r>
          </w:p>
        </w:tc>
        <w:tc>
          <w:tcPr>
            <w:tcW w:w="305" w:type="dxa"/>
            <w:shd w:val="clear" w:color="auto" w:fill="FFFFFF"/>
            <w:tcMar>
              <w:top w:w="15" w:type="dxa"/>
              <w:left w:w="0" w:type="dxa"/>
              <w:bottom w:w="0" w:type="dxa"/>
              <w:right w:w="15" w:type="dxa"/>
            </w:tcMar>
            <w:vAlign w:val="bottom"/>
            <w:hideMark/>
          </w:tcPr>
          <w:p w14:paraId="02DB81E4"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3A12C4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tcBorders>
              <w:bottom w:val="single" w:sz="6" w:space="0" w:color="000000"/>
            </w:tcBorders>
            <w:shd w:val="clear" w:color="auto" w:fill="FFFFFF"/>
            <w:noWrap/>
            <w:tcMar>
              <w:top w:w="15" w:type="dxa"/>
              <w:left w:w="0" w:type="dxa"/>
              <w:bottom w:w="0" w:type="dxa"/>
              <w:right w:w="15" w:type="dxa"/>
            </w:tcMar>
            <w:vAlign w:val="bottom"/>
            <w:hideMark/>
          </w:tcPr>
          <w:p w14:paraId="7D18607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(53.4</w:t>
            </w:r>
          </w:p>
        </w:tc>
        <w:tc>
          <w:tcPr>
            <w:tcW w:w="150" w:type="dxa"/>
            <w:shd w:val="clear" w:color="auto" w:fill="FFFFFF"/>
            <w:noWrap/>
            <w:tcMar>
              <w:top w:w="15" w:type="dxa"/>
              <w:left w:w="0" w:type="dxa"/>
              <w:bottom w:w="0" w:type="dxa"/>
              <w:right w:w="15" w:type="dxa"/>
            </w:tcMar>
            <w:vAlign w:val="bottom"/>
            <w:hideMark/>
          </w:tcPr>
          <w:p w14:paraId="2B393C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D77B271" w14:textId="77777777" w:rsidTr="00AC4931">
        <w:tc>
          <w:tcPr>
            <w:tcW w:w="13217" w:type="dxa"/>
            <w:shd w:val="clear" w:color="auto" w:fill="CFF0FC"/>
            <w:tcMar>
              <w:top w:w="15" w:type="dxa"/>
              <w:left w:w="0" w:type="dxa"/>
              <w:bottom w:w="0" w:type="dxa"/>
              <w:right w:w="15" w:type="dxa"/>
            </w:tcMar>
            <w:hideMark/>
          </w:tcPr>
          <w:p w14:paraId="0298470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Operating loss</w:t>
            </w:r>
          </w:p>
        </w:tc>
        <w:tc>
          <w:tcPr>
            <w:tcW w:w="305" w:type="dxa"/>
            <w:shd w:val="clear" w:color="auto" w:fill="CFF0FC"/>
            <w:tcMar>
              <w:top w:w="15" w:type="dxa"/>
              <w:left w:w="0" w:type="dxa"/>
              <w:bottom w:w="0" w:type="dxa"/>
              <w:right w:w="15" w:type="dxa"/>
            </w:tcMar>
            <w:vAlign w:val="bottom"/>
            <w:hideMark/>
          </w:tcPr>
          <w:p w14:paraId="26EA467E"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49F0CE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594" w:type="dxa"/>
            <w:tcBorders>
              <w:top w:val="single" w:sz="6" w:space="0" w:color="000000"/>
            </w:tcBorders>
            <w:shd w:val="clear" w:color="auto" w:fill="CFF0FC"/>
            <w:noWrap/>
            <w:tcMar>
              <w:top w:w="15" w:type="dxa"/>
              <w:left w:w="0" w:type="dxa"/>
              <w:bottom w:w="0" w:type="dxa"/>
              <w:right w:w="15" w:type="dxa"/>
            </w:tcMar>
            <w:vAlign w:val="bottom"/>
            <w:hideMark/>
          </w:tcPr>
          <w:p w14:paraId="64BF663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(121.1</w:t>
            </w:r>
          </w:p>
        </w:tc>
        <w:tc>
          <w:tcPr>
            <w:tcW w:w="150" w:type="dxa"/>
            <w:shd w:val="clear" w:color="auto" w:fill="CFF0FC"/>
            <w:noWrap/>
            <w:tcMar>
              <w:top w:w="15" w:type="dxa"/>
              <w:left w:w="0" w:type="dxa"/>
              <w:bottom w:w="0" w:type="dxa"/>
              <w:right w:w="15" w:type="dxa"/>
            </w:tcMar>
            <w:vAlign w:val="bottom"/>
            <w:hideMark/>
          </w:tcPr>
          <w:p w14:paraId="1DC22E5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769A882F" w14:textId="77777777" w:rsidTr="00AC4931">
        <w:tc>
          <w:tcPr>
            <w:tcW w:w="13217" w:type="dxa"/>
            <w:shd w:val="clear" w:color="auto" w:fill="FFFFFF"/>
            <w:tcMar>
              <w:top w:w="15" w:type="dxa"/>
              <w:left w:w="0" w:type="dxa"/>
              <w:bottom w:w="0" w:type="dxa"/>
              <w:right w:w="15" w:type="dxa"/>
            </w:tcMar>
            <w:hideMark/>
          </w:tcPr>
          <w:p w14:paraId="34056A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Loss from equity method investments</w:t>
            </w:r>
          </w:p>
        </w:tc>
        <w:tc>
          <w:tcPr>
            <w:tcW w:w="305" w:type="dxa"/>
            <w:shd w:val="clear" w:color="auto" w:fill="FFFFFF"/>
            <w:tcMar>
              <w:top w:w="15" w:type="dxa"/>
              <w:left w:w="0" w:type="dxa"/>
              <w:bottom w:w="0" w:type="dxa"/>
              <w:right w:w="15" w:type="dxa"/>
            </w:tcMar>
            <w:vAlign w:val="bottom"/>
            <w:hideMark/>
          </w:tcPr>
          <w:p w14:paraId="4EDEF477"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A5569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FFFFFF"/>
            <w:noWrap/>
            <w:tcMar>
              <w:top w:w="15" w:type="dxa"/>
              <w:left w:w="0" w:type="dxa"/>
              <w:bottom w:w="0" w:type="dxa"/>
              <w:right w:w="15" w:type="dxa"/>
            </w:tcMar>
            <w:vAlign w:val="bottom"/>
            <w:hideMark/>
          </w:tcPr>
          <w:p w14:paraId="19C4C42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(29.9</w:t>
            </w:r>
          </w:p>
        </w:tc>
        <w:tc>
          <w:tcPr>
            <w:tcW w:w="150" w:type="dxa"/>
            <w:shd w:val="clear" w:color="auto" w:fill="FFFFFF"/>
            <w:noWrap/>
            <w:tcMar>
              <w:top w:w="15" w:type="dxa"/>
              <w:left w:w="0" w:type="dxa"/>
              <w:bottom w:w="0" w:type="dxa"/>
              <w:right w:w="15" w:type="dxa"/>
            </w:tcMar>
            <w:vAlign w:val="bottom"/>
            <w:hideMark/>
          </w:tcPr>
          <w:p w14:paraId="2CA5FA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84CA38F" w14:textId="77777777" w:rsidTr="00AC4931">
        <w:tc>
          <w:tcPr>
            <w:tcW w:w="13217" w:type="dxa"/>
            <w:shd w:val="clear" w:color="auto" w:fill="CFF0FC"/>
            <w:tcMar>
              <w:top w:w="15" w:type="dxa"/>
              <w:left w:w="0" w:type="dxa"/>
              <w:bottom w:w="0" w:type="dxa"/>
              <w:right w:w="15" w:type="dxa"/>
            </w:tcMar>
            <w:hideMark/>
          </w:tcPr>
          <w:p w14:paraId="21676F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Interest income</w:t>
            </w:r>
          </w:p>
        </w:tc>
        <w:tc>
          <w:tcPr>
            <w:tcW w:w="305" w:type="dxa"/>
            <w:shd w:val="clear" w:color="auto" w:fill="CFF0FC"/>
            <w:tcMar>
              <w:top w:w="15" w:type="dxa"/>
              <w:left w:w="0" w:type="dxa"/>
              <w:bottom w:w="0" w:type="dxa"/>
              <w:right w:w="15" w:type="dxa"/>
            </w:tcMar>
            <w:vAlign w:val="bottom"/>
            <w:hideMark/>
          </w:tcPr>
          <w:p w14:paraId="183A027E"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47E53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CFF0FC"/>
            <w:noWrap/>
            <w:tcMar>
              <w:top w:w="15" w:type="dxa"/>
              <w:left w:w="0" w:type="dxa"/>
              <w:bottom w:w="0" w:type="dxa"/>
              <w:right w:w="15" w:type="dxa"/>
            </w:tcMar>
            <w:vAlign w:val="bottom"/>
            <w:hideMark/>
          </w:tcPr>
          <w:p w14:paraId="7D56F48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0.7</w:t>
            </w:r>
          </w:p>
        </w:tc>
        <w:tc>
          <w:tcPr>
            <w:tcW w:w="150" w:type="dxa"/>
            <w:shd w:val="clear" w:color="auto" w:fill="CFF0FC"/>
            <w:noWrap/>
            <w:tcMar>
              <w:top w:w="15" w:type="dxa"/>
              <w:left w:w="0" w:type="dxa"/>
              <w:bottom w:w="0" w:type="dxa"/>
              <w:right w:w="15" w:type="dxa"/>
            </w:tcMar>
            <w:vAlign w:val="bottom"/>
            <w:hideMark/>
          </w:tcPr>
          <w:p w14:paraId="0BF099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8B30E55" w14:textId="77777777" w:rsidTr="00AC4931">
        <w:tc>
          <w:tcPr>
            <w:tcW w:w="13217" w:type="dxa"/>
            <w:shd w:val="clear" w:color="auto" w:fill="FFFFFF"/>
            <w:tcMar>
              <w:top w:w="15" w:type="dxa"/>
              <w:left w:w="0" w:type="dxa"/>
              <w:bottom w:w="0" w:type="dxa"/>
              <w:right w:w="15" w:type="dxa"/>
            </w:tcMar>
            <w:hideMark/>
          </w:tcPr>
          <w:p w14:paraId="1F2B75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Interest expense</w:t>
            </w:r>
          </w:p>
        </w:tc>
        <w:tc>
          <w:tcPr>
            <w:tcW w:w="305" w:type="dxa"/>
            <w:shd w:val="clear" w:color="auto" w:fill="FFFFFF"/>
            <w:tcMar>
              <w:top w:w="15" w:type="dxa"/>
              <w:left w:w="0" w:type="dxa"/>
              <w:bottom w:w="0" w:type="dxa"/>
              <w:right w:w="15" w:type="dxa"/>
            </w:tcMar>
            <w:vAlign w:val="bottom"/>
            <w:hideMark/>
          </w:tcPr>
          <w:p w14:paraId="61500CB4"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7042E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FFFFFF"/>
            <w:noWrap/>
            <w:tcMar>
              <w:top w:w="15" w:type="dxa"/>
              <w:left w:w="0" w:type="dxa"/>
              <w:bottom w:w="0" w:type="dxa"/>
              <w:right w:w="15" w:type="dxa"/>
            </w:tcMar>
            <w:vAlign w:val="bottom"/>
            <w:hideMark/>
          </w:tcPr>
          <w:p w14:paraId="56809D0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w:t>
            </w:r>
          </w:p>
        </w:tc>
        <w:tc>
          <w:tcPr>
            <w:tcW w:w="150" w:type="dxa"/>
            <w:shd w:val="clear" w:color="auto" w:fill="FFFFFF"/>
            <w:noWrap/>
            <w:tcMar>
              <w:top w:w="15" w:type="dxa"/>
              <w:left w:w="0" w:type="dxa"/>
              <w:bottom w:w="0" w:type="dxa"/>
              <w:right w:w="15" w:type="dxa"/>
            </w:tcMar>
            <w:vAlign w:val="bottom"/>
            <w:hideMark/>
          </w:tcPr>
          <w:p w14:paraId="1F144B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2FAD528" w14:textId="77777777" w:rsidTr="00AC4931">
        <w:tc>
          <w:tcPr>
            <w:tcW w:w="13217" w:type="dxa"/>
            <w:shd w:val="clear" w:color="auto" w:fill="CFF0FC"/>
            <w:tcMar>
              <w:top w:w="15" w:type="dxa"/>
              <w:left w:w="0" w:type="dxa"/>
              <w:bottom w:w="0" w:type="dxa"/>
              <w:right w:w="15" w:type="dxa"/>
            </w:tcMar>
            <w:hideMark/>
          </w:tcPr>
          <w:p w14:paraId="3839B7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non-operating items, net</w:t>
            </w:r>
          </w:p>
        </w:tc>
        <w:tc>
          <w:tcPr>
            <w:tcW w:w="305" w:type="dxa"/>
            <w:shd w:val="clear" w:color="auto" w:fill="CFF0FC"/>
            <w:tcMar>
              <w:top w:w="15" w:type="dxa"/>
              <w:left w:w="0" w:type="dxa"/>
              <w:bottom w:w="0" w:type="dxa"/>
              <w:right w:w="15" w:type="dxa"/>
            </w:tcMar>
            <w:vAlign w:val="bottom"/>
            <w:hideMark/>
          </w:tcPr>
          <w:p w14:paraId="19392E49"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41B153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tcBorders>
              <w:bottom w:val="single" w:sz="6" w:space="0" w:color="000000"/>
            </w:tcBorders>
            <w:shd w:val="clear" w:color="auto" w:fill="CFF0FC"/>
            <w:noWrap/>
            <w:tcMar>
              <w:top w:w="15" w:type="dxa"/>
              <w:left w:w="0" w:type="dxa"/>
              <w:bottom w:w="0" w:type="dxa"/>
              <w:right w:w="15" w:type="dxa"/>
            </w:tcMar>
            <w:vAlign w:val="bottom"/>
            <w:hideMark/>
          </w:tcPr>
          <w:p w14:paraId="4AED87C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w:t>
            </w:r>
          </w:p>
        </w:tc>
        <w:tc>
          <w:tcPr>
            <w:tcW w:w="150" w:type="dxa"/>
            <w:shd w:val="clear" w:color="auto" w:fill="CFF0FC"/>
            <w:noWrap/>
            <w:tcMar>
              <w:top w:w="15" w:type="dxa"/>
              <w:left w:w="0" w:type="dxa"/>
              <w:bottom w:w="0" w:type="dxa"/>
              <w:right w:w="15" w:type="dxa"/>
            </w:tcMar>
            <w:vAlign w:val="bottom"/>
            <w:hideMark/>
          </w:tcPr>
          <w:p w14:paraId="157EF7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ACFFBAE" w14:textId="77777777" w:rsidTr="00AC4931">
        <w:tc>
          <w:tcPr>
            <w:tcW w:w="13217" w:type="dxa"/>
            <w:shd w:val="clear" w:color="auto" w:fill="FFFFFF"/>
            <w:tcMar>
              <w:top w:w="15" w:type="dxa"/>
              <w:left w:w="0" w:type="dxa"/>
              <w:bottom w:w="0" w:type="dxa"/>
              <w:right w:w="15" w:type="dxa"/>
            </w:tcMar>
            <w:hideMark/>
          </w:tcPr>
          <w:p w14:paraId="2BD03BF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Loss before income taxes</w:t>
            </w:r>
          </w:p>
        </w:tc>
        <w:tc>
          <w:tcPr>
            <w:tcW w:w="305" w:type="dxa"/>
            <w:shd w:val="clear" w:color="auto" w:fill="FFFFFF"/>
            <w:tcMar>
              <w:top w:w="15" w:type="dxa"/>
              <w:left w:w="0" w:type="dxa"/>
              <w:bottom w:w="0" w:type="dxa"/>
              <w:right w:w="15" w:type="dxa"/>
            </w:tcMar>
            <w:vAlign w:val="bottom"/>
            <w:hideMark/>
          </w:tcPr>
          <w:p w14:paraId="6E9A5EA8"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332E35A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594" w:type="dxa"/>
            <w:tcBorders>
              <w:top w:val="single" w:sz="6" w:space="0" w:color="000000"/>
            </w:tcBorders>
            <w:shd w:val="clear" w:color="auto" w:fill="FFFFFF"/>
            <w:noWrap/>
            <w:tcMar>
              <w:top w:w="15" w:type="dxa"/>
              <w:left w:w="0" w:type="dxa"/>
              <w:bottom w:w="0" w:type="dxa"/>
              <w:right w:w="15" w:type="dxa"/>
            </w:tcMar>
            <w:vAlign w:val="bottom"/>
            <w:hideMark/>
          </w:tcPr>
          <w:p w14:paraId="0ECC898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(150.2</w:t>
            </w:r>
          </w:p>
        </w:tc>
        <w:tc>
          <w:tcPr>
            <w:tcW w:w="150" w:type="dxa"/>
            <w:shd w:val="clear" w:color="auto" w:fill="FFFFFF"/>
            <w:noWrap/>
            <w:tcMar>
              <w:top w:w="15" w:type="dxa"/>
              <w:left w:w="0" w:type="dxa"/>
              <w:bottom w:w="0" w:type="dxa"/>
              <w:right w:w="15" w:type="dxa"/>
            </w:tcMar>
            <w:vAlign w:val="bottom"/>
            <w:hideMark/>
          </w:tcPr>
          <w:p w14:paraId="57C5D02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38EA2921" w14:textId="77777777" w:rsidTr="00AC4931">
        <w:tc>
          <w:tcPr>
            <w:tcW w:w="13217" w:type="dxa"/>
            <w:shd w:val="clear" w:color="auto" w:fill="CFF0FC"/>
            <w:tcMar>
              <w:top w:w="15" w:type="dxa"/>
              <w:left w:w="0" w:type="dxa"/>
              <w:bottom w:w="0" w:type="dxa"/>
              <w:right w:w="15" w:type="dxa"/>
            </w:tcMar>
            <w:hideMark/>
          </w:tcPr>
          <w:p w14:paraId="77F717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tax (expense) benefit</w:t>
            </w:r>
          </w:p>
        </w:tc>
        <w:tc>
          <w:tcPr>
            <w:tcW w:w="305" w:type="dxa"/>
            <w:shd w:val="clear" w:color="auto" w:fill="CFF0FC"/>
            <w:tcMar>
              <w:top w:w="15" w:type="dxa"/>
              <w:left w:w="0" w:type="dxa"/>
              <w:bottom w:w="0" w:type="dxa"/>
              <w:right w:w="15" w:type="dxa"/>
            </w:tcMar>
            <w:vAlign w:val="bottom"/>
            <w:hideMark/>
          </w:tcPr>
          <w:p w14:paraId="5D5DD78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74216C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tcBorders>
              <w:bottom w:val="single" w:sz="6" w:space="0" w:color="000000"/>
            </w:tcBorders>
            <w:shd w:val="clear" w:color="auto" w:fill="CFF0FC"/>
            <w:noWrap/>
            <w:tcMar>
              <w:top w:w="15" w:type="dxa"/>
              <w:left w:w="0" w:type="dxa"/>
              <w:bottom w:w="0" w:type="dxa"/>
              <w:right w:w="15" w:type="dxa"/>
            </w:tcMar>
            <w:vAlign w:val="bottom"/>
            <w:hideMark/>
          </w:tcPr>
          <w:p w14:paraId="413F949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(43.6</w:t>
            </w:r>
          </w:p>
        </w:tc>
        <w:tc>
          <w:tcPr>
            <w:tcW w:w="150" w:type="dxa"/>
            <w:shd w:val="clear" w:color="auto" w:fill="CFF0FC"/>
            <w:noWrap/>
            <w:tcMar>
              <w:top w:w="15" w:type="dxa"/>
              <w:left w:w="0" w:type="dxa"/>
              <w:bottom w:w="0" w:type="dxa"/>
              <w:right w:w="15" w:type="dxa"/>
            </w:tcMar>
            <w:vAlign w:val="bottom"/>
            <w:hideMark/>
          </w:tcPr>
          <w:p w14:paraId="3F3395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931E429" w14:textId="77777777" w:rsidTr="00AC4931">
        <w:tc>
          <w:tcPr>
            <w:tcW w:w="13217" w:type="dxa"/>
            <w:shd w:val="clear" w:color="auto" w:fill="FFFFFF"/>
            <w:tcMar>
              <w:top w:w="15" w:type="dxa"/>
              <w:left w:w="0" w:type="dxa"/>
              <w:bottom w:w="0" w:type="dxa"/>
              <w:right w:w="15" w:type="dxa"/>
            </w:tcMar>
            <w:hideMark/>
          </w:tcPr>
          <w:p w14:paraId="0A38B82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Loss from discontinued operations, net of</w:t>
            </w:r>
          </w:p>
          <w:p w14:paraId="3CFE3A0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income taxes</w:t>
            </w:r>
          </w:p>
        </w:tc>
        <w:tc>
          <w:tcPr>
            <w:tcW w:w="305" w:type="dxa"/>
            <w:shd w:val="clear" w:color="auto" w:fill="FFFFFF"/>
            <w:tcMar>
              <w:top w:w="15" w:type="dxa"/>
              <w:left w:w="0" w:type="dxa"/>
              <w:bottom w:w="0" w:type="dxa"/>
              <w:right w:w="15" w:type="dxa"/>
            </w:tcMar>
            <w:vAlign w:val="bottom"/>
            <w:hideMark/>
          </w:tcPr>
          <w:p w14:paraId="0004709E"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4561039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594" w:type="dxa"/>
            <w:tcBorders>
              <w:top w:val="single" w:sz="6" w:space="0" w:color="000000"/>
            </w:tcBorders>
            <w:shd w:val="clear" w:color="auto" w:fill="FFFFFF"/>
            <w:noWrap/>
            <w:tcMar>
              <w:top w:w="15" w:type="dxa"/>
              <w:left w:w="0" w:type="dxa"/>
              <w:bottom w:w="0" w:type="dxa"/>
              <w:right w:w="15" w:type="dxa"/>
            </w:tcMar>
            <w:vAlign w:val="bottom"/>
            <w:hideMark/>
          </w:tcPr>
          <w:p w14:paraId="35D469F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(193.8</w:t>
            </w:r>
          </w:p>
        </w:tc>
        <w:tc>
          <w:tcPr>
            <w:tcW w:w="150" w:type="dxa"/>
            <w:shd w:val="clear" w:color="auto" w:fill="FFFFFF"/>
            <w:noWrap/>
            <w:tcMar>
              <w:top w:w="15" w:type="dxa"/>
              <w:left w:w="0" w:type="dxa"/>
              <w:bottom w:w="0" w:type="dxa"/>
              <w:right w:w="15" w:type="dxa"/>
            </w:tcMar>
            <w:vAlign w:val="bottom"/>
            <w:hideMark/>
          </w:tcPr>
          <w:p w14:paraId="30F103F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6C1CC915" w14:textId="77777777" w:rsidTr="00AC4931">
        <w:tc>
          <w:tcPr>
            <w:tcW w:w="13217" w:type="dxa"/>
            <w:shd w:val="clear" w:color="auto" w:fill="CFF0FC"/>
            <w:tcMar>
              <w:top w:w="15" w:type="dxa"/>
              <w:left w:w="0" w:type="dxa"/>
              <w:bottom w:w="0" w:type="dxa"/>
              <w:right w:w="15" w:type="dxa"/>
            </w:tcMar>
            <w:hideMark/>
          </w:tcPr>
          <w:p w14:paraId="7A0AD3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Less: Net loss attributable to non-controlling interest</w:t>
            </w:r>
          </w:p>
        </w:tc>
        <w:tc>
          <w:tcPr>
            <w:tcW w:w="305" w:type="dxa"/>
            <w:shd w:val="clear" w:color="auto" w:fill="CFF0FC"/>
            <w:tcMar>
              <w:top w:w="15" w:type="dxa"/>
              <w:left w:w="0" w:type="dxa"/>
              <w:bottom w:w="0" w:type="dxa"/>
              <w:right w:w="15" w:type="dxa"/>
            </w:tcMar>
            <w:vAlign w:val="bottom"/>
            <w:hideMark/>
          </w:tcPr>
          <w:p w14:paraId="0C4EC774"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454676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tcBorders>
              <w:bottom w:val="single" w:sz="6" w:space="0" w:color="000000"/>
            </w:tcBorders>
            <w:shd w:val="clear" w:color="auto" w:fill="CFF0FC"/>
            <w:noWrap/>
            <w:tcMar>
              <w:top w:w="15" w:type="dxa"/>
              <w:left w:w="0" w:type="dxa"/>
              <w:bottom w:w="0" w:type="dxa"/>
              <w:right w:w="15" w:type="dxa"/>
            </w:tcMar>
            <w:vAlign w:val="bottom"/>
            <w:hideMark/>
          </w:tcPr>
          <w:p w14:paraId="3B3139D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(8.3</w:t>
            </w:r>
          </w:p>
        </w:tc>
        <w:tc>
          <w:tcPr>
            <w:tcW w:w="150" w:type="dxa"/>
            <w:shd w:val="clear" w:color="auto" w:fill="CFF0FC"/>
            <w:noWrap/>
            <w:tcMar>
              <w:top w:w="15" w:type="dxa"/>
              <w:left w:w="0" w:type="dxa"/>
              <w:bottom w:w="0" w:type="dxa"/>
              <w:right w:w="15" w:type="dxa"/>
            </w:tcMar>
            <w:vAlign w:val="bottom"/>
            <w:hideMark/>
          </w:tcPr>
          <w:p w14:paraId="6A842F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09705E4" w14:textId="77777777" w:rsidTr="00AC4931">
        <w:tc>
          <w:tcPr>
            <w:tcW w:w="13217" w:type="dxa"/>
            <w:shd w:val="clear" w:color="auto" w:fill="FFFFFF"/>
            <w:tcMar>
              <w:top w:w="15" w:type="dxa"/>
              <w:left w:w="0" w:type="dxa"/>
              <w:bottom w:w="0" w:type="dxa"/>
              <w:right w:w="15" w:type="dxa"/>
            </w:tcMar>
            <w:hideMark/>
          </w:tcPr>
          <w:p w14:paraId="275B0BF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loss from discontinued operations</w:t>
            </w:r>
          </w:p>
        </w:tc>
        <w:tc>
          <w:tcPr>
            <w:tcW w:w="305" w:type="dxa"/>
            <w:shd w:val="clear" w:color="auto" w:fill="FFFFFF"/>
            <w:tcMar>
              <w:top w:w="15" w:type="dxa"/>
              <w:left w:w="0" w:type="dxa"/>
              <w:bottom w:w="0" w:type="dxa"/>
              <w:right w:w="15" w:type="dxa"/>
            </w:tcMar>
            <w:vAlign w:val="bottom"/>
            <w:hideMark/>
          </w:tcPr>
          <w:p w14:paraId="6AE6B468"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2FA3E40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594" w:type="dxa"/>
            <w:tcBorders>
              <w:top w:val="single" w:sz="6" w:space="0" w:color="000000"/>
            </w:tcBorders>
            <w:shd w:val="clear" w:color="auto" w:fill="FFFFFF"/>
            <w:noWrap/>
            <w:tcMar>
              <w:top w:w="15" w:type="dxa"/>
              <w:left w:w="0" w:type="dxa"/>
              <w:bottom w:w="0" w:type="dxa"/>
              <w:right w:w="15" w:type="dxa"/>
            </w:tcMar>
            <w:vAlign w:val="bottom"/>
            <w:hideMark/>
          </w:tcPr>
          <w:p w14:paraId="3D6FD04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(185.5</w:t>
            </w:r>
          </w:p>
        </w:tc>
        <w:tc>
          <w:tcPr>
            <w:tcW w:w="150" w:type="dxa"/>
            <w:shd w:val="clear" w:color="auto" w:fill="FFFFFF"/>
            <w:noWrap/>
            <w:tcMar>
              <w:top w:w="15" w:type="dxa"/>
              <w:left w:w="0" w:type="dxa"/>
              <w:bottom w:w="0" w:type="dxa"/>
              <w:right w:w="15" w:type="dxa"/>
            </w:tcMar>
            <w:vAlign w:val="bottom"/>
            <w:hideMark/>
          </w:tcPr>
          <w:p w14:paraId="05956D8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bl>
    <w:p w14:paraId="4CC9EAB9"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793E8E73"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Company incurred $76.3 million in separation costs related to the spin-off of Veoneer for 2018 and was reported in Other income (expense), net. </w:t>
      </w:r>
      <w:r w:rsidRPr="00AC4931">
        <w:rPr>
          <w:rFonts w:ascii="Arial" w:eastAsia="宋体" w:hAnsi="Arial" w:cs="Arial"/>
          <w:color w:val="000000"/>
          <w:kern w:val="0"/>
          <w:sz w:val="18"/>
          <w:szCs w:val="18"/>
        </w:rPr>
        <w:t>These costs are primarily related to professional fees associated with planning the spin-off, as well as spin-off activities within finance, tax, legal and information system functions and certain investment banking fees incurred upon the completion of the spin-off.</w:t>
      </w:r>
    </w:p>
    <w:p w14:paraId="6FEBCA69"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43C10911" w14:textId="77777777" w:rsidR="00AC4931" w:rsidRPr="00AC4931" w:rsidRDefault="00AC4931" w:rsidP="00AC4931">
      <w:pPr>
        <w:widowControl/>
        <w:spacing w:before="160"/>
        <w:rPr>
          <w:rFonts w:ascii="Arial" w:eastAsia="宋体" w:hAnsi="Arial" w:cs="Arial"/>
          <w:i/>
          <w:iCs/>
          <w:kern w:val="0"/>
          <w:sz w:val="18"/>
          <w:szCs w:val="18"/>
        </w:rPr>
      </w:pPr>
      <w:r w:rsidRPr="00AC4931">
        <w:rPr>
          <w:rFonts w:ascii="Arial" w:eastAsia="宋体" w:hAnsi="Arial" w:cs="Arial"/>
          <w:i/>
          <w:iCs/>
          <w:kern w:val="0"/>
          <w:sz w:val="18"/>
          <w:szCs w:val="18"/>
        </w:rPr>
        <w:t>Veoneer Capital Contribution</w:t>
      </w:r>
    </w:p>
    <w:p w14:paraId="5F85B2CE"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In connection with the spin-off, Autoliv capitalized Veoneer with approximately $1 billion of cash. Net assets of $2,129 million were transferred to Veoneer on or prior to the Distribution Date, including $13 million of accumulated other comprehensive loss (primarily related to pension and cumulative translation adjustment) and the non-controlling interest of $112 million. This resulted in a $2,030 million reduction to retained earnings.</w:t>
      </w:r>
      <w:r w:rsidRPr="00AC4931">
        <w:rPr>
          <w:rFonts w:ascii="Arial" w:eastAsia="宋体" w:hAnsi="Arial" w:cs="Arial"/>
          <w:color w:val="FF0000"/>
          <w:kern w:val="0"/>
          <w:sz w:val="18"/>
          <w:szCs w:val="18"/>
        </w:rPr>
        <w:t> </w:t>
      </w:r>
      <w:r w:rsidRPr="00AC4931">
        <w:rPr>
          <w:rFonts w:ascii="Arial" w:eastAsia="宋体" w:hAnsi="Arial" w:cs="Arial"/>
          <w:kern w:val="0"/>
          <w:sz w:val="18"/>
          <w:szCs w:val="18"/>
        </w:rPr>
        <w:t>In the second half of 2018, an adjustment to the cash contribution amount of $5 million was made reducing the net assets contributed to Veoneer to $2,123 million. In the second quarter of 2019, an adjustment of $0.2 million was made to true-up the $2.5 million contribution made to Veoneer as an adjustment of deferred tax assets related to Veoneer.</w:t>
      </w:r>
    </w:p>
    <w:p w14:paraId="27297CAD"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following table presents depreciation, amortization, capital expenditures, acquisition of businesses and significant non-cash items of the discontinued operations related to Veoneer for the year 2018 (dollars in millions).</w:t>
      </w:r>
    </w:p>
    <w:p w14:paraId="7DA0CBA4"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3253"/>
        <w:gridCol w:w="306"/>
        <w:gridCol w:w="158"/>
        <w:gridCol w:w="2616"/>
        <w:gridCol w:w="158"/>
      </w:tblGrid>
      <w:tr w:rsidR="00AC4931" w:rsidRPr="00AC4931" w14:paraId="1F880CEB" w14:textId="77777777" w:rsidTr="00AC4931">
        <w:tc>
          <w:tcPr>
            <w:tcW w:w="13217" w:type="dxa"/>
            <w:shd w:val="clear" w:color="auto" w:fill="FFFFFF"/>
            <w:tcMar>
              <w:top w:w="15" w:type="dxa"/>
              <w:left w:w="0" w:type="dxa"/>
              <w:bottom w:w="0" w:type="dxa"/>
              <w:right w:w="15" w:type="dxa"/>
            </w:tcMar>
            <w:vAlign w:val="bottom"/>
            <w:hideMark/>
          </w:tcPr>
          <w:p w14:paraId="1CB147C5"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305" w:type="dxa"/>
            <w:shd w:val="clear" w:color="auto" w:fill="FFFFFF"/>
            <w:tcMar>
              <w:top w:w="15" w:type="dxa"/>
              <w:left w:w="0" w:type="dxa"/>
              <w:bottom w:w="0" w:type="dxa"/>
              <w:right w:w="15" w:type="dxa"/>
            </w:tcMar>
            <w:vAlign w:val="bottom"/>
            <w:hideMark/>
          </w:tcPr>
          <w:p w14:paraId="581B075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759" w:type="dxa"/>
            <w:gridSpan w:val="2"/>
            <w:tcBorders>
              <w:bottom w:val="single" w:sz="6" w:space="0" w:color="000000"/>
            </w:tcBorders>
            <w:shd w:val="clear" w:color="auto" w:fill="FFFFFF"/>
            <w:tcMar>
              <w:top w:w="15" w:type="dxa"/>
              <w:left w:w="0" w:type="dxa"/>
              <w:bottom w:w="0" w:type="dxa"/>
              <w:right w:w="15" w:type="dxa"/>
            </w:tcMar>
            <w:vAlign w:val="bottom"/>
            <w:hideMark/>
          </w:tcPr>
          <w:p w14:paraId="1FF565F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Years ended</w:t>
            </w:r>
          </w:p>
          <w:p w14:paraId="24560BB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 2018</w:t>
            </w:r>
          </w:p>
        </w:tc>
        <w:tc>
          <w:tcPr>
            <w:tcW w:w="150" w:type="dxa"/>
            <w:shd w:val="clear" w:color="auto" w:fill="FFFFFF"/>
            <w:noWrap/>
            <w:tcMar>
              <w:top w:w="15" w:type="dxa"/>
              <w:left w:w="0" w:type="dxa"/>
              <w:bottom w:w="0" w:type="dxa"/>
              <w:right w:w="15" w:type="dxa"/>
            </w:tcMar>
            <w:vAlign w:val="bottom"/>
            <w:hideMark/>
          </w:tcPr>
          <w:p w14:paraId="140BB0B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4E9B09F" w14:textId="77777777" w:rsidTr="00AC4931">
        <w:tc>
          <w:tcPr>
            <w:tcW w:w="13217" w:type="dxa"/>
            <w:shd w:val="clear" w:color="auto" w:fill="FFFFFF"/>
            <w:tcMar>
              <w:top w:w="15" w:type="dxa"/>
              <w:left w:w="0" w:type="dxa"/>
              <w:bottom w:w="0" w:type="dxa"/>
              <w:right w:w="15" w:type="dxa"/>
            </w:tcMar>
            <w:hideMark/>
          </w:tcPr>
          <w:p w14:paraId="416447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Depreciation</w:t>
            </w:r>
          </w:p>
        </w:tc>
        <w:tc>
          <w:tcPr>
            <w:tcW w:w="305" w:type="dxa"/>
            <w:shd w:val="clear" w:color="auto" w:fill="FFFFFF"/>
            <w:tcMar>
              <w:top w:w="15" w:type="dxa"/>
              <w:left w:w="0" w:type="dxa"/>
              <w:bottom w:w="0" w:type="dxa"/>
              <w:right w:w="15" w:type="dxa"/>
            </w:tcMar>
            <w:vAlign w:val="bottom"/>
            <w:hideMark/>
          </w:tcPr>
          <w:p w14:paraId="3F07641E"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19989F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594" w:type="dxa"/>
            <w:tcBorders>
              <w:top w:val="single" w:sz="6" w:space="0" w:color="000000"/>
            </w:tcBorders>
            <w:shd w:val="clear" w:color="auto" w:fill="FFFFFF"/>
            <w:noWrap/>
            <w:tcMar>
              <w:top w:w="15" w:type="dxa"/>
              <w:left w:w="0" w:type="dxa"/>
              <w:bottom w:w="0" w:type="dxa"/>
              <w:right w:w="15" w:type="dxa"/>
            </w:tcMar>
            <w:vAlign w:val="bottom"/>
            <w:hideMark/>
          </w:tcPr>
          <w:p w14:paraId="0F3C167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44.8</w:t>
            </w:r>
          </w:p>
        </w:tc>
        <w:tc>
          <w:tcPr>
            <w:tcW w:w="150" w:type="dxa"/>
            <w:shd w:val="clear" w:color="auto" w:fill="FFFFFF"/>
            <w:noWrap/>
            <w:tcMar>
              <w:top w:w="15" w:type="dxa"/>
              <w:left w:w="0" w:type="dxa"/>
              <w:bottom w:w="0" w:type="dxa"/>
              <w:right w:w="15" w:type="dxa"/>
            </w:tcMar>
            <w:vAlign w:val="bottom"/>
            <w:hideMark/>
          </w:tcPr>
          <w:p w14:paraId="0F35FA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F484FAA" w14:textId="77777777" w:rsidTr="00AC4931">
        <w:tc>
          <w:tcPr>
            <w:tcW w:w="13217" w:type="dxa"/>
            <w:shd w:val="clear" w:color="auto" w:fill="CFF0FC"/>
            <w:tcMar>
              <w:top w:w="15" w:type="dxa"/>
              <w:left w:w="0" w:type="dxa"/>
              <w:bottom w:w="0" w:type="dxa"/>
              <w:right w:w="15" w:type="dxa"/>
            </w:tcMar>
            <w:hideMark/>
          </w:tcPr>
          <w:p w14:paraId="342983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Amortization of intangible assets</w:t>
            </w:r>
          </w:p>
        </w:tc>
        <w:tc>
          <w:tcPr>
            <w:tcW w:w="305" w:type="dxa"/>
            <w:shd w:val="clear" w:color="auto" w:fill="CFF0FC"/>
            <w:tcMar>
              <w:top w:w="15" w:type="dxa"/>
              <w:left w:w="0" w:type="dxa"/>
              <w:bottom w:w="0" w:type="dxa"/>
              <w:right w:w="15" w:type="dxa"/>
            </w:tcMar>
            <w:vAlign w:val="bottom"/>
            <w:hideMark/>
          </w:tcPr>
          <w:p w14:paraId="37B5FAFA"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B6A1C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CFF0FC"/>
            <w:noWrap/>
            <w:tcMar>
              <w:top w:w="15" w:type="dxa"/>
              <w:left w:w="0" w:type="dxa"/>
              <w:bottom w:w="0" w:type="dxa"/>
              <w:right w:w="15" w:type="dxa"/>
            </w:tcMar>
            <w:vAlign w:val="bottom"/>
            <w:hideMark/>
          </w:tcPr>
          <w:p w14:paraId="10CC2A1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10.5</w:t>
            </w:r>
          </w:p>
        </w:tc>
        <w:tc>
          <w:tcPr>
            <w:tcW w:w="150" w:type="dxa"/>
            <w:shd w:val="clear" w:color="auto" w:fill="CFF0FC"/>
            <w:noWrap/>
            <w:tcMar>
              <w:top w:w="15" w:type="dxa"/>
              <w:left w:w="0" w:type="dxa"/>
              <w:bottom w:w="0" w:type="dxa"/>
              <w:right w:w="15" w:type="dxa"/>
            </w:tcMar>
            <w:vAlign w:val="bottom"/>
            <w:hideMark/>
          </w:tcPr>
          <w:p w14:paraId="03765F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7CF6387" w14:textId="77777777" w:rsidTr="00AC4931">
        <w:tc>
          <w:tcPr>
            <w:tcW w:w="13217" w:type="dxa"/>
            <w:shd w:val="clear" w:color="auto" w:fill="FFFFFF"/>
            <w:tcMar>
              <w:top w:w="15" w:type="dxa"/>
              <w:left w:w="0" w:type="dxa"/>
              <w:bottom w:w="0" w:type="dxa"/>
              <w:right w:w="15" w:type="dxa"/>
            </w:tcMar>
            <w:hideMark/>
          </w:tcPr>
          <w:p w14:paraId="442517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Capital expenditures</w:t>
            </w:r>
          </w:p>
        </w:tc>
        <w:tc>
          <w:tcPr>
            <w:tcW w:w="305" w:type="dxa"/>
            <w:shd w:val="clear" w:color="auto" w:fill="FFFFFF"/>
            <w:tcMar>
              <w:top w:w="15" w:type="dxa"/>
              <w:left w:w="0" w:type="dxa"/>
              <w:bottom w:w="0" w:type="dxa"/>
              <w:right w:w="15" w:type="dxa"/>
            </w:tcMar>
            <w:vAlign w:val="bottom"/>
            <w:hideMark/>
          </w:tcPr>
          <w:p w14:paraId="5DFBF090"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548AD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FFFFFF"/>
            <w:noWrap/>
            <w:tcMar>
              <w:top w:w="15" w:type="dxa"/>
              <w:left w:w="0" w:type="dxa"/>
              <w:bottom w:w="0" w:type="dxa"/>
              <w:right w:w="15" w:type="dxa"/>
            </w:tcMar>
            <w:vAlign w:val="bottom"/>
            <w:hideMark/>
          </w:tcPr>
          <w:p w14:paraId="702F959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71.1</w:t>
            </w:r>
          </w:p>
        </w:tc>
        <w:tc>
          <w:tcPr>
            <w:tcW w:w="150" w:type="dxa"/>
            <w:shd w:val="clear" w:color="auto" w:fill="FFFFFF"/>
            <w:noWrap/>
            <w:tcMar>
              <w:top w:w="15" w:type="dxa"/>
              <w:left w:w="0" w:type="dxa"/>
              <w:bottom w:w="0" w:type="dxa"/>
              <w:right w:w="15" w:type="dxa"/>
            </w:tcMar>
            <w:vAlign w:val="bottom"/>
            <w:hideMark/>
          </w:tcPr>
          <w:p w14:paraId="6C8A7C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0191D22" w14:textId="77777777" w:rsidTr="00AC4931">
        <w:tc>
          <w:tcPr>
            <w:tcW w:w="13217" w:type="dxa"/>
            <w:shd w:val="clear" w:color="auto" w:fill="CFF0FC"/>
            <w:tcMar>
              <w:top w:w="15" w:type="dxa"/>
              <w:left w:w="0" w:type="dxa"/>
              <w:bottom w:w="0" w:type="dxa"/>
              <w:right w:w="15" w:type="dxa"/>
            </w:tcMar>
            <w:hideMark/>
          </w:tcPr>
          <w:p w14:paraId="0A29E5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Acquisition in affiliate, net</w:t>
            </w:r>
          </w:p>
        </w:tc>
        <w:tc>
          <w:tcPr>
            <w:tcW w:w="305" w:type="dxa"/>
            <w:shd w:val="clear" w:color="auto" w:fill="CFF0FC"/>
            <w:tcMar>
              <w:top w:w="15" w:type="dxa"/>
              <w:left w:w="0" w:type="dxa"/>
              <w:bottom w:w="0" w:type="dxa"/>
              <w:right w:w="15" w:type="dxa"/>
            </w:tcMar>
            <w:vAlign w:val="bottom"/>
            <w:hideMark/>
          </w:tcPr>
          <w:p w14:paraId="0456F0FE"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667F3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CFF0FC"/>
            <w:noWrap/>
            <w:tcMar>
              <w:top w:w="15" w:type="dxa"/>
              <w:left w:w="0" w:type="dxa"/>
              <w:bottom w:w="0" w:type="dxa"/>
              <w:right w:w="15" w:type="dxa"/>
            </w:tcMar>
            <w:vAlign w:val="bottom"/>
            <w:hideMark/>
          </w:tcPr>
          <w:p w14:paraId="2CED9F3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71.0</w:t>
            </w:r>
          </w:p>
        </w:tc>
        <w:tc>
          <w:tcPr>
            <w:tcW w:w="150" w:type="dxa"/>
            <w:shd w:val="clear" w:color="auto" w:fill="CFF0FC"/>
            <w:noWrap/>
            <w:tcMar>
              <w:top w:w="15" w:type="dxa"/>
              <w:left w:w="0" w:type="dxa"/>
              <w:bottom w:w="0" w:type="dxa"/>
              <w:right w:w="15" w:type="dxa"/>
            </w:tcMar>
            <w:vAlign w:val="bottom"/>
            <w:hideMark/>
          </w:tcPr>
          <w:p w14:paraId="330133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9B38E94" w14:textId="77777777" w:rsidTr="00AC4931">
        <w:tc>
          <w:tcPr>
            <w:tcW w:w="13217" w:type="dxa"/>
            <w:shd w:val="clear" w:color="auto" w:fill="FFFFFF"/>
            <w:tcMar>
              <w:top w:w="15" w:type="dxa"/>
              <w:left w:w="0" w:type="dxa"/>
              <w:bottom w:w="0" w:type="dxa"/>
              <w:right w:w="15" w:type="dxa"/>
            </w:tcMar>
            <w:hideMark/>
          </w:tcPr>
          <w:p w14:paraId="6E7F82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M/A-COM earn-out adjustment</w:t>
            </w:r>
          </w:p>
        </w:tc>
        <w:tc>
          <w:tcPr>
            <w:tcW w:w="305" w:type="dxa"/>
            <w:shd w:val="clear" w:color="auto" w:fill="FFFFFF"/>
            <w:tcMar>
              <w:top w:w="15" w:type="dxa"/>
              <w:left w:w="0" w:type="dxa"/>
              <w:bottom w:w="0" w:type="dxa"/>
              <w:right w:w="15" w:type="dxa"/>
            </w:tcMar>
            <w:vAlign w:val="bottom"/>
            <w:hideMark/>
          </w:tcPr>
          <w:p w14:paraId="2CB40C51"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24955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FFFFFF"/>
            <w:noWrap/>
            <w:tcMar>
              <w:top w:w="15" w:type="dxa"/>
              <w:left w:w="0" w:type="dxa"/>
              <w:bottom w:w="0" w:type="dxa"/>
              <w:right w:w="15" w:type="dxa"/>
            </w:tcMar>
            <w:vAlign w:val="bottom"/>
            <w:hideMark/>
          </w:tcPr>
          <w:p w14:paraId="22515E9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(14.0</w:t>
            </w:r>
          </w:p>
        </w:tc>
        <w:tc>
          <w:tcPr>
            <w:tcW w:w="150" w:type="dxa"/>
            <w:shd w:val="clear" w:color="auto" w:fill="FFFFFF"/>
            <w:noWrap/>
            <w:tcMar>
              <w:top w:w="15" w:type="dxa"/>
              <w:left w:w="0" w:type="dxa"/>
              <w:bottom w:w="0" w:type="dxa"/>
              <w:right w:w="15" w:type="dxa"/>
            </w:tcMar>
            <w:vAlign w:val="bottom"/>
            <w:hideMark/>
          </w:tcPr>
          <w:p w14:paraId="26A7AD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DC69042" w14:textId="77777777" w:rsidTr="00AC4931">
        <w:tc>
          <w:tcPr>
            <w:tcW w:w="13217" w:type="dxa"/>
            <w:shd w:val="clear" w:color="auto" w:fill="CFF0FC"/>
            <w:tcMar>
              <w:top w:w="15" w:type="dxa"/>
              <w:left w:w="0" w:type="dxa"/>
              <w:bottom w:w="0" w:type="dxa"/>
              <w:right w:w="15" w:type="dxa"/>
            </w:tcMar>
            <w:hideMark/>
          </w:tcPr>
          <w:p w14:paraId="48716E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Undistributed loss from equity method investment</w:t>
            </w:r>
          </w:p>
        </w:tc>
        <w:tc>
          <w:tcPr>
            <w:tcW w:w="305" w:type="dxa"/>
            <w:shd w:val="clear" w:color="auto" w:fill="CFF0FC"/>
            <w:tcMar>
              <w:top w:w="15" w:type="dxa"/>
              <w:left w:w="0" w:type="dxa"/>
              <w:bottom w:w="0" w:type="dxa"/>
              <w:right w:w="15" w:type="dxa"/>
            </w:tcMar>
            <w:vAlign w:val="bottom"/>
            <w:hideMark/>
          </w:tcPr>
          <w:p w14:paraId="42AAE63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14DF7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594" w:type="dxa"/>
            <w:shd w:val="clear" w:color="auto" w:fill="CFF0FC"/>
            <w:noWrap/>
            <w:tcMar>
              <w:top w:w="15" w:type="dxa"/>
              <w:left w:w="0" w:type="dxa"/>
              <w:bottom w:w="0" w:type="dxa"/>
              <w:right w:w="15" w:type="dxa"/>
            </w:tcMar>
            <w:vAlign w:val="bottom"/>
            <w:hideMark/>
          </w:tcPr>
          <w:p w14:paraId="1712A84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29.9</w:t>
            </w:r>
          </w:p>
        </w:tc>
        <w:tc>
          <w:tcPr>
            <w:tcW w:w="150" w:type="dxa"/>
            <w:shd w:val="clear" w:color="auto" w:fill="CFF0FC"/>
            <w:noWrap/>
            <w:tcMar>
              <w:top w:w="15" w:type="dxa"/>
              <w:left w:w="0" w:type="dxa"/>
              <w:bottom w:w="0" w:type="dxa"/>
              <w:right w:w="15" w:type="dxa"/>
            </w:tcMar>
            <w:vAlign w:val="bottom"/>
            <w:hideMark/>
          </w:tcPr>
          <w:p w14:paraId="41CF0383"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0598FB63" w14:textId="77777777" w:rsidR="00AC4931" w:rsidRPr="00AC4931" w:rsidRDefault="00AC4931" w:rsidP="00AC4931">
      <w:pPr>
        <w:widowControl/>
        <w:rPr>
          <w:rFonts w:ascii="Times New Roman" w:eastAsia="宋体" w:hAnsi="Times New Roman" w:cs="Times New Roman"/>
          <w:kern w:val="0"/>
          <w:sz w:val="24"/>
          <w:szCs w:val="24"/>
        </w:rPr>
      </w:pPr>
      <w:r w:rsidRPr="00AC4931">
        <w:rPr>
          <w:rFonts w:ascii="Times New Roman" w:eastAsia="宋体" w:hAnsi="Times New Roman" w:cs="Times New Roman"/>
          <w:kern w:val="0"/>
          <w:sz w:val="24"/>
          <w:szCs w:val="24"/>
        </w:rPr>
        <w:t> </w:t>
      </w:r>
    </w:p>
    <w:p w14:paraId="58F0BC69" w14:textId="77777777" w:rsidR="00AC4931" w:rsidRPr="00AC4931" w:rsidRDefault="00AC4931" w:rsidP="00AC4931">
      <w:pPr>
        <w:widowControl/>
        <w:jc w:val="left"/>
        <w:rPr>
          <w:rFonts w:ascii="微软雅黑" w:eastAsia="微软雅黑" w:hAnsi="微软雅黑" w:cs="宋体"/>
          <w:b/>
          <w:bCs/>
          <w:color w:val="000000"/>
          <w:kern w:val="0"/>
          <w:sz w:val="12"/>
          <w:szCs w:val="12"/>
        </w:rPr>
      </w:pPr>
      <w:r w:rsidRPr="00AC4931">
        <w:rPr>
          <w:rFonts w:ascii="微软雅黑" w:eastAsia="微软雅黑" w:hAnsi="微软雅黑" w:cs="宋体" w:hint="eastAsia"/>
          <w:b/>
          <w:bCs/>
          <w:color w:val="000000"/>
          <w:kern w:val="0"/>
          <w:sz w:val="12"/>
          <w:szCs w:val="12"/>
        </w:rPr>
        <w:t> </w:t>
      </w:r>
    </w:p>
    <w:p w14:paraId="2678F1DF" w14:textId="77777777" w:rsidR="00AC4931" w:rsidRPr="00AC4931" w:rsidRDefault="00AC4931" w:rsidP="00AC4931">
      <w:pPr>
        <w:widowControl/>
        <w:jc w:val="left"/>
        <w:rPr>
          <w:rFonts w:ascii="Arial" w:eastAsia="宋体" w:hAnsi="Arial" w:cs="Arial" w:hint="eastAsia"/>
          <w:b/>
          <w:bCs/>
          <w:color w:val="000000"/>
          <w:kern w:val="0"/>
          <w:sz w:val="12"/>
          <w:szCs w:val="12"/>
        </w:rPr>
      </w:pPr>
    </w:p>
    <w:p w14:paraId="08E3B6CE"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66</w:t>
      </w:r>
    </w:p>
    <w:p w14:paraId="22E8B88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4FCF082"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6A38BA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B31A377"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83C9A5E">
          <v:rect id="_x0000_i1093" style="width:0;height:1.5pt" o:hralign="center" o:hrstd="t" o:hrnoshade="t" o:hr="t" fillcolor="black" stroked="f"/>
        </w:pict>
      </w:r>
    </w:p>
    <w:p w14:paraId="4A58FA99"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292AEC6"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047D10C"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E2BA183" w14:textId="77777777" w:rsidR="00AC4931" w:rsidRPr="00AC4931" w:rsidRDefault="00AC4931" w:rsidP="00AC4931">
      <w:pPr>
        <w:widowControl/>
        <w:jc w:val="left"/>
        <w:rPr>
          <w:rFonts w:ascii="宋体" w:eastAsia="宋体" w:hAnsi="宋体" w:cs="宋体" w:hint="eastAsia"/>
          <w:kern w:val="0"/>
          <w:sz w:val="5"/>
          <w:szCs w:val="5"/>
        </w:rPr>
      </w:pPr>
      <w:r w:rsidRPr="00AC4931">
        <w:rPr>
          <w:rFonts w:ascii="宋体" w:eastAsia="宋体" w:hAnsi="宋体" w:cs="宋体"/>
          <w:kern w:val="0"/>
          <w:sz w:val="5"/>
          <w:szCs w:val="5"/>
        </w:rPr>
        <w:t> </w:t>
      </w:r>
    </w:p>
    <w:p w14:paraId="2ADFE480" w14:textId="77777777" w:rsidR="00AC4931" w:rsidRPr="00AC4931" w:rsidRDefault="00AC4931" w:rsidP="00AC4931">
      <w:pPr>
        <w:widowControl/>
        <w:jc w:val="left"/>
        <w:rPr>
          <w:rFonts w:ascii="宋体" w:eastAsia="宋体" w:hAnsi="宋体" w:cs="宋体"/>
          <w:kern w:val="0"/>
          <w:sz w:val="5"/>
          <w:szCs w:val="5"/>
        </w:rPr>
      </w:pPr>
      <w:r w:rsidRPr="00AC4931">
        <w:rPr>
          <w:rFonts w:ascii="宋体" w:eastAsia="宋体" w:hAnsi="宋体" w:cs="宋体"/>
          <w:kern w:val="0"/>
          <w:sz w:val="5"/>
          <w:szCs w:val="5"/>
        </w:rPr>
        <w:t> </w:t>
      </w:r>
    </w:p>
    <w:p w14:paraId="6A4DC808" w14:textId="77777777" w:rsidR="00AC4931" w:rsidRPr="00AC4931" w:rsidRDefault="00AC4931" w:rsidP="00AC4931">
      <w:pPr>
        <w:widowControl/>
        <w:rPr>
          <w:rFonts w:ascii="Arial Bold" w:eastAsia="宋体" w:hAnsi="Arial Bold" w:cs="宋体"/>
          <w:b/>
          <w:bCs/>
          <w:kern w:val="0"/>
          <w:sz w:val="22"/>
        </w:rPr>
      </w:pPr>
      <w:r w:rsidRPr="00AC4931">
        <w:rPr>
          <w:rFonts w:ascii="Arial Bold" w:eastAsia="宋体" w:hAnsi="Arial Bold" w:cs="宋体"/>
          <w:b/>
          <w:bCs/>
          <w:kern w:val="0"/>
          <w:sz w:val="22"/>
        </w:rPr>
        <w:t>4. Leases</w:t>
      </w:r>
    </w:p>
    <w:p w14:paraId="44FFCA53"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Company has operating leases for offices, manufacturing and research buildings, machinery, automobiles, data processing and other equipment. The Company’s leases have remaining lease terms of 1-46 years, some of which include options to extend the leases for up to 25 years, and some of which include options to terminate the leases within 1 year.</w:t>
      </w:r>
    </w:p>
    <w:p w14:paraId="2401AFD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p w14:paraId="6FC29A59"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p w14:paraId="17A835BB"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Finance lease right-of-use assets are presented together with other property, plant and equipment assets and finance lease liabilities are presented together with other short-term and long-term liabilities in the Consolidated Balance Sheets. The Company has not identified any material finance leases as of December 31, 2020.</w:t>
      </w:r>
    </w:p>
    <w:p w14:paraId="2B2201E7"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As of December 31, 2020, the Company has no additional material operating leases that have not yet commenced.</w:t>
      </w:r>
    </w:p>
    <w:p w14:paraId="52AFD2E2"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following tables provide information about the Company’s leases. Since finance leases are not material the finance lease cost components have not been disclosed in the tables below.</w:t>
      </w:r>
    </w:p>
    <w:p w14:paraId="3E3A0B62" w14:textId="77777777" w:rsidR="00AC4931" w:rsidRPr="00AC4931" w:rsidRDefault="00AC4931" w:rsidP="00AC4931">
      <w:pPr>
        <w:widowControl/>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 </w:t>
      </w:r>
    </w:p>
    <w:tbl>
      <w:tblPr>
        <w:tblW w:w="12369" w:type="dxa"/>
        <w:tblCellMar>
          <w:left w:w="0" w:type="dxa"/>
          <w:right w:w="0" w:type="dxa"/>
        </w:tblCellMar>
        <w:tblLook w:val="04A0" w:firstRow="1" w:lastRow="0" w:firstColumn="1" w:lastColumn="0" w:noHBand="0" w:noVBand="1"/>
      </w:tblPr>
      <w:tblGrid>
        <w:gridCol w:w="8291"/>
        <w:gridCol w:w="186"/>
        <w:gridCol w:w="117"/>
        <w:gridCol w:w="1597"/>
        <w:gridCol w:w="117"/>
        <w:gridCol w:w="185"/>
        <w:gridCol w:w="117"/>
        <w:gridCol w:w="1642"/>
        <w:gridCol w:w="117"/>
      </w:tblGrid>
      <w:tr w:rsidR="00AC4931" w:rsidRPr="00AC4931" w14:paraId="21CD28C5" w14:textId="77777777" w:rsidTr="00AC4931">
        <w:tc>
          <w:tcPr>
            <w:tcW w:w="8271" w:type="dxa"/>
            <w:shd w:val="clear" w:color="auto" w:fill="FFFFFF"/>
            <w:tcMar>
              <w:top w:w="15" w:type="dxa"/>
              <w:left w:w="0" w:type="dxa"/>
              <w:bottom w:w="0" w:type="dxa"/>
              <w:right w:w="15" w:type="dxa"/>
            </w:tcMar>
            <w:vAlign w:val="bottom"/>
            <w:hideMark/>
          </w:tcPr>
          <w:p w14:paraId="53D37BE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Lease cost</w:t>
            </w:r>
          </w:p>
        </w:tc>
        <w:tc>
          <w:tcPr>
            <w:tcW w:w="185" w:type="dxa"/>
            <w:shd w:val="clear" w:color="auto" w:fill="FFFFFF"/>
            <w:tcMar>
              <w:top w:w="15" w:type="dxa"/>
              <w:left w:w="0" w:type="dxa"/>
              <w:bottom w:w="0" w:type="dxa"/>
              <w:right w:w="15" w:type="dxa"/>
            </w:tcMar>
            <w:vAlign w:val="bottom"/>
            <w:hideMark/>
          </w:tcPr>
          <w:p w14:paraId="73461E5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09" w:type="dxa"/>
            <w:shd w:val="clear" w:color="auto" w:fill="FFFFFF"/>
            <w:noWrap/>
            <w:tcMar>
              <w:top w:w="15" w:type="dxa"/>
              <w:left w:w="0" w:type="dxa"/>
              <w:bottom w:w="0" w:type="dxa"/>
              <w:right w:w="15" w:type="dxa"/>
            </w:tcMar>
            <w:vAlign w:val="bottom"/>
            <w:hideMark/>
          </w:tcPr>
          <w:p w14:paraId="640606D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78" w:type="dxa"/>
            <w:shd w:val="clear" w:color="auto" w:fill="FFFFFF"/>
            <w:noWrap/>
            <w:tcMar>
              <w:top w:w="15" w:type="dxa"/>
              <w:left w:w="0" w:type="dxa"/>
              <w:bottom w:w="0" w:type="dxa"/>
              <w:right w:w="15" w:type="dxa"/>
            </w:tcMar>
            <w:vAlign w:val="bottom"/>
            <w:hideMark/>
          </w:tcPr>
          <w:p w14:paraId="5641DC1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09" w:type="dxa"/>
            <w:shd w:val="clear" w:color="auto" w:fill="FFFFFF"/>
            <w:noWrap/>
            <w:tcMar>
              <w:top w:w="15" w:type="dxa"/>
              <w:left w:w="0" w:type="dxa"/>
              <w:bottom w:w="0" w:type="dxa"/>
              <w:right w:w="15" w:type="dxa"/>
            </w:tcMar>
            <w:vAlign w:val="bottom"/>
            <w:hideMark/>
          </w:tcPr>
          <w:p w14:paraId="37A56B1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5" w:type="dxa"/>
            <w:shd w:val="clear" w:color="auto" w:fill="FFFFFF"/>
            <w:tcMar>
              <w:top w:w="15" w:type="dxa"/>
              <w:left w:w="0" w:type="dxa"/>
              <w:bottom w:w="0" w:type="dxa"/>
              <w:right w:w="15" w:type="dxa"/>
            </w:tcMar>
            <w:vAlign w:val="bottom"/>
            <w:hideMark/>
          </w:tcPr>
          <w:p w14:paraId="6009700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09" w:type="dxa"/>
            <w:shd w:val="clear" w:color="auto" w:fill="FFFFFF"/>
            <w:noWrap/>
            <w:tcMar>
              <w:top w:w="15" w:type="dxa"/>
              <w:left w:w="0" w:type="dxa"/>
              <w:bottom w:w="0" w:type="dxa"/>
              <w:right w:w="15" w:type="dxa"/>
            </w:tcMar>
            <w:vAlign w:val="bottom"/>
            <w:hideMark/>
          </w:tcPr>
          <w:p w14:paraId="651B71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78" w:type="dxa"/>
            <w:shd w:val="clear" w:color="auto" w:fill="FFFFFF"/>
            <w:noWrap/>
            <w:tcMar>
              <w:top w:w="15" w:type="dxa"/>
              <w:left w:w="0" w:type="dxa"/>
              <w:bottom w:w="0" w:type="dxa"/>
              <w:right w:w="15" w:type="dxa"/>
            </w:tcMar>
            <w:vAlign w:val="bottom"/>
            <w:hideMark/>
          </w:tcPr>
          <w:p w14:paraId="68ED1E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shd w:val="clear" w:color="auto" w:fill="FFFFFF"/>
            <w:noWrap/>
            <w:tcMar>
              <w:top w:w="15" w:type="dxa"/>
              <w:left w:w="0" w:type="dxa"/>
              <w:bottom w:w="0" w:type="dxa"/>
              <w:right w:w="15" w:type="dxa"/>
            </w:tcMar>
            <w:vAlign w:val="bottom"/>
            <w:hideMark/>
          </w:tcPr>
          <w:p w14:paraId="6BAE89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F40B809" w14:textId="77777777" w:rsidTr="00AC4931">
        <w:tc>
          <w:tcPr>
            <w:tcW w:w="8271" w:type="dxa"/>
            <w:shd w:val="clear" w:color="auto" w:fill="FFFFFF"/>
            <w:tcMar>
              <w:top w:w="15" w:type="dxa"/>
              <w:left w:w="0" w:type="dxa"/>
              <w:bottom w:w="0" w:type="dxa"/>
              <w:right w:w="15" w:type="dxa"/>
            </w:tcMar>
            <w:hideMark/>
          </w:tcPr>
          <w:p w14:paraId="56A1CE1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(in millions)</w:t>
            </w:r>
          </w:p>
        </w:tc>
        <w:tc>
          <w:tcPr>
            <w:tcW w:w="185" w:type="dxa"/>
            <w:shd w:val="clear" w:color="auto" w:fill="FFFFFF"/>
            <w:tcMar>
              <w:top w:w="15" w:type="dxa"/>
              <w:left w:w="0" w:type="dxa"/>
              <w:bottom w:w="0" w:type="dxa"/>
              <w:right w:w="15" w:type="dxa"/>
            </w:tcMar>
            <w:hideMark/>
          </w:tcPr>
          <w:p w14:paraId="186BBE2B" w14:textId="77777777" w:rsidR="00AC4931" w:rsidRPr="00AC4931" w:rsidRDefault="00AC4931" w:rsidP="00AC4931">
            <w:pPr>
              <w:widowControl/>
              <w:jc w:val="left"/>
              <w:rPr>
                <w:rFonts w:ascii="Arial" w:eastAsia="宋体" w:hAnsi="Arial" w:cs="Arial"/>
                <w:i/>
                <w:iCs/>
                <w:color w:val="000000"/>
                <w:kern w:val="0"/>
                <w:sz w:val="20"/>
                <w:szCs w:val="20"/>
              </w:rPr>
            </w:pPr>
            <w:r w:rsidRPr="00AC4931">
              <w:rPr>
                <w:rFonts w:ascii="Arial" w:eastAsia="宋体" w:hAnsi="Arial" w:cs="Arial"/>
                <w:i/>
                <w:iCs/>
                <w:color w:val="000000"/>
                <w:kern w:val="0"/>
                <w:sz w:val="20"/>
                <w:szCs w:val="20"/>
              </w:rPr>
              <w:t> </w:t>
            </w:r>
          </w:p>
        </w:tc>
        <w:tc>
          <w:tcPr>
            <w:tcW w:w="3743" w:type="dxa"/>
            <w:gridSpan w:val="6"/>
            <w:tcBorders>
              <w:bottom w:val="single" w:sz="6" w:space="0" w:color="000000"/>
            </w:tcBorders>
            <w:shd w:val="clear" w:color="auto" w:fill="FFFFFF"/>
            <w:tcMar>
              <w:top w:w="15" w:type="dxa"/>
              <w:left w:w="0" w:type="dxa"/>
              <w:bottom w:w="0" w:type="dxa"/>
              <w:right w:w="15" w:type="dxa"/>
            </w:tcMar>
            <w:vAlign w:val="bottom"/>
            <w:hideMark/>
          </w:tcPr>
          <w:p w14:paraId="786B367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 ended December 31</w:t>
            </w:r>
          </w:p>
        </w:tc>
        <w:tc>
          <w:tcPr>
            <w:tcW w:w="109" w:type="dxa"/>
            <w:shd w:val="clear" w:color="auto" w:fill="FFFFFF"/>
            <w:noWrap/>
            <w:tcMar>
              <w:top w:w="15" w:type="dxa"/>
              <w:left w:w="0" w:type="dxa"/>
              <w:bottom w:w="0" w:type="dxa"/>
              <w:right w:w="15" w:type="dxa"/>
            </w:tcMar>
            <w:vAlign w:val="bottom"/>
            <w:hideMark/>
          </w:tcPr>
          <w:p w14:paraId="44161C1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441F0B46" w14:textId="77777777" w:rsidTr="00AC4931">
        <w:tc>
          <w:tcPr>
            <w:tcW w:w="8271" w:type="dxa"/>
            <w:shd w:val="clear" w:color="auto" w:fill="FFFFFF"/>
            <w:tcMar>
              <w:top w:w="15" w:type="dxa"/>
              <w:left w:w="0" w:type="dxa"/>
              <w:bottom w:w="0" w:type="dxa"/>
              <w:right w:w="15" w:type="dxa"/>
            </w:tcMar>
            <w:vAlign w:val="bottom"/>
            <w:hideMark/>
          </w:tcPr>
          <w:p w14:paraId="10E0F9A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85" w:type="dxa"/>
            <w:shd w:val="clear" w:color="auto" w:fill="FFFFFF"/>
            <w:tcMar>
              <w:top w:w="15" w:type="dxa"/>
              <w:left w:w="0" w:type="dxa"/>
              <w:bottom w:w="0" w:type="dxa"/>
              <w:right w:w="15" w:type="dxa"/>
            </w:tcMar>
            <w:vAlign w:val="bottom"/>
            <w:hideMark/>
          </w:tcPr>
          <w:p w14:paraId="21D640F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70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87915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09" w:type="dxa"/>
            <w:shd w:val="clear" w:color="auto" w:fill="FFFFFF"/>
            <w:noWrap/>
            <w:tcMar>
              <w:top w:w="15" w:type="dxa"/>
              <w:left w:w="0" w:type="dxa"/>
              <w:bottom w:w="0" w:type="dxa"/>
              <w:right w:w="15" w:type="dxa"/>
            </w:tcMar>
            <w:vAlign w:val="bottom"/>
            <w:hideMark/>
          </w:tcPr>
          <w:p w14:paraId="72DF53E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5" w:type="dxa"/>
            <w:tcBorders>
              <w:top w:val="single" w:sz="6" w:space="0" w:color="000000"/>
            </w:tcBorders>
            <w:shd w:val="clear" w:color="auto" w:fill="FFFFFF"/>
            <w:tcMar>
              <w:top w:w="15" w:type="dxa"/>
              <w:left w:w="0" w:type="dxa"/>
              <w:bottom w:w="0" w:type="dxa"/>
              <w:right w:w="15" w:type="dxa"/>
            </w:tcMar>
            <w:vAlign w:val="bottom"/>
            <w:hideMark/>
          </w:tcPr>
          <w:p w14:paraId="7CA29F9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70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D0E8E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09" w:type="dxa"/>
            <w:shd w:val="clear" w:color="auto" w:fill="FFFFFF"/>
            <w:noWrap/>
            <w:tcMar>
              <w:top w:w="15" w:type="dxa"/>
              <w:left w:w="0" w:type="dxa"/>
              <w:bottom w:w="0" w:type="dxa"/>
              <w:right w:w="15" w:type="dxa"/>
            </w:tcMar>
            <w:vAlign w:val="bottom"/>
            <w:hideMark/>
          </w:tcPr>
          <w:p w14:paraId="3A82B9C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9E8D268" w14:textId="77777777" w:rsidTr="00AC4931">
        <w:tc>
          <w:tcPr>
            <w:tcW w:w="8271" w:type="dxa"/>
            <w:shd w:val="clear" w:color="auto" w:fill="CFF0FC"/>
            <w:tcMar>
              <w:top w:w="15" w:type="dxa"/>
              <w:left w:w="0" w:type="dxa"/>
              <w:bottom w:w="0" w:type="dxa"/>
              <w:right w:w="15" w:type="dxa"/>
            </w:tcMar>
            <w:vAlign w:val="bottom"/>
            <w:hideMark/>
          </w:tcPr>
          <w:p w14:paraId="760044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lease cost</w:t>
            </w:r>
          </w:p>
        </w:tc>
        <w:tc>
          <w:tcPr>
            <w:tcW w:w="185" w:type="dxa"/>
            <w:shd w:val="clear" w:color="auto" w:fill="CFF0FC"/>
            <w:tcMar>
              <w:top w:w="15" w:type="dxa"/>
              <w:left w:w="0" w:type="dxa"/>
              <w:bottom w:w="0" w:type="dxa"/>
              <w:right w:w="15" w:type="dxa"/>
            </w:tcMar>
            <w:vAlign w:val="bottom"/>
            <w:hideMark/>
          </w:tcPr>
          <w:p w14:paraId="034E45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tcBorders>
              <w:top w:val="single" w:sz="6" w:space="0" w:color="000000"/>
            </w:tcBorders>
            <w:shd w:val="clear" w:color="auto" w:fill="CFF0FC"/>
            <w:noWrap/>
            <w:tcMar>
              <w:top w:w="15" w:type="dxa"/>
              <w:left w:w="0" w:type="dxa"/>
              <w:bottom w:w="0" w:type="dxa"/>
              <w:right w:w="15" w:type="dxa"/>
            </w:tcMar>
            <w:vAlign w:val="bottom"/>
            <w:hideMark/>
          </w:tcPr>
          <w:p w14:paraId="6CCDC8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78" w:type="dxa"/>
            <w:tcBorders>
              <w:top w:val="single" w:sz="6" w:space="0" w:color="000000"/>
            </w:tcBorders>
            <w:shd w:val="clear" w:color="auto" w:fill="CFF0FC"/>
            <w:noWrap/>
            <w:tcMar>
              <w:top w:w="15" w:type="dxa"/>
              <w:left w:w="0" w:type="dxa"/>
              <w:bottom w:w="0" w:type="dxa"/>
              <w:right w:w="15" w:type="dxa"/>
            </w:tcMar>
            <w:vAlign w:val="bottom"/>
            <w:hideMark/>
          </w:tcPr>
          <w:p w14:paraId="2D8142B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45.9</w:t>
            </w:r>
          </w:p>
        </w:tc>
        <w:tc>
          <w:tcPr>
            <w:tcW w:w="109" w:type="dxa"/>
            <w:shd w:val="clear" w:color="auto" w:fill="CFF0FC"/>
            <w:noWrap/>
            <w:tcMar>
              <w:top w:w="15" w:type="dxa"/>
              <w:left w:w="0" w:type="dxa"/>
              <w:bottom w:w="0" w:type="dxa"/>
              <w:right w:w="15" w:type="dxa"/>
            </w:tcMar>
            <w:vAlign w:val="bottom"/>
            <w:hideMark/>
          </w:tcPr>
          <w:p w14:paraId="52E85D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5" w:type="dxa"/>
            <w:shd w:val="clear" w:color="auto" w:fill="CFF0FC"/>
            <w:tcMar>
              <w:top w:w="15" w:type="dxa"/>
              <w:left w:w="0" w:type="dxa"/>
              <w:bottom w:w="0" w:type="dxa"/>
              <w:right w:w="15" w:type="dxa"/>
            </w:tcMar>
            <w:vAlign w:val="bottom"/>
            <w:hideMark/>
          </w:tcPr>
          <w:p w14:paraId="374FA3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tcBorders>
              <w:top w:val="single" w:sz="6" w:space="0" w:color="000000"/>
            </w:tcBorders>
            <w:shd w:val="clear" w:color="auto" w:fill="CFF0FC"/>
            <w:noWrap/>
            <w:tcMar>
              <w:top w:w="15" w:type="dxa"/>
              <w:left w:w="0" w:type="dxa"/>
              <w:bottom w:w="0" w:type="dxa"/>
              <w:right w:w="15" w:type="dxa"/>
            </w:tcMar>
            <w:vAlign w:val="bottom"/>
            <w:hideMark/>
          </w:tcPr>
          <w:p w14:paraId="053946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78" w:type="dxa"/>
            <w:tcBorders>
              <w:top w:val="single" w:sz="6" w:space="0" w:color="000000"/>
            </w:tcBorders>
            <w:shd w:val="clear" w:color="auto" w:fill="CFF0FC"/>
            <w:noWrap/>
            <w:tcMar>
              <w:top w:w="15" w:type="dxa"/>
              <w:left w:w="0" w:type="dxa"/>
              <w:bottom w:w="0" w:type="dxa"/>
              <w:right w:w="15" w:type="dxa"/>
            </w:tcMar>
            <w:vAlign w:val="bottom"/>
            <w:hideMark/>
          </w:tcPr>
          <w:p w14:paraId="015446D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48.5</w:t>
            </w:r>
          </w:p>
        </w:tc>
        <w:tc>
          <w:tcPr>
            <w:tcW w:w="109" w:type="dxa"/>
            <w:shd w:val="clear" w:color="auto" w:fill="CFF0FC"/>
            <w:noWrap/>
            <w:tcMar>
              <w:top w:w="15" w:type="dxa"/>
              <w:left w:w="0" w:type="dxa"/>
              <w:bottom w:w="0" w:type="dxa"/>
              <w:right w:w="15" w:type="dxa"/>
            </w:tcMar>
            <w:vAlign w:val="bottom"/>
            <w:hideMark/>
          </w:tcPr>
          <w:p w14:paraId="192DB7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C04C5D2" w14:textId="77777777" w:rsidTr="00AC4931">
        <w:tc>
          <w:tcPr>
            <w:tcW w:w="8271" w:type="dxa"/>
            <w:shd w:val="clear" w:color="auto" w:fill="FFFFFF"/>
            <w:tcMar>
              <w:top w:w="15" w:type="dxa"/>
              <w:left w:w="0" w:type="dxa"/>
              <w:bottom w:w="0" w:type="dxa"/>
              <w:right w:w="15" w:type="dxa"/>
            </w:tcMar>
            <w:vAlign w:val="bottom"/>
            <w:hideMark/>
          </w:tcPr>
          <w:p w14:paraId="43DCA7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Short-term lease cost</w:t>
            </w:r>
          </w:p>
        </w:tc>
        <w:tc>
          <w:tcPr>
            <w:tcW w:w="185" w:type="dxa"/>
            <w:shd w:val="clear" w:color="auto" w:fill="FFFFFF"/>
            <w:tcMar>
              <w:top w:w="15" w:type="dxa"/>
              <w:left w:w="0" w:type="dxa"/>
              <w:bottom w:w="0" w:type="dxa"/>
              <w:right w:w="15" w:type="dxa"/>
            </w:tcMar>
            <w:vAlign w:val="bottom"/>
            <w:hideMark/>
          </w:tcPr>
          <w:p w14:paraId="031C49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shd w:val="clear" w:color="auto" w:fill="FFFFFF"/>
            <w:noWrap/>
            <w:tcMar>
              <w:top w:w="15" w:type="dxa"/>
              <w:left w:w="0" w:type="dxa"/>
              <w:bottom w:w="0" w:type="dxa"/>
              <w:right w:w="15" w:type="dxa"/>
            </w:tcMar>
            <w:vAlign w:val="bottom"/>
            <w:hideMark/>
          </w:tcPr>
          <w:p w14:paraId="6F3406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78" w:type="dxa"/>
            <w:shd w:val="clear" w:color="auto" w:fill="FFFFFF"/>
            <w:noWrap/>
            <w:tcMar>
              <w:top w:w="15" w:type="dxa"/>
              <w:left w:w="0" w:type="dxa"/>
              <w:bottom w:w="0" w:type="dxa"/>
              <w:right w:w="15" w:type="dxa"/>
            </w:tcMar>
            <w:vAlign w:val="bottom"/>
            <w:hideMark/>
          </w:tcPr>
          <w:p w14:paraId="39F3EB6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8.2</w:t>
            </w:r>
          </w:p>
        </w:tc>
        <w:tc>
          <w:tcPr>
            <w:tcW w:w="109" w:type="dxa"/>
            <w:shd w:val="clear" w:color="auto" w:fill="FFFFFF"/>
            <w:noWrap/>
            <w:tcMar>
              <w:top w:w="15" w:type="dxa"/>
              <w:left w:w="0" w:type="dxa"/>
              <w:bottom w:w="0" w:type="dxa"/>
              <w:right w:w="15" w:type="dxa"/>
            </w:tcMar>
            <w:vAlign w:val="bottom"/>
            <w:hideMark/>
          </w:tcPr>
          <w:p w14:paraId="5D9B0F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5" w:type="dxa"/>
            <w:shd w:val="clear" w:color="auto" w:fill="FFFFFF"/>
            <w:tcMar>
              <w:top w:w="15" w:type="dxa"/>
              <w:left w:w="0" w:type="dxa"/>
              <w:bottom w:w="0" w:type="dxa"/>
              <w:right w:w="15" w:type="dxa"/>
            </w:tcMar>
            <w:vAlign w:val="bottom"/>
            <w:hideMark/>
          </w:tcPr>
          <w:p w14:paraId="209D8C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shd w:val="clear" w:color="auto" w:fill="FFFFFF"/>
            <w:noWrap/>
            <w:tcMar>
              <w:top w:w="15" w:type="dxa"/>
              <w:left w:w="0" w:type="dxa"/>
              <w:bottom w:w="0" w:type="dxa"/>
              <w:right w:w="15" w:type="dxa"/>
            </w:tcMar>
            <w:vAlign w:val="bottom"/>
            <w:hideMark/>
          </w:tcPr>
          <w:p w14:paraId="5718E4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78" w:type="dxa"/>
            <w:shd w:val="clear" w:color="auto" w:fill="FFFFFF"/>
            <w:noWrap/>
            <w:tcMar>
              <w:top w:w="15" w:type="dxa"/>
              <w:left w:w="0" w:type="dxa"/>
              <w:bottom w:w="0" w:type="dxa"/>
              <w:right w:w="15" w:type="dxa"/>
            </w:tcMar>
            <w:vAlign w:val="bottom"/>
            <w:hideMark/>
          </w:tcPr>
          <w:p w14:paraId="7109EB1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6.8</w:t>
            </w:r>
          </w:p>
        </w:tc>
        <w:tc>
          <w:tcPr>
            <w:tcW w:w="109" w:type="dxa"/>
            <w:shd w:val="clear" w:color="auto" w:fill="FFFFFF"/>
            <w:noWrap/>
            <w:tcMar>
              <w:top w:w="15" w:type="dxa"/>
              <w:left w:w="0" w:type="dxa"/>
              <w:bottom w:w="0" w:type="dxa"/>
              <w:right w:w="15" w:type="dxa"/>
            </w:tcMar>
            <w:vAlign w:val="bottom"/>
            <w:hideMark/>
          </w:tcPr>
          <w:p w14:paraId="248C78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42B0B61" w14:textId="77777777" w:rsidTr="00AC4931">
        <w:tc>
          <w:tcPr>
            <w:tcW w:w="8271" w:type="dxa"/>
            <w:shd w:val="clear" w:color="auto" w:fill="CFF0FC"/>
            <w:tcMar>
              <w:top w:w="15" w:type="dxa"/>
              <w:left w:w="0" w:type="dxa"/>
              <w:bottom w:w="0" w:type="dxa"/>
              <w:right w:w="15" w:type="dxa"/>
            </w:tcMar>
            <w:vAlign w:val="bottom"/>
            <w:hideMark/>
          </w:tcPr>
          <w:p w14:paraId="1E25CA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Variable lease cost</w:t>
            </w:r>
          </w:p>
        </w:tc>
        <w:tc>
          <w:tcPr>
            <w:tcW w:w="185" w:type="dxa"/>
            <w:shd w:val="clear" w:color="auto" w:fill="CFF0FC"/>
            <w:tcMar>
              <w:top w:w="15" w:type="dxa"/>
              <w:left w:w="0" w:type="dxa"/>
              <w:bottom w:w="0" w:type="dxa"/>
              <w:right w:w="15" w:type="dxa"/>
            </w:tcMar>
            <w:vAlign w:val="bottom"/>
            <w:hideMark/>
          </w:tcPr>
          <w:p w14:paraId="2AD585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shd w:val="clear" w:color="auto" w:fill="CFF0FC"/>
            <w:noWrap/>
            <w:tcMar>
              <w:top w:w="15" w:type="dxa"/>
              <w:left w:w="0" w:type="dxa"/>
              <w:bottom w:w="0" w:type="dxa"/>
              <w:right w:w="15" w:type="dxa"/>
            </w:tcMar>
            <w:vAlign w:val="bottom"/>
            <w:hideMark/>
          </w:tcPr>
          <w:p w14:paraId="5C6428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78" w:type="dxa"/>
            <w:shd w:val="clear" w:color="auto" w:fill="CFF0FC"/>
            <w:noWrap/>
            <w:tcMar>
              <w:top w:w="15" w:type="dxa"/>
              <w:left w:w="0" w:type="dxa"/>
              <w:bottom w:w="0" w:type="dxa"/>
              <w:right w:w="15" w:type="dxa"/>
            </w:tcMar>
            <w:vAlign w:val="bottom"/>
            <w:hideMark/>
          </w:tcPr>
          <w:p w14:paraId="097C608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09" w:type="dxa"/>
            <w:shd w:val="clear" w:color="auto" w:fill="CFF0FC"/>
            <w:noWrap/>
            <w:tcMar>
              <w:top w:w="15" w:type="dxa"/>
              <w:left w:w="0" w:type="dxa"/>
              <w:bottom w:w="0" w:type="dxa"/>
              <w:right w:w="15" w:type="dxa"/>
            </w:tcMar>
            <w:vAlign w:val="bottom"/>
            <w:hideMark/>
          </w:tcPr>
          <w:p w14:paraId="03903B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5" w:type="dxa"/>
            <w:shd w:val="clear" w:color="auto" w:fill="CFF0FC"/>
            <w:tcMar>
              <w:top w:w="15" w:type="dxa"/>
              <w:left w:w="0" w:type="dxa"/>
              <w:bottom w:w="0" w:type="dxa"/>
              <w:right w:w="15" w:type="dxa"/>
            </w:tcMar>
            <w:vAlign w:val="bottom"/>
            <w:hideMark/>
          </w:tcPr>
          <w:p w14:paraId="4F3D7A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shd w:val="clear" w:color="auto" w:fill="CFF0FC"/>
            <w:noWrap/>
            <w:tcMar>
              <w:top w:w="15" w:type="dxa"/>
              <w:left w:w="0" w:type="dxa"/>
              <w:bottom w:w="0" w:type="dxa"/>
              <w:right w:w="15" w:type="dxa"/>
            </w:tcMar>
            <w:vAlign w:val="bottom"/>
            <w:hideMark/>
          </w:tcPr>
          <w:p w14:paraId="048B13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78" w:type="dxa"/>
            <w:shd w:val="clear" w:color="auto" w:fill="CFF0FC"/>
            <w:noWrap/>
            <w:tcMar>
              <w:top w:w="15" w:type="dxa"/>
              <w:left w:w="0" w:type="dxa"/>
              <w:bottom w:w="0" w:type="dxa"/>
              <w:right w:w="15" w:type="dxa"/>
            </w:tcMar>
            <w:vAlign w:val="bottom"/>
            <w:hideMark/>
          </w:tcPr>
          <w:p w14:paraId="667DC26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w:t>
            </w:r>
          </w:p>
        </w:tc>
        <w:tc>
          <w:tcPr>
            <w:tcW w:w="109" w:type="dxa"/>
            <w:shd w:val="clear" w:color="auto" w:fill="CFF0FC"/>
            <w:noWrap/>
            <w:tcMar>
              <w:top w:w="15" w:type="dxa"/>
              <w:left w:w="0" w:type="dxa"/>
              <w:bottom w:w="0" w:type="dxa"/>
              <w:right w:w="15" w:type="dxa"/>
            </w:tcMar>
            <w:vAlign w:val="bottom"/>
            <w:hideMark/>
          </w:tcPr>
          <w:p w14:paraId="019820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284BB0B" w14:textId="77777777" w:rsidTr="00AC4931">
        <w:tc>
          <w:tcPr>
            <w:tcW w:w="8271" w:type="dxa"/>
            <w:shd w:val="clear" w:color="auto" w:fill="FFFFFF"/>
            <w:tcMar>
              <w:top w:w="15" w:type="dxa"/>
              <w:left w:w="0" w:type="dxa"/>
              <w:bottom w:w="0" w:type="dxa"/>
              <w:right w:w="15" w:type="dxa"/>
            </w:tcMar>
            <w:vAlign w:val="bottom"/>
            <w:hideMark/>
          </w:tcPr>
          <w:p w14:paraId="426063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Sublease income</w:t>
            </w:r>
          </w:p>
        </w:tc>
        <w:tc>
          <w:tcPr>
            <w:tcW w:w="185" w:type="dxa"/>
            <w:shd w:val="clear" w:color="auto" w:fill="FFFFFF"/>
            <w:tcMar>
              <w:top w:w="15" w:type="dxa"/>
              <w:left w:w="0" w:type="dxa"/>
              <w:bottom w:w="0" w:type="dxa"/>
              <w:right w:w="15" w:type="dxa"/>
            </w:tcMar>
            <w:vAlign w:val="bottom"/>
            <w:hideMark/>
          </w:tcPr>
          <w:p w14:paraId="06D054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tcBorders>
              <w:bottom w:val="single" w:sz="6" w:space="0" w:color="000000"/>
            </w:tcBorders>
            <w:shd w:val="clear" w:color="auto" w:fill="FFFFFF"/>
            <w:noWrap/>
            <w:tcMar>
              <w:top w:w="15" w:type="dxa"/>
              <w:left w:w="0" w:type="dxa"/>
              <w:bottom w:w="0" w:type="dxa"/>
              <w:right w:w="15" w:type="dxa"/>
            </w:tcMar>
            <w:vAlign w:val="bottom"/>
            <w:hideMark/>
          </w:tcPr>
          <w:p w14:paraId="013B26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78" w:type="dxa"/>
            <w:tcBorders>
              <w:bottom w:val="single" w:sz="6" w:space="0" w:color="000000"/>
            </w:tcBorders>
            <w:shd w:val="clear" w:color="auto" w:fill="FFFFFF"/>
            <w:noWrap/>
            <w:tcMar>
              <w:top w:w="15" w:type="dxa"/>
              <w:left w:w="0" w:type="dxa"/>
              <w:bottom w:w="0" w:type="dxa"/>
              <w:right w:w="15" w:type="dxa"/>
            </w:tcMar>
            <w:vAlign w:val="bottom"/>
            <w:hideMark/>
          </w:tcPr>
          <w:p w14:paraId="555162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w:t>
            </w:r>
          </w:p>
        </w:tc>
        <w:tc>
          <w:tcPr>
            <w:tcW w:w="109" w:type="dxa"/>
            <w:shd w:val="clear" w:color="auto" w:fill="FFFFFF"/>
            <w:noWrap/>
            <w:tcMar>
              <w:top w:w="15" w:type="dxa"/>
              <w:left w:w="0" w:type="dxa"/>
              <w:bottom w:w="0" w:type="dxa"/>
              <w:right w:w="15" w:type="dxa"/>
            </w:tcMar>
            <w:vAlign w:val="bottom"/>
            <w:hideMark/>
          </w:tcPr>
          <w:p w14:paraId="2E44A9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5" w:type="dxa"/>
            <w:shd w:val="clear" w:color="auto" w:fill="FFFFFF"/>
            <w:tcMar>
              <w:top w:w="15" w:type="dxa"/>
              <w:left w:w="0" w:type="dxa"/>
              <w:bottom w:w="0" w:type="dxa"/>
              <w:right w:w="15" w:type="dxa"/>
            </w:tcMar>
            <w:vAlign w:val="bottom"/>
            <w:hideMark/>
          </w:tcPr>
          <w:p w14:paraId="1B20A5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tcBorders>
              <w:bottom w:val="single" w:sz="6" w:space="0" w:color="000000"/>
            </w:tcBorders>
            <w:shd w:val="clear" w:color="auto" w:fill="FFFFFF"/>
            <w:noWrap/>
            <w:tcMar>
              <w:top w:w="15" w:type="dxa"/>
              <w:left w:w="0" w:type="dxa"/>
              <w:bottom w:w="0" w:type="dxa"/>
              <w:right w:w="15" w:type="dxa"/>
            </w:tcMar>
            <w:vAlign w:val="bottom"/>
            <w:hideMark/>
          </w:tcPr>
          <w:p w14:paraId="4E8767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78" w:type="dxa"/>
            <w:tcBorders>
              <w:bottom w:val="single" w:sz="6" w:space="0" w:color="000000"/>
            </w:tcBorders>
            <w:shd w:val="clear" w:color="auto" w:fill="FFFFFF"/>
            <w:noWrap/>
            <w:tcMar>
              <w:top w:w="15" w:type="dxa"/>
              <w:left w:w="0" w:type="dxa"/>
              <w:bottom w:w="0" w:type="dxa"/>
              <w:right w:w="15" w:type="dxa"/>
            </w:tcMar>
            <w:vAlign w:val="bottom"/>
            <w:hideMark/>
          </w:tcPr>
          <w:p w14:paraId="3BA301A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w:t>
            </w:r>
          </w:p>
        </w:tc>
        <w:tc>
          <w:tcPr>
            <w:tcW w:w="109" w:type="dxa"/>
            <w:shd w:val="clear" w:color="auto" w:fill="FFFFFF"/>
            <w:noWrap/>
            <w:tcMar>
              <w:top w:w="15" w:type="dxa"/>
              <w:left w:w="0" w:type="dxa"/>
              <w:bottom w:w="0" w:type="dxa"/>
              <w:right w:w="15" w:type="dxa"/>
            </w:tcMar>
            <w:vAlign w:val="bottom"/>
            <w:hideMark/>
          </w:tcPr>
          <w:p w14:paraId="7782DD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D91278A" w14:textId="77777777" w:rsidTr="00AC4931">
        <w:tc>
          <w:tcPr>
            <w:tcW w:w="8271" w:type="dxa"/>
            <w:shd w:val="clear" w:color="auto" w:fill="CFF0FC"/>
            <w:tcMar>
              <w:top w:w="15" w:type="dxa"/>
              <w:left w:w="0" w:type="dxa"/>
              <w:bottom w:w="0" w:type="dxa"/>
              <w:right w:w="15" w:type="dxa"/>
            </w:tcMar>
            <w:vAlign w:val="bottom"/>
            <w:hideMark/>
          </w:tcPr>
          <w:p w14:paraId="69089BA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lease cost</w:t>
            </w:r>
          </w:p>
        </w:tc>
        <w:tc>
          <w:tcPr>
            <w:tcW w:w="185" w:type="dxa"/>
            <w:shd w:val="clear" w:color="auto" w:fill="CFF0FC"/>
            <w:tcMar>
              <w:top w:w="15" w:type="dxa"/>
              <w:left w:w="0" w:type="dxa"/>
              <w:bottom w:w="0" w:type="dxa"/>
              <w:right w:w="15" w:type="dxa"/>
            </w:tcMar>
            <w:vAlign w:val="bottom"/>
            <w:hideMark/>
          </w:tcPr>
          <w:p w14:paraId="0A47CC2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09" w:type="dxa"/>
            <w:tcBorders>
              <w:top w:val="single" w:sz="6" w:space="0" w:color="000000"/>
            </w:tcBorders>
            <w:shd w:val="clear" w:color="auto" w:fill="CFF0FC"/>
            <w:noWrap/>
            <w:tcMar>
              <w:top w:w="15" w:type="dxa"/>
              <w:left w:w="0" w:type="dxa"/>
              <w:bottom w:w="0" w:type="dxa"/>
              <w:right w:w="15" w:type="dxa"/>
            </w:tcMar>
            <w:vAlign w:val="bottom"/>
            <w:hideMark/>
          </w:tcPr>
          <w:p w14:paraId="7F6FCB6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78" w:type="dxa"/>
            <w:tcBorders>
              <w:top w:val="single" w:sz="6" w:space="0" w:color="000000"/>
            </w:tcBorders>
            <w:shd w:val="clear" w:color="auto" w:fill="CFF0FC"/>
            <w:noWrap/>
            <w:tcMar>
              <w:top w:w="15" w:type="dxa"/>
              <w:left w:w="0" w:type="dxa"/>
              <w:bottom w:w="0" w:type="dxa"/>
              <w:right w:w="15" w:type="dxa"/>
            </w:tcMar>
            <w:vAlign w:val="bottom"/>
            <w:hideMark/>
          </w:tcPr>
          <w:p w14:paraId="7EDA58E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54.8</w:t>
            </w:r>
          </w:p>
        </w:tc>
        <w:tc>
          <w:tcPr>
            <w:tcW w:w="109" w:type="dxa"/>
            <w:shd w:val="clear" w:color="auto" w:fill="CFF0FC"/>
            <w:noWrap/>
            <w:tcMar>
              <w:top w:w="15" w:type="dxa"/>
              <w:left w:w="0" w:type="dxa"/>
              <w:bottom w:w="0" w:type="dxa"/>
              <w:right w:w="15" w:type="dxa"/>
            </w:tcMar>
            <w:vAlign w:val="bottom"/>
            <w:hideMark/>
          </w:tcPr>
          <w:p w14:paraId="19924C5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5" w:type="dxa"/>
            <w:shd w:val="clear" w:color="auto" w:fill="CFF0FC"/>
            <w:tcMar>
              <w:top w:w="15" w:type="dxa"/>
              <w:left w:w="0" w:type="dxa"/>
              <w:bottom w:w="0" w:type="dxa"/>
              <w:right w:w="15" w:type="dxa"/>
            </w:tcMar>
            <w:vAlign w:val="bottom"/>
            <w:hideMark/>
          </w:tcPr>
          <w:p w14:paraId="1C87BA7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09" w:type="dxa"/>
            <w:tcBorders>
              <w:top w:val="single" w:sz="6" w:space="0" w:color="000000"/>
            </w:tcBorders>
            <w:shd w:val="clear" w:color="auto" w:fill="CFF0FC"/>
            <w:noWrap/>
            <w:tcMar>
              <w:top w:w="15" w:type="dxa"/>
              <w:left w:w="0" w:type="dxa"/>
              <w:bottom w:w="0" w:type="dxa"/>
              <w:right w:w="15" w:type="dxa"/>
            </w:tcMar>
            <w:vAlign w:val="bottom"/>
            <w:hideMark/>
          </w:tcPr>
          <w:p w14:paraId="1E0A242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78" w:type="dxa"/>
            <w:tcBorders>
              <w:top w:val="single" w:sz="6" w:space="0" w:color="000000"/>
            </w:tcBorders>
            <w:shd w:val="clear" w:color="auto" w:fill="CFF0FC"/>
            <w:noWrap/>
            <w:tcMar>
              <w:top w:w="15" w:type="dxa"/>
              <w:left w:w="0" w:type="dxa"/>
              <w:bottom w:w="0" w:type="dxa"/>
              <w:right w:w="15" w:type="dxa"/>
            </w:tcMar>
            <w:vAlign w:val="bottom"/>
            <w:hideMark/>
          </w:tcPr>
          <w:p w14:paraId="061AB93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56.5</w:t>
            </w:r>
          </w:p>
        </w:tc>
        <w:tc>
          <w:tcPr>
            <w:tcW w:w="109" w:type="dxa"/>
            <w:shd w:val="clear" w:color="auto" w:fill="CFF0FC"/>
            <w:noWrap/>
            <w:tcMar>
              <w:top w:w="15" w:type="dxa"/>
              <w:left w:w="0" w:type="dxa"/>
              <w:bottom w:w="0" w:type="dxa"/>
              <w:right w:w="15" w:type="dxa"/>
            </w:tcMar>
            <w:vAlign w:val="bottom"/>
            <w:hideMark/>
          </w:tcPr>
          <w:p w14:paraId="4A40A89B"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34A69BD2"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 </w:t>
      </w:r>
    </w:p>
    <w:tbl>
      <w:tblPr>
        <w:tblW w:w="12369" w:type="dxa"/>
        <w:tblCellMar>
          <w:left w:w="0" w:type="dxa"/>
          <w:right w:w="0" w:type="dxa"/>
        </w:tblCellMar>
        <w:tblLook w:val="04A0" w:firstRow="1" w:lastRow="0" w:firstColumn="1" w:lastColumn="0" w:noHBand="0" w:noVBand="1"/>
      </w:tblPr>
      <w:tblGrid>
        <w:gridCol w:w="8206"/>
        <w:gridCol w:w="184"/>
        <w:gridCol w:w="116"/>
        <w:gridCol w:w="1583"/>
        <w:gridCol w:w="176"/>
        <w:gridCol w:w="184"/>
        <w:gridCol w:w="116"/>
        <w:gridCol w:w="1628"/>
        <w:gridCol w:w="176"/>
      </w:tblGrid>
      <w:tr w:rsidR="00AC4931" w:rsidRPr="00AC4931" w14:paraId="61339B80" w14:textId="77777777" w:rsidTr="00AC4931">
        <w:tc>
          <w:tcPr>
            <w:tcW w:w="8197" w:type="dxa"/>
            <w:shd w:val="clear" w:color="auto" w:fill="FFFFFF"/>
            <w:tcMar>
              <w:top w:w="15" w:type="dxa"/>
              <w:left w:w="0" w:type="dxa"/>
              <w:bottom w:w="0" w:type="dxa"/>
              <w:right w:w="15" w:type="dxa"/>
            </w:tcMar>
            <w:vAlign w:val="bottom"/>
            <w:hideMark/>
          </w:tcPr>
          <w:p w14:paraId="76B4941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Other information</w:t>
            </w:r>
          </w:p>
        </w:tc>
        <w:tc>
          <w:tcPr>
            <w:tcW w:w="184" w:type="dxa"/>
            <w:shd w:val="clear" w:color="auto" w:fill="FFFFFF"/>
            <w:tcMar>
              <w:top w:w="15" w:type="dxa"/>
              <w:left w:w="0" w:type="dxa"/>
              <w:bottom w:w="0" w:type="dxa"/>
              <w:right w:w="15" w:type="dxa"/>
            </w:tcMar>
            <w:vAlign w:val="bottom"/>
            <w:hideMark/>
          </w:tcPr>
          <w:p w14:paraId="08A2172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08" w:type="dxa"/>
            <w:shd w:val="clear" w:color="auto" w:fill="FFFFFF"/>
            <w:noWrap/>
            <w:tcMar>
              <w:top w:w="15" w:type="dxa"/>
              <w:left w:w="0" w:type="dxa"/>
              <w:bottom w:w="0" w:type="dxa"/>
              <w:right w:w="15" w:type="dxa"/>
            </w:tcMar>
            <w:vAlign w:val="bottom"/>
            <w:hideMark/>
          </w:tcPr>
          <w:p w14:paraId="4D5F73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65" w:type="dxa"/>
            <w:shd w:val="clear" w:color="auto" w:fill="FFFFFF"/>
            <w:noWrap/>
            <w:tcMar>
              <w:top w:w="15" w:type="dxa"/>
              <w:left w:w="0" w:type="dxa"/>
              <w:bottom w:w="0" w:type="dxa"/>
              <w:right w:w="15" w:type="dxa"/>
            </w:tcMar>
            <w:vAlign w:val="bottom"/>
            <w:hideMark/>
          </w:tcPr>
          <w:p w14:paraId="61EAA5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0" w:type="dxa"/>
            <w:shd w:val="clear" w:color="auto" w:fill="FFFFFF"/>
            <w:noWrap/>
            <w:tcMar>
              <w:top w:w="15" w:type="dxa"/>
              <w:left w:w="0" w:type="dxa"/>
              <w:bottom w:w="0" w:type="dxa"/>
              <w:right w:w="15" w:type="dxa"/>
            </w:tcMar>
            <w:vAlign w:val="bottom"/>
            <w:hideMark/>
          </w:tcPr>
          <w:p w14:paraId="01EDBF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 w:type="dxa"/>
            <w:shd w:val="clear" w:color="auto" w:fill="FFFFFF"/>
            <w:tcMar>
              <w:top w:w="15" w:type="dxa"/>
              <w:left w:w="0" w:type="dxa"/>
              <w:bottom w:w="0" w:type="dxa"/>
              <w:right w:w="15" w:type="dxa"/>
            </w:tcMar>
            <w:vAlign w:val="bottom"/>
            <w:hideMark/>
          </w:tcPr>
          <w:p w14:paraId="18D5E2D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08" w:type="dxa"/>
            <w:shd w:val="clear" w:color="auto" w:fill="FFFFFF"/>
            <w:noWrap/>
            <w:tcMar>
              <w:top w:w="15" w:type="dxa"/>
              <w:left w:w="0" w:type="dxa"/>
              <w:bottom w:w="0" w:type="dxa"/>
              <w:right w:w="15" w:type="dxa"/>
            </w:tcMar>
            <w:vAlign w:val="bottom"/>
            <w:hideMark/>
          </w:tcPr>
          <w:p w14:paraId="606BF9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65" w:type="dxa"/>
            <w:shd w:val="clear" w:color="auto" w:fill="FFFFFF"/>
            <w:noWrap/>
            <w:tcMar>
              <w:top w:w="15" w:type="dxa"/>
              <w:left w:w="0" w:type="dxa"/>
              <w:bottom w:w="0" w:type="dxa"/>
              <w:right w:w="15" w:type="dxa"/>
            </w:tcMar>
            <w:vAlign w:val="bottom"/>
            <w:hideMark/>
          </w:tcPr>
          <w:p w14:paraId="295322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1" w:type="dxa"/>
            <w:shd w:val="clear" w:color="auto" w:fill="FFFFFF"/>
            <w:noWrap/>
            <w:tcMar>
              <w:top w:w="15" w:type="dxa"/>
              <w:left w:w="0" w:type="dxa"/>
              <w:bottom w:w="0" w:type="dxa"/>
              <w:right w:w="15" w:type="dxa"/>
            </w:tcMar>
            <w:vAlign w:val="bottom"/>
            <w:hideMark/>
          </w:tcPr>
          <w:p w14:paraId="755F39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6C29148" w14:textId="77777777" w:rsidTr="00AC4931">
        <w:tc>
          <w:tcPr>
            <w:tcW w:w="8197" w:type="dxa"/>
            <w:shd w:val="clear" w:color="auto" w:fill="FFFFFF"/>
            <w:tcMar>
              <w:top w:w="15" w:type="dxa"/>
              <w:left w:w="0" w:type="dxa"/>
              <w:bottom w:w="0" w:type="dxa"/>
              <w:right w:w="15" w:type="dxa"/>
            </w:tcMar>
            <w:hideMark/>
          </w:tcPr>
          <w:p w14:paraId="13E163A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(in millions)</w:t>
            </w:r>
          </w:p>
        </w:tc>
        <w:tc>
          <w:tcPr>
            <w:tcW w:w="184" w:type="dxa"/>
            <w:shd w:val="clear" w:color="auto" w:fill="FFFFFF"/>
            <w:tcMar>
              <w:top w:w="15" w:type="dxa"/>
              <w:left w:w="0" w:type="dxa"/>
              <w:bottom w:w="0" w:type="dxa"/>
              <w:right w:w="15" w:type="dxa"/>
            </w:tcMar>
            <w:hideMark/>
          </w:tcPr>
          <w:p w14:paraId="48B7E111" w14:textId="77777777" w:rsidR="00AC4931" w:rsidRPr="00AC4931" w:rsidRDefault="00AC4931" w:rsidP="00AC4931">
            <w:pPr>
              <w:widowControl/>
              <w:jc w:val="left"/>
              <w:rPr>
                <w:rFonts w:ascii="Arial" w:eastAsia="宋体" w:hAnsi="Arial" w:cs="Arial"/>
                <w:i/>
                <w:iCs/>
                <w:color w:val="000000"/>
                <w:kern w:val="0"/>
                <w:sz w:val="20"/>
                <w:szCs w:val="20"/>
              </w:rPr>
            </w:pPr>
            <w:r w:rsidRPr="00AC4931">
              <w:rPr>
                <w:rFonts w:ascii="Arial" w:eastAsia="宋体" w:hAnsi="Arial" w:cs="Arial"/>
                <w:i/>
                <w:iCs/>
                <w:color w:val="000000"/>
                <w:kern w:val="0"/>
                <w:sz w:val="20"/>
                <w:szCs w:val="20"/>
              </w:rPr>
              <w:t> </w:t>
            </w:r>
          </w:p>
        </w:tc>
        <w:tc>
          <w:tcPr>
            <w:tcW w:w="3767" w:type="dxa"/>
            <w:gridSpan w:val="6"/>
            <w:tcBorders>
              <w:bottom w:val="single" w:sz="6" w:space="0" w:color="000000"/>
            </w:tcBorders>
            <w:shd w:val="clear" w:color="auto" w:fill="FFFFFF"/>
            <w:tcMar>
              <w:top w:w="15" w:type="dxa"/>
              <w:left w:w="0" w:type="dxa"/>
              <w:bottom w:w="0" w:type="dxa"/>
              <w:right w:w="15" w:type="dxa"/>
            </w:tcMar>
            <w:vAlign w:val="bottom"/>
            <w:hideMark/>
          </w:tcPr>
          <w:p w14:paraId="5142314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 ended or as of</w:t>
            </w:r>
          </w:p>
          <w:p w14:paraId="7368498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w:t>
            </w:r>
          </w:p>
        </w:tc>
        <w:tc>
          <w:tcPr>
            <w:tcW w:w="161" w:type="dxa"/>
            <w:shd w:val="clear" w:color="auto" w:fill="FFFFFF"/>
            <w:noWrap/>
            <w:tcMar>
              <w:top w:w="15" w:type="dxa"/>
              <w:left w:w="0" w:type="dxa"/>
              <w:bottom w:w="0" w:type="dxa"/>
              <w:right w:w="15" w:type="dxa"/>
            </w:tcMar>
            <w:vAlign w:val="bottom"/>
            <w:hideMark/>
          </w:tcPr>
          <w:p w14:paraId="02DA963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3EC1E6E" w14:textId="77777777" w:rsidTr="00AC4931">
        <w:tc>
          <w:tcPr>
            <w:tcW w:w="8197" w:type="dxa"/>
            <w:shd w:val="clear" w:color="auto" w:fill="FFFFFF"/>
            <w:tcMar>
              <w:top w:w="15" w:type="dxa"/>
              <w:left w:w="0" w:type="dxa"/>
              <w:bottom w:w="0" w:type="dxa"/>
              <w:right w:w="15" w:type="dxa"/>
            </w:tcMar>
            <w:vAlign w:val="bottom"/>
            <w:hideMark/>
          </w:tcPr>
          <w:p w14:paraId="414C38F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84" w:type="dxa"/>
            <w:shd w:val="clear" w:color="auto" w:fill="FFFFFF"/>
            <w:tcMar>
              <w:top w:w="15" w:type="dxa"/>
              <w:left w:w="0" w:type="dxa"/>
              <w:bottom w:w="0" w:type="dxa"/>
              <w:right w:w="15" w:type="dxa"/>
            </w:tcMar>
            <w:vAlign w:val="bottom"/>
            <w:hideMark/>
          </w:tcPr>
          <w:p w14:paraId="243178D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68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F5197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60" w:type="dxa"/>
            <w:shd w:val="clear" w:color="auto" w:fill="FFFFFF"/>
            <w:noWrap/>
            <w:tcMar>
              <w:top w:w="15" w:type="dxa"/>
              <w:left w:w="0" w:type="dxa"/>
              <w:bottom w:w="0" w:type="dxa"/>
              <w:right w:w="15" w:type="dxa"/>
            </w:tcMar>
            <w:vAlign w:val="bottom"/>
            <w:hideMark/>
          </w:tcPr>
          <w:p w14:paraId="0DDF73E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4" w:type="dxa"/>
            <w:tcBorders>
              <w:top w:val="single" w:sz="6" w:space="0" w:color="000000"/>
            </w:tcBorders>
            <w:shd w:val="clear" w:color="auto" w:fill="FFFFFF"/>
            <w:tcMar>
              <w:top w:w="15" w:type="dxa"/>
              <w:left w:w="0" w:type="dxa"/>
              <w:bottom w:w="0" w:type="dxa"/>
              <w:right w:w="15" w:type="dxa"/>
            </w:tcMar>
            <w:vAlign w:val="bottom"/>
            <w:hideMark/>
          </w:tcPr>
          <w:p w14:paraId="506F28A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68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78966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61" w:type="dxa"/>
            <w:shd w:val="clear" w:color="auto" w:fill="FFFFFF"/>
            <w:noWrap/>
            <w:tcMar>
              <w:top w:w="15" w:type="dxa"/>
              <w:left w:w="0" w:type="dxa"/>
              <w:bottom w:w="0" w:type="dxa"/>
              <w:right w:w="15" w:type="dxa"/>
            </w:tcMar>
            <w:vAlign w:val="bottom"/>
            <w:hideMark/>
          </w:tcPr>
          <w:p w14:paraId="542E6BD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E8EEA48" w14:textId="77777777" w:rsidTr="00AC4931">
        <w:tc>
          <w:tcPr>
            <w:tcW w:w="8197" w:type="dxa"/>
            <w:shd w:val="clear" w:color="auto" w:fill="CFF0FC"/>
            <w:tcMar>
              <w:top w:w="15" w:type="dxa"/>
              <w:left w:w="0" w:type="dxa"/>
              <w:bottom w:w="0" w:type="dxa"/>
              <w:right w:w="15" w:type="dxa"/>
            </w:tcMar>
            <w:vAlign w:val="bottom"/>
            <w:hideMark/>
          </w:tcPr>
          <w:p w14:paraId="645817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Cash paid for amounts included in the measurement of operating lease liabilities</w:t>
            </w:r>
          </w:p>
        </w:tc>
        <w:tc>
          <w:tcPr>
            <w:tcW w:w="184" w:type="dxa"/>
            <w:shd w:val="clear" w:color="auto" w:fill="CFF0FC"/>
            <w:tcMar>
              <w:top w:w="15" w:type="dxa"/>
              <w:left w:w="0" w:type="dxa"/>
              <w:bottom w:w="0" w:type="dxa"/>
              <w:right w:w="15" w:type="dxa"/>
            </w:tcMar>
            <w:vAlign w:val="bottom"/>
            <w:hideMark/>
          </w:tcPr>
          <w:p w14:paraId="227A78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8" w:type="dxa"/>
            <w:tcBorders>
              <w:top w:val="single" w:sz="6" w:space="0" w:color="000000"/>
            </w:tcBorders>
            <w:shd w:val="clear" w:color="auto" w:fill="CFF0FC"/>
            <w:noWrap/>
            <w:tcMar>
              <w:top w:w="15" w:type="dxa"/>
              <w:left w:w="0" w:type="dxa"/>
              <w:bottom w:w="0" w:type="dxa"/>
              <w:right w:w="15" w:type="dxa"/>
            </w:tcMar>
            <w:vAlign w:val="bottom"/>
            <w:hideMark/>
          </w:tcPr>
          <w:p w14:paraId="4F6E2B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65" w:type="dxa"/>
            <w:tcBorders>
              <w:top w:val="single" w:sz="6" w:space="0" w:color="000000"/>
            </w:tcBorders>
            <w:shd w:val="clear" w:color="auto" w:fill="CFF0FC"/>
            <w:noWrap/>
            <w:tcMar>
              <w:top w:w="15" w:type="dxa"/>
              <w:left w:w="0" w:type="dxa"/>
              <w:bottom w:w="0" w:type="dxa"/>
              <w:right w:w="15" w:type="dxa"/>
            </w:tcMar>
            <w:vAlign w:val="bottom"/>
            <w:hideMark/>
          </w:tcPr>
          <w:p w14:paraId="50840B3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46.3</w:t>
            </w:r>
          </w:p>
        </w:tc>
        <w:tc>
          <w:tcPr>
            <w:tcW w:w="160" w:type="dxa"/>
            <w:shd w:val="clear" w:color="auto" w:fill="CFF0FC"/>
            <w:noWrap/>
            <w:tcMar>
              <w:top w:w="15" w:type="dxa"/>
              <w:left w:w="0" w:type="dxa"/>
              <w:bottom w:w="0" w:type="dxa"/>
              <w:right w:w="15" w:type="dxa"/>
            </w:tcMar>
            <w:vAlign w:val="bottom"/>
            <w:hideMark/>
          </w:tcPr>
          <w:p w14:paraId="74B061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 w:type="dxa"/>
            <w:shd w:val="clear" w:color="auto" w:fill="CFF0FC"/>
            <w:tcMar>
              <w:top w:w="15" w:type="dxa"/>
              <w:left w:w="0" w:type="dxa"/>
              <w:bottom w:w="0" w:type="dxa"/>
              <w:right w:w="15" w:type="dxa"/>
            </w:tcMar>
            <w:vAlign w:val="bottom"/>
            <w:hideMark/>
          </w:tcPr>
          <w:p w14:paraId="2D8FCD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8" w:type="dxa"/>
            <w:tcBorders>
              <w:top w:val="single" w:sz="6" w:space="0" w:color="000000"/>
            </w:tcBorders>
            <w:shd w:val="clear" w:color="auto" w:fill="CFF0FC"/>
            <w:noWrap/>
            <w:tcMar>
              <w:top w:w="15" w:type="dxa"/>
              <w:left w:w="0" w:type="dxa"/>
              <w:bottom w:w="0" w:type="dxa"/>
              <w:right w:w="15" w:type="dxa"/>
            </w:tcMar>
            <w:vAlign w:val="bottom"/>
            <w:hideMark/>
          </w:tcPr>
          <w:p w14:paraId="00D0A3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65" w:type="dxa"/>
            <w:tcBorders>
              <w:top w:val="single" w:sz="6" w:space="0" w:color="000000"/>
            </w:tcBorders>
            <w:shd w:val="clear" w:color="auto" w:fill="CFF0FC"/>
            <w:noWrap/>
            <w:tcMar>
              <w:top w:w="15" w:type="dxa"/>
              <w:left w:w="0" w:type="dxa"/>
              <w:bottom w:w="0" w:type="dxa"/>
              <w:right w:w="15" w:type="dxa"/>
            </w:tcMar>
            <w:vAlign w:val="bottom"/>
            <w:hideMark/>
          </w:tcPr>
          <w:p w14:paraId="5F205BE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47.6</w:t>
            </w:r>
          </w:p>
        </w:tc>
        <w:tc>
          <w:tcPr>
            <w:tcW w:w="161" w:type="dxa"/>
            <w:shd w:val="clear" w:color="auto" w:fill="CFF0FC"/>
            <w:noWrap/>
            <w:tcMar>
              <w:top w:w="15" w:type="dxa"/>
              <w:left w:w="0" w:type="dxa"/>
              <w:bottom w:w="0" w:type="dxa"/>
              <w:right w:w="15" w:type="dxa"/>
            </w:tcMar>
            <w:vAlign w:val="bottom"/>
            <w:hideMark/>
          </w:tcPr>
          <w:p w14:paraId="77727F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EFE196A" w14:textId="77777777" w:rsidTr="00AC4931">
        <w:tc>
          <w:tcPr>
            <w:tcW w:w="8197" w:type="dxa"/>
            <w:shd w:val="clear" w:color="auto" w:fill="FFFFFF"/>
            <w:tcMar>
              <w:top w:w="15" w:type="dxa"/>
              <w:left w:w="0" w:type="dxa"/>
              <w:bottom w:w="0" w:type="dxa"/>
              <w:right w:w="15" w:type="dxa"/>
            </w:tcMar>
            <w:vAlign w:val="bottom"/>
            <w:hideMark/>
          </w:tcPr>
          <w:p w14:paraId="4BBED8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Right-of-use assets obtained in exchange for new operating lease liabilities</w:t>
            </w:r>
          </w:p>
        </w:tc>
        <w:tc>
          <w:tcPr>
            <w:tcW w:w="184" w:type="dxa"/>
            <w:shd w:val="clear" w:color="auto" w:fill="FFFFFF"/>
            <w:tcMar>
              <w:top w:w="15" w:type="dxa"/>
              <w:left w:w="0" w:type="dxa"/>
              <w:bottom w:w="0" w:type="dxa"/>
              <w:right w:w="15" w:type="dxa"/>
            </w:tcMar>
            <w:vAlign w:val="bottom"/>
            <w:hideMark/>
          </w:tcPr>
          <w:p w14:paraId="7378E2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8" w:type="dxa"/>
            <w:shd w:val="clear" w:color="auto" w:fill="FFFFFF"/>
            <w:noWrap/>
            <w:tcMar>
              <w:top w:w="15" w:type="dxa"/>
              <w:left w:w="0" w:type="dxa"/>
              <w:bottom w:w="0" w:type="dxa"/>
              <w:right w:w="15" w:type="dxa"/>
            </w:tcMar>
            <w:vAlign w:val="bottom"/>
            <w:hideMark/>
          </w:tcPr>
          <w:p w14:paraId="7F9F27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65" w:type="dxa"/>
            <w:shd w:val="clear" w:color="auto" w:fill="FFFFFF"/>
            <w:noWrap/>
            <w:tcMar>
              <w:top w:w="15" w:type="dxa"/>
              <w:left w:w="0" w:type="dxa"/>
              <w:bottom w:w="0" w:type="dxa"/>
              <w:right w:w="15" w:type="dxa"/>
            </w:tcMar>
            <w:vAlign w:val="bottom"/>
            <w:hideMark/>
          </w:tcPr>
          <w:p w14:paraId="17C3035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48.0</w:t>
            </w:r>
          </w:p>
        </w:tc>
        <w:tc>
          <w:tcPr>
            <w:tcW w:w="160" w:type="dxa"/>
            <w:shd w:val="clear" w:color="auto" w:fill="FFFFFF"/>
            <w:noWrap/>
            <w:tcMar>
              <w:top w:w="15" w:type="dxa"/>
              <w:left w:w="0" w:type="dxa"/>
              <w:bottom w:w="0" w:type="dxa"/>
              <w:right w:w="15" w:type="dxa"/>
            </w:tcMar>
            <w:vAlign w:val="bottom"/>
            <w:hideMark/>
          </w:tcPr>
          <w:p w14:paraId="2F6366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 w:type="dxa"/>
            <w:shd w:val="clear" w:color="auto" w:fill="FFFFFF"/>
            <w:tcMar>
              <w:top w:w="15" w:type="dxa"/>
              <w:left w:w="0" w:type="dxa"/>
              <w:bottom w:w="0" w:type="dxa"/>
              <w:right w:w="15" w:type="dxa"/>
            </w:tcMar>
            <w:vAlign w:val="bottom"/>
            <w:hideMark/>
          </w:tcPr>
          <w:p w14:paraId="135BB8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8" w:type="dxa"/>
            <w:shd w:val="clear" w:color="auto" w:fill="FFFFFF"/>
            <w:noWrap/>
            <w:tcMar>
              <w:top w:w="15" w:type="dxa"/>
              <w:left w:w="0" w:type="dxa"/>
              <w:bottom w:w="0" w:type="dxa"/>
              <w:right w:w="15" w:type="dxa"/>
            </w:tcMar>
            <w:vAlign w:val="bottom"/>
            <w:hideMark/>
          </w:tcPr>
          <w:p w14:paraId="40C702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65" w:type="dxa"/>
            <w:shd w:val="clear" w:color="auto" w:fill="FFFFFF"/>
            <w:noWrap/>
            <w:tcMar>
              <w:top w:w="15" w:type="dxa"/>
              <w:left w:w="0" w:type="dxa"/>
              <w:bottom w:w="0" w:type="dxa"/>
              <w:right w:w="15" w:type="dxa"/>
            </w:tcMar>
            <w:vAlign w:val="bottom"/>
            <w:hideMark/>
          </w:tcPr>
          <w:p w14:paraId="2DB51F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55.9</w:t>
            </w:r>
          </w:p>
        </w:tc>
        <w:tc>
          <w:tcPr>
            <w:tcW w:w="161" w:type="dxa"/>
            <w:shd w:val="clear" w:color="auto" w:fill="FFFFFF"/>
            <w:noWrap/>
            <w:tcMar>
              <w:top w:w="15" w:type="dxa"/>
              <w:left w:w="0" w:type="dxa"/>
              <w:bottom w:w="0" w:type="dxa"/>
              <w:right w:w="15" w:type="dxa"/>
            </w:tcMar>
            <w:vAlign w:val="bottom"/>
            <w:hideMark/>
          </w:tcPr>
          <w:p w14:paraId="187942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E37A63E" w14:textId="77777777" w:rsidTr="00AC4931">
        <w:tc>
          <w:tcPr>
            <w:tcW w:w="8197" w:type="dxa"/>
            <w:shd w:val="clear" w:color="auto" w:fill="CFF0FC"/>
            <w:tcMar>
              <w:top w:w="15" w:type="dxa"/>
              <w:left w:w="0" w:type="dxa"/>
              <w:bottom w:w="0" w:type="dxa"/>
              <w:right w:w="15" w:type="dxa"/>
            </w:tcMar>
            <w:vAlign w:val="bottom"/>
            <w:hideMark/>
          </w:tcPr>
          <w:p w14:paraId="7521EC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Weighted-average remaining lease term - operating leases</w:t>
            </w:r>
          </w:p>
        </w:tc>
        <w:tc>
          <w:tcPr>
            <w:tcW w:w="184" w:type="dxa"/>
            <w:shd w:val="clear" w:color="auto" w:fill="CFF0FC"/>
            <w:tcMar>
              <w:top w:w="15" w:type="dxa"/>
              <w:left w:w="0" w:type="dxa"/>
              <w:bottom w:w="0" w:type="dxa"/>
              <w:right w:w="15" w:type="dxa"/>
            </w:tcMar>
            <w:vAlign w:val="bottom"/>
            <w:hideMark/>
          </w:tcPr>
          <w:p w14:paraId="316E26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gridSpan w:val="2"/>
            <w:shd w:val="clear" w:color="auto" w:fill="CFF0FC"/>
            <w:tcMar>
              <w:top w:w="15" w:type="dxa"/>
              <w:left w:w="0" w:type="dxa"/>
              <w:bottom w:w="0" w:type="dxa"/>
              <w:right w:w="15" w:type="dxa"/>
            </w:tcMar>
            <w:vAlign w:val="bottom"/>
            <w:hideMark/>
          </w:tcPr>
          <w:p w14:paraId="69D2958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 years</w:t>
            </w:r>
          </w:p>
        </w:tc>
        <w:tc>
          <w:tcPr>
            <w:tcW w:w="160" w:type="dxa"/>
            <w:shd w:val="clear" w:color="auto" w:fill="CFF0FC"/>
            <w:noWrap/>
            <w:tcMar>
              <w:top w:w="15" w:type="dxa"/>
              <w:left w:w="0" w:type="dxa"/>
              <w:bottom w:w="0" w:type="dxa"/>
              <w:right w:w="15" w:type="dxa"/>
            </w:tcMar>
            <w:vAlign w:val="bottom"/>
            <w:hideMark/>
          </w:tcPr>
          <w:p w14:paraId="4EC04C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 w:type="dxa"/>
            <w:shd w:val="clear" w:color="auto" w:fill="CFF0FC"/>
            <w:tcMar>
              <w:top w:w="15" w:type="dxa"/>
              <w:left w:w="0" w:type="dxa"/>
              <w:bottom w:w="0" w:type="dxa"/>
              <w:right w:w="15" w:type="dxa"/>
            </w:tcMar>
            <w:vAlign w:val="bottom"/>
            <w:hideMark/>
          </w:tcPr>
          <w:p w14:paraId="424AEF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gridSpan w:val="2"/>
            <w:shd w:val="clear" w:color="auto" w:fill="CFF0FC"/>
            <w:tcMar>
              <w:top w:w="15" w:type="dxa"/>
              <w:left w:w="0" w:type="dxa"/>
              <w:bottom w:w="0" w:type="dxa"/>
              <w:right w:w="15" w:type="dxa"/>
            </w:tcMar>
            <w:vAlign w:val="bottom"/>
            <w:hideMark/>
          </w:tcPr>
          <w:p w14:paraId="4FD4D87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 years</w:t>
            </w:r>
          </w:p>
        </w:tc>
        <w:tc>
          <w:tcPr>
            <w:tcW w:w="161" w:type="dxa"/>
            <w:shd w:val="clear" w:color="auto" w:fill="CFF0FC"/>
            <w:noWrap/>
            <w:tcMar>
              <w:top w:w="15" w:type="dxa"/>
              <w:left w:w="0" w:type="dxa"/>
              <w:bottom w:w="0" w:type="dxa"/>
              <w:right w:w="15" w:type="dxa"/>
            </w:tcMar>
            <w:vAlign w:val="bottom"/>
            <w:hideMark/>
          </w:tcPr>
          <w:p w14:paraId="33819B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E4C56F9" w14:textId="77777777" w:rsidTr="00AC4931">
        <w:tc>
          <w:tcPr>
            <w:tcW w:w="8197" w:type="dxa"/>
            <w:shd w:val="clear" w:color="auto" w:fill="FFFFFF"/>
            <w:tcMar>
              <w:top w:w="15" w:type="dxa"/>
              <w:left w:w="0" w:type="dxa"/>
              <w:bottom w:w="0" w:type="dxa"/>
              <w:right w:w="15" w:type="dxa"/>
            </w:tcMar>
            <w:vAlign w:val="bottom"/>
            <w:hideMark/>
          </w:tcPr>
          <w:p w14:paraId="07F14E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Weighted-average discount rate - operating leases</w:t>
            </w:r>
          </w:p>
        </w:tc>
        <w:tc>
          <w:tcPr>
            <w:tcW w:w="184" w:type="dxa"/>
            <w:shd w:val="clear" w:color="auto" w:fill="FFFFFF"/>
            <w:tcMar>
              <w:top w:w="15" w:type="dxa"/>
              <w:left w:w="0" w:type="dxa"/>
              <w:bottom w:w="0" w:type="dxa"/>
              <w:right w:w="15" w:type="dxa"/>
            </w:tcMar>
            <w:vAlign w:val="bottom"/>
            <w:hideMark/>
          </w:tcPr>
          <w:p w14:paraId="4F4DEA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8" w:type="dxa"/>
            <w:shd w:val="clear" w:color="auto" w:fill="FFFFFF"/>
            <w:noWrap/>
            <w:tcMar>
              <w:top w:w="15" w:type="dxa"/>
              <w:left w:w="0" w:type="dxa"/>
              <w:bottom w:w="0" w:type="dxa"/>
              <w:right w:w="15" w:type="dxa"/>
            </w:tcMar>
            <w:vAlign w:val="bottom"/>
            <w:hideMark/>
          </w:tcPr>
          <w:p w14:paraId="7B18CD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65" w:type="dxa"/>
            <w:shd w:val="clear" w:color="auto" w:fill="FFFFFF"/>
            <w:noWrap/>
            <w:tcMar>
              <w:top w:w="15" w:type="dxa"/>
              <w:left w:w="0" w:type="dxa"/>
              <w:bottom w:w="0" w:type="dxa"/>
              <w:right w:w="15" w:type="dxa"/>
            </w:tcMar>
            <w:vAlign w:val="bottom"/>
            <w:hideMark/>
          </w:tcPr>
          <w:p w14:paraId="019C7D4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w:t>
            </w:r>
          </w:p>
        </w:tc>
        <w:tc>
          <w:tcPr>
            <w:tcW w:w="160" w:type="dxa"/>
            <w:shd w:val="clear" w:color="auto" w:fill="FFFFFF"/>
            <w:noWrap/>
            <w:tcMar>
              <w:top w:w="15" w:type="dxa"/>
              <w:left w:w="0" w:type="dxa"/>
              <w:bottom w:w="0" w:type="dxa"/>
              <w:right w:w="15" w:type="dxa"/>
            </w:tcMar>
            <w:vAlign w:val="bottom"/>
            <w:hideMark/>
          </w:tcPr>
          <w:p w14:paraId="6B7EE9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4" w:type="dxa"/>
            <w:shd w:val="clear" w:color="auto" w:fill="FFFFFF"/>
            <w:tcMar>
              <w:top w:w="15" w:type="dxa"/>
              <w:left w:w="0" w:type="dxa"/>
              <w:bottom w:w="0" w:type="dxa"/>
              <w:right w:w="15" w:type="dxa"/>
            </w:tcMar>
            <w:vAlign w:val="bottom"/>
            <w:hideMark/>
          </w:tcPr>
          <w:p w14:paraId="7EBEA2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8" w:type="dxa"/>
            <w:shd w:val="clear" w:color="auto" w:fill="FFFFFF"/>
            <w:noWrap/>
            <w:tcMar>
              <w:top w:w="15" w:type="dxa"/>
              <w:left w:w="0" w:type="dxa"/>
              <w:bottom w:w="0" w:type="dxa"/>
              <w:right w:w="15" w:type="dxa"/>
            </w:tcMar>
            <w:vAlign w:val="bottom"/>
            <w:hideMark/>
          </w:tcPr>
          <w:p w14:paraId="726884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65" w:type="dxa"/>
            <w:shd w:val="clear" w:color="auto" w:fill="FFFFFF"/>
            <w:noWrap/>
            <w:tcMar>
              <w:top w:w="15" w:type="dxa"/>
              <w:left w:w="0" w:type="dxa"/>
              <w:bottom w:w="0" w:type="dxa"/>
              <w:right w:w="15" w:type="dxa"/>
            </w:tcMar>
            <w:vAlign w:val="bottom"/>
            <w:hideMark/>
          </w:tcPr>
          <w:p w14:paraId="2EA0FF6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61" w:type="dxa"/>
            <w:shd w:val="clear" w:color="auto" w:fill="FFFFFF"/>
            <w:noWrap/>
            <w:tcMar>
              <w:top w:w="15" w:type="dxa"/>
              <w:left w:w="0" w:type="dxa"/>
              <w:bottom w:w="0" w:type="dxa"/>
              <w:right w:w="15" w:type="dxa"/>
            </w:tcMar>
            <w:vAlign w:val="bottom"/>
            <w:hideMark/>
          </w:tcPr>
          <w:p w14:paraId="717345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bl>
    <w:p w14:paraId="01B17C15"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 </w:t>
      </w:r>
    </w:p>
    <w:tbl>
      <w:tblPr>
        <w:tblW w:w="12369" w:type="dxa"/>
        <w:tblCellMar>
          <w:left w:w="0" w:type="dxa"/>
          <w:right w:w="0" w:type="dxa"/>
        </w:tblCellMar>
        <w:tblLook w:val="04A0" w:firstRow="1" w:lastRow="0" w:firstColumn="1" w:lastColumn="0" w:noHBand="0" w:noVBand="1"/>
      </w:tblPr>
      <w:tblGrid>
        <w:gridCol w:w="9938"/>
        <w:gridCol w:w="226"/>
        <w:gridCol w:w="125"/>
        <w:gridCol w:w="1963"/>
        <w:gridCol w:w="117"/>
      </w:tblGrid>
      <w:tr w:rsidR="00AC4931" w:rsidRPr="00AC4931" w14:paraId="64B09199" w14:textId="77777777" w:rsidTr="00AC4931">
        <w:tc>
          <w:tcPr>
            <w:tcW w:w="9902" w:type="dxa"/>
            <w:shd w:val="clear" w:color="auto" w:fill="FFFFFF"/>
            <w:tcMar>
              <w:top w:w="15" w:type="dxa"/>
              <w:left w:w="0" w:type="dxa"/>
              <w:bottom w:w="0" w:type="dxa"/>
              <w:right w:w="15" w:type="dxa"/>
            </w:tcMar>
            <w:vAlign w:val="bottom"/>
            <w:hideMark/>
          </w:tcPr>
          <w:p w14:paraId="10F1DB3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Maturities of operating lease liabilities (undiscounted cash flows) are as follows:</w:t>
            </w:r>
          </w:p>
        </w:tc>
        <w:tc>
          <w:tcPr>
            <w:tcW w:w="225" w:type="dxa"/>
            <w:shd w:val="clear" w:color="auto" w:fill="FFFFFF"/>
            <w:tcMar>
              <w:top w:w="15" w:type="dxa"/>
              <w:left w:w="0" w:type="dxa"/>
              <w:bottom w:w="0" w:type="dxa"/>
              <w:right w:w="15" w:type="dxa"/>
            </w:tcMar>
            <w:vAlign w:val="bottom"/>
            <w:hideMark/>
          </w:tcPr>
          <w:p w14:paraId="29739F8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17" w:type="dxa"/>
            <w:shd w:val="clear" w:color="auto" w:fill="FFFFFF"/>
            <w:noWrap/>
            <w:tcMar>
              <w:top w:w="15" w:type="dxa"/>
              <w:left w:w="0" w:type="dxa"/>
              <w:bottom w:w="0" w:type="dxa"/>
              <w:right w:w="15" w:type="dxa"/>
            </w:tcMar>
            <w:vAlign w:val="bottom"/>
            <w:hideMark/>
          </w:tcPr>
          <w:p w14:paraId="53BCDB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1" w:type="dxa"/>
            <w:shd w:val="clear" w:color="auto" w:fill="FFFFFF"/>
            <w:noWrap/>
            <w:tcMar>
              <w:top w:w="15" w:type="dxa"/>
              <w:left w:w="0" w:type="dxa"/>
              <w:bottom w:w="0" w:type="dxa"/>
              <w:right w:w="15" w:type="dxa"/>
            </w:tcMar>
            <w:vAlign w:val="bottom"/>
            <w:hideMark/>
          </w:tcPr>
          <w:p w14:paraId="0F3DEA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shd w:val="clear" w:color="auto" w:fill="FFFFFF"/>
            <w:noWrap/>
            <w:tcMar>
              <w:top w:w="15" w:type="dxa"/>
              <w:left w:w="0" w:type="dxa"/>
              <w:bottom w:w="0" w:type="dxa"/>
              <w:right w:w="15" w:type="dxa"/>
            </w:tcMar>
            <w:vAlign w:val="bottom"/>
            <w:hideMark/>
          </w:tcPr>
          <w:p w14:paraId="556026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53D8952" w14:textId="77777777" w:rsidTr="00AC4931">
        <w:tc>
          <w:tcPr>
            <w:tcW w:w="9902" w:type="dxa"/>
            <w:shd w:val="clear" w:color="auto" w:fill="FFFFFF"/>
            <w:tcMar>
              <w:top w:w="15" w:type="dxa"/>
              <w:left w:w="0" w:type="dxa"/>
              <w:bottom w:w="0" w:type="dxa"/>
              <w:right w:w="15" w:type="dxa"/>
            </w:tcMar>
            <w:vAlign w:val="bottom"/>
            <w:hideMark/>
          </w:tcPr>
          <w:p w14:paraId="64CE89C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(in millions)</w:t>
            </w:r>
          </w:p>
        </w:tc>
        <w:tc>
          <w:tcPr>
            <w:tcW w:w="225" w:type="dxa"/>
            <w:shd w:val="clear" w:color="auto" w:fill="FFFFFF"/>
            <w:tcMar>
              <w:top w:w="15" w:type="dxa"/>
              <w:left w:w="0" w:type="dxa"/>
              <w:bottom w:w="0" w:type="dxa"/>
              <w:right w:w="15" w:type="dxa"/>
            </w:tcMar>
            <w:vAlign w:val="bottom"/>
            <w:hideMark/>
          </w:tcPr>
          <w:p w14:paraId="6288600C" w14:textId="77777777" w:rsidR="00AC4931" w:rsidRPr="00AC4931" w:rsidRDefault="00AC4931" w:rsidP="00AC4931">
            <w:pPr>
              <w:widowControl/>
              <w:jc w:val="left"/>
              <w:rPr>
                <w:rFonts w:ascii="Arial" w:eastAsia="宋体" w:hAnsi="Arial" w:cs="Arial"/>
                <w:i/>
                <w:iCs/>
                <w:color w:val="000000"/>
                <w:kern w:val="0"/>
                <w:sz w:val="20"/>
                <w:szCs w:val="20"/>
              </w:rPr>
            </w:pPr>
            <w:r w:rsidRPr="00AC4931">
              <w:rPr>
                <w:rFonts w:ascii="Arial" w:eastAsia="宋体" w:hAnsi="Arial" w:cs="Arial"/>
                <w:i/>
                <w:iCs/>
                <w:color w:val="000000"/>
                <w:kern w:val="0"/>
                <w:sz w:val="20"/>
                <w:szCs w:val="20"/>
              </w:rPr>
              <w:t> </w:t>
            </w:r>
          </w:p>
        </w:tc>
        <w:tc>
          <w:tcPr>
            <w:tcW w:w="117" w:type="dxa"/>
            <w:shd w:val="clear" w:color="auto" w:fill="FFFFFF"/>
            <w:noWrap/>
            <w:tcMar>
              <w:top w:w="15" w:type="dxa"/>
              <w:left w:w="0" w:type="dxa"/>
              <w:bottom w:w="0" w:type="dxa"/>
              <w:right w:w="15" w:type="dxa"/>
            </w:tcMar>
            <w:vAlign w:val="bottom"/>
            <w:hideMark/>
          </w:tcPr>
          <w:p w14:paraId="24D99483"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941" w:type="dxa"/>
            <w:shd w:val="clear" w:color="auto" w:fill="FFFFFF"/>
            <w:noWrap/>
            <w:tcMar>
              <w:top w:w="15" w:type="dxa"/>
              <w:left w:w="0" w:type="dxa"/>
              <w:bottom w:w="0" w:type="dxa"/>
              <w:right w:w="15" w:type="dxa"/>
            </w:tcMar>
            <w:vAlign w:val="bottom"/>
            <w:hideMark/>
          </w:tcPr>
          <w:p w14:paraId="4A232B7F"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09" w:type="dxa"/>
            <w:shd w:val="clear" w:color="auto" w:fill="FFFFFF"/>
            <w:noWrap/>
            <w:tcMar>
              <w:top w:w="15" w:type="dxa"/>
              <w:left w:w="0" w:type="dxa"/>
              <w:bottom w:w="0" w:type="dxa"/>
              <w:right w:w="15" w:type="dxa"/>
            </w:tcMar>
            <w:vAlign w:val="bottom"/>
            <w:hideMark/>
          </w:tcPr>
          <w:p w14:paraId="42489309"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2CB6464A" w14:textId="77777777" w:rsidTr="00AC4931">
        <w:tc>
          <w:tcPr>
            <w:tcW w:w="9902" w:type="dxa"/>
            <w:shd w:val="clear" w:color="auto" w:fill="FFFFFF"/>
            <w:tcMar>
              <w:top w:w="15" w:type="dxa"/>
              <w:left w:w="0" w:type="dxa"/>
              <w:bottom w:w="0" w:type="dxa"/>
              <w:right w:w="15" w:type="dxa"/>
            </w:tcMar>
            <w:vAlign w:val="bottom"/>
            <w:hideMark/>
          </w:tcPr>
          <w:p w14:paraId="54CA12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25" w:type="dxa"/>
            <w:shd w:val="clear" w:color="auto" w:fill="FFFFFF"/>
            <w:tcMar>
              <w:top w:w="15" w:type="dxa"/>
              <w:left w:w="0" w:type="dxa"/>
              <w:bottom w:w="0" w:type="dxa"/>
              <w:right w:w="15" w:type="dxa"/>
            </w:tcMar>
            <w:vAlign w:val="bottom"/>
            <w:hideMark/>
          </w:tcPr>
          <w:p w14:paraId="674091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73" w:type="dxa"/>
            <w:gridSpan w:val="2"/>
            <w:tcBorders>
              <w:bottom w:val="single" w:sz="6" w:space="0" w:color="000000"/>
            </w:tcBorders>
            <w:shd w:val="clear" w:color="auto" w:fill="FFFFFF"/>
            <w:tcMar>
              <w:top w:w="15" w:type="dxa"/>
              <w:left w:w="0" w:type="dxa"/>
              <w:bottom w:w="0" w:type="dxa"/>
              <w:right w:w="15" w:type="dxa"/>
            </w:tcMar>
            <w:vAlign w:val="bottom"/>
            <w:hideMark/>
          </w:tcPr>
          <w:p w14:paraId="331AB07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Maturities</w:t>
            </w:r>
          </w:p>
        </w:tc>
        <w:tc>
          <w:tcPr>
            <w:tcW w:w="109" w:type="dxa"/>
            <w:shd w:val="clear" w:color="auto" w:fill="FFFFFF"/>
            <w:noWrap/>
            <w:tcMar>
              <w:top w:w="15" w:type="dxa"/>
              <w:left w:w="0" w:type="dxa"/>
              <w:bottom w:w="0" w:type="dxa"/>
              <w:right w:w="15" w:type="dxa"/>
            </w:tcMar>
            <w:vAlign w:val="bottom"/>
            <w:hideMark/>
          </w:tcPr>
          <w:p w14:paraId="21F0C4B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F80DF47" w14:textId="77777777" w:rsidTr="00AC4931">
        <w:tc>
          <w:tcPr>
            <w:tcW w:w="9902" w:type="dxa"/>
            <w:shd w:val="clear" w:color="auto" w:fill="CFF0FC"/>
            <w:tcMar>
              <w:top w:w="15" w:type="dxa"/>
              <w:left w:w="0" w:type="dxa"/>
              <w:bottom w:w="0" w:type="dxa"/>
              <w:right w:w="15" w:type="dxa"/>
            </w:tcMar>
            <w:vAlign w:val="bottom"/>
            <w:hideMark/>
          </w:tcPr>
          <w:p w14:paraId="67B361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2021</w:t>
            </w:r>
          </w:p>
        </w:tc>
        <w:tc>
          <w:tcPr>
            <w:tcW w:w="225" w:type="dxa"/>
            <w:shd w:val="clear" w:color="auto" w:fill="CFF0FC"/>
            <w:tcMar>
              <w:top w:w="15" w:type="dxa"/>
              <w:left w:w="0" w:type="dxa"/>
              <w:bottom w:w="0" w:type="dxa"/>
              <w:right w:w="15" w:type="dxa"/>
            </w:tcMar>
            <w:vAlign w:val="bottom"/>
            <w:hideMark/>
          </w:tcPr>
          <w:p w14:paraId="67A1AC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7" w:type="dxa"/>
            <w:tcBorders>
              <w:top w:val="single" w:sz="6" w:space="0" w:color="000000"/>
            </w:tcBorders>
            <w:shd w:val="clear" w:color="auto" w:fill="CFF0FC"/>
            <w:noWrap/>
            <w:tcMar>
              <w:top w:w="15" w:type="dxa"/>
              <w:left w:w="0" w:type="dxa"/>
              <w:bottom w:w="0" w:type="dxa"/>
              <w:right w:w="15" w:type="dxa"/>
            </w:tcMar>
            <w:vAlign w:val="bottom"/>
            <w:hideMark/>
          </w:tcPr>
          <w:p w14:paraId="406CBD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41" w:type="dxa"/>
            <w:tcBorders>
              <w:top w:val="single" w:sz="6" w:space="0" w:color="000000"/>
            </w:tcBorders>
            <w:shd w:val="clear" w:color="auto" w:fill="CFF0FC"/>
            <w:noWrap/>
            <w:tcMar>
              <w:top w:w="15" w:type="dxa"/>
              <w:left w:w="0" w:type="dxa"/>
              <w:bottom w:w="0" w:type="dxa"/>
              <w:right w:w="15" w:type="dxa"/>
            </w:tcMar>
            <w:vAlign w:val="bottom"/>
            <w:hideMark/>
          </w:tcPr>
          <w:p w14:paraId="26B3A3B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37.8</w:t>
            </w:r>
          </w:p>
        </w:tc>
        <w:tc>
          <w:tcPr>
            <w:tcW w:w="109" w:type="dxa"/>
            <w:shd w:val="clear" w:color="auto" w:fill="CFF0FC"/>
            <w:noWrap/>
            <w:tcMar>
              <w:top w:w="15" w:type="dxa"/>
              <w:left w:w="0" w:type="dxa"/>
              <w:bottom w:w="0" w:type="dxa"/>
              <w:right w:w="15" w:type="dxa"/>
            </w:tcMar>
            <w:vAlign w:val="bottom"/>
            <w:hideMark/>
          </w:tcPr>
          <w:p w14:paraId="549BFE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B78B09C" w14:textId="77777777" w:rsidTr="00AC4931">
        <w:tc>
          <w:tcPr>
            <w:tcW w:w="9902" w:type="dxa"/>
            <w:shd w:val="clear" w:color="auto" w:fill="FFFFFF"/>
            <w:tcMar>
              <w:top w:w="15" w:type="dxa"/>
              <w:left w:w="0" w:type="dxa"/>
              <w:bottom w:w="0" w:type="dxa"/>
              <w:right w:w="15" w:type="dxa"/>
            </w:tcMar>
            <w:vAlign w:val="bottom"/>
            <w:hideMark/>
          </w:tcPr>
          <w:p w14:paraId="0E029D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2022</w:t>
            </w:r>
          </w:p>
        </w:tc>
        <w:tc>
          <w:tcPr>
            <w:tcW w:w="225" w:type="dxa"/>
            <w:shd w:val="clear" w:color="auto" w:fill="FFFFFF"/>
            <w:tcMar>
              <w:top w:w="15" w:type="dxa"/>
              <w:left w:w="0" w:type="dxa"/>
              <w:bottom w:w="0" w:type="dxa"/>
              <w:right w:w="15" w:type="dxa"/>
            </w:tcMar>
            <w:vAlign w:val="bottom"/>
            <w:hideMark/>
          </w:tcPr>
          <w:p w14:paraId="1557A7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7" w:type="dxa"/>
            <w:shd w:val="clear" w:color="auto" w:fill="FFFFFF"/>
            <w:noWrap/>
            <w:tcMar>
              <w:top w:w="15" w:type="dxa"/>
              <w:left w:w="0" w:type="dxa"/>
              <w:bottom w:w="0" w:type="dxa"/>
              <w:right w:w="15" w:type="dxa"/>
            </w:tcMar>
            <w:vAlign w:val="bottom"/>
            <w:hideMark/>
          </w:tcPr>
          <w:p w14:paraId="5EB608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1" w:type="dxa"/>
            <w:shd w:val="clear" w:color="auto" w:fill="FFFFFF"/>
            <w:noWrap/>
            <w:tcMar>
              <w:top w:w="15" w:type="dxa"/>
              <w:left w:w="0" w:type="dxa"/>
              <w:bottom w:w="0" w:type="dxa"/>
              <w:right w:w="15" w:type="dxa"/>
            </w:tcMar>
            <w:vAlign w:val="bottom"/>
            <w:hideMark/>
          </w:tcPr>
          <w:p w14:paraId="0864661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30.6</w:t>
            </w:r>
          </w:p>
        </w:tc>
        <w:tc>
          <w:tcPr>
            <w:tcW w:w="109" w:type="dxa"/>
            <w:shd w:val="clear" w:color="auto" w:fill="FFFFFF"/>
            <w:noWrap/>
            <w:tcMar>
              <w:top w:w="15" w:type="dxa"/>
              <w:left w:w="0" w:type="dxa"/>
              <w:bottom w:w="0" w:type="dxa"/>
              <w:right w:w="15" w:type="dxa"/>
            </w:tcMar>
            <w:vAlign w:val="bottom"/>
            <w:hideMark/>
          </w:tcPr>
          <w:p w14:paraId="0EAE30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71BD12C" w14:textId="77777777" w:rsidTr="00AC4931">
        <w:tc>
          <w:tcPr>
            <w:tcW w:w="9902" w:type="dxa"/>
            <w:shd w:val="clear" w:color="auto" w:fill="CFF0FC"/>
            <w:tcMar>
              <w:top w:w="15" w:type="dxa"/>
              <w:left w:w="0" w:type="dxa"/>
              <w:bottom w:w="0" w:type="dxa"/>
              <w:right w:w="15" w:type="dxa"/>
            </w:tcMar>
            <w:vAlign w:val="bottom"/>
            <w:hideMark/>
          </w:tcPr>
          <w:p w14:paraId="701C35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2023</w:t>
            </w:r>
          </w:p>
        </w:tc>
        <w:tc>
          <w:tcPr>
            <w:tcW w:w="225" w:type="dxa"/>
            <w:shd w:val="clear" w:color="auto" w:fill="CFF0FC"/>
            <w:tcMar>
              <w:top w:w="15" w:type="dxa"/>
              <w:left w:w="0" w:type="dxa"/>
              <w:bottom w:w="0" w:type="dxa"/>
              <w:right w:w="15" w:type="dxa"/>
            </w:tcMar>
            <w:vAlign w:val="bottom"/>
            <w:hideMark/>
          </w:tcPr>
          <w:p w14:paraId="054F81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7" w:type="dxa"/>
            <w:shd w:val="clear" w:color="auto" w:fill="CFF0FC"/>
            <w:noWrap/>
            <w:tcMar>
              <w:top w:w="15" w:type="dxa"/>
              <w:left w:w="0" w:type="dxa"/>
              <w:bottom w:w="0" w:type="dxa"/>
              <w:right w:w="15" w:type="dxa"/>
            </w:tcMar>
            <w:vAlign w:val="bottom"/>
            <w:hideMark/>
          </w:tcPr>
          <w:p w14:paraId="5626EE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1" w:type="dxa"/>
            <w:shd w:val="clear" w:color="auto" w:fill="CFF0FC"/>
            <w:noWrap/>
            <w:tcMar>
              <w:top w:w="15" w:type="dxa"/>
              <w:left w:w="0" w:type="dxa"/>
              <w:bottom w:w="0" w:type="dxa"/>
              <w:right w:w="15" w:type="dxa"/>
            </w:tcMar>
            <w:vAlign w:val="bottom"/>
            <w:hideMark/>
          </w:tcPr>
          <w:p w14:paraId="2E88370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22.6</w:t>
            </w:r>
          </w:p>
        </w:tc>
        <w:tc>
          <w:tcPr>
            <w:tcW w:w="109" w:type="dxa"/>
            <w:shd w:val="clear" w:color="auto" w:fill="CFF0FC"/>
            <w:noWrap/>
            <w:tcMar>
              <w:top w:w="15" w:type="dxa"/>
              <w:left w:w="0" w:type="dxa"/>
              <w:bottom w:w="0" w:type="dxa"/>
              <w:right w:w="15" w:type="dxa"/>
            </w:tcMar>
            <w:vAlign w:val="bottom"/>
            <w:hideMark/>
          </w:tcPr>
          <w:p w14:paraId="3AB4D9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D6A274D" w14:textId="77777777" w:rsidTr="00AC4931">
        <w:tc>
          <w:tcPr>
            <w:tcW w:w="9902" w:type="dxa"/>
            <w:shd w:val="clear" w:color="auto" w:fill="FFFFFF"/>
            <w:tcMar>
              <w:top w:w="15" w:type="dxa"/>
              <w:left w:w="0" w:type="dxa"/>
              <w:bottom w:w="0" w:type="dxa"/>
              <w:right w:w="15" w:type="dxa"/>
            </w:tcMar>
            <w:vAlign w:val="bottom"/>
            <w:hideMark/>
          </w:tcPr>
          <w:p w14:paraId="11344E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2024</w:t>
            </w:r>
          </w:p>
        </w:tc>
        <w:tc>
          <w:tcPr>
            <w:tcW w:w="225" w:type="dxa"/>
            <w:shd w:val="clear" w:color="auto" w:fill="FFFFFF"/>
            <w:tcMar>
              <w:top w:w="15" w:type="dxa"/>
              <w:left w:w="0" w:type="dxa"/>
              <w:bottom w:w="0" w:type="dxa"/>
              <w:right w:w="15" w:type="dxa"/>
            </w:tcMar>
            <w:vAlign w:val="bottom"/>
            <w:hideMark/>
          </w:tcPr>
          <w:p w14:paraId="1EA2B3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7" w:type="dxa"/>
            <w:shd w:val="clear" w:color="auto" w:fill="FFFFFF"/>
            <w:noWrap/>
            <w:tcMar>
              <w:top w:w="15" w:type="dxa"/>
              <w:left w:w="0" w:type="dxa"/>
              <w:bottom w:w="0" w:type="dxa"/>
              <w:right w:w="15" w:type="dxa"/>
            </w:tcMar>
            <w:vAlign w:val="bottom"/>
            <w:hideMark/>
          </w:tcPr>
          <w:p w14:paraId="62C520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1" w:type="dxa"/>
            <w:shd w:val="clear" w:color="auto" w:fill="FFFFFF"/>
            <w:noWrap/>
            <w:tcMar>
              <w:top w:w="15" w:type="dxa"/>
              <w:left w:w="0" w:type="dxa"/>
              <w:bottom w:w="0" w:type="dxa"/>
              <w:right w:w="15" w:type="dxa"/>
            </w:tcMar>
            <w:vAlign w:val="bottom"/>
            <w:hideMark/>
          </w:tcPr>
          <w:p w14:paraId="3F6AC04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16.3</w:t>
            </w:r>
          </w:p>
        </w:tc>
        <w:tc>
          <w:tcPr>
            <w:tcW w:w="109" w:type="dxa"/>
            <w:shd w:val="clear" w:color="auto" w:fill="FFFFFF"/>
            <w:noWrap/>
            <w:tcMar>
              <w:top w:w="15" w:type="dxa"/>
              <w:left w:w="0" w:type="dxa"/>
              <w:bottom w:w="0" w:type="dxa"/>
              <w:right w:w="15" w:type="dxa"/>
            </w:tcMar>
            <w:vAlign w:val="bottom"/>
            <w:hideMark/>
          </w:tcPr>
          <w:p w14:paraId="7D602B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BFCEAB0" w14:textId="77777777" w:rsidTr="00AC4931">
        <w:tc>
          <w:tcPr>
            <w:tcW w:w="9902" w:type="dxa"/>
            <w:shd w:val="clear" w:color="auto" w:fill="CFF0FC"/>
            <w:tcMar>
              <w:top w:w="15" w:type="dxa"/>
              <w:left w:w="0" w:type="dxa"/>
              <w:bottom w:w="0" w:type="dxa"/>
              <w:right w:w="15" w:type="dxa"/>
            </w:tcMar>
            <w:vAlign w:val="bottom"/>
            <w:hideMark/>
          </w:tcPr>
          <w:p w14:paraId="1C7298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2025</w:t>
            </w:r>
          </w:p>
        </w:tc>
        <w:tc>
          <w:tcPr>
            <w:tcW w:w="225" w:type="dxa"/>
            <w:shd w:val="clear" w:color="auto" w:fill="CFF0FC"/>
            <w:tcMar>
              <w:top w:w="15" w:type="dxa"/>
              <w:left w:w="0" w:type="dxa"/>
              <w:bottom w:w="0" w:type="dxa"/>
              <w:right w:w="15" w:type="dxa"/>
            </w:tcMar>
            <w:vAlign w:val="bottom"/>
            <w:hideMark/>
          </w:tcPr>
          <w:p w14:paraId="734D82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7" w:type="dxa"/>
            <w:shd w:val="clear" w:color="auto" w:fill="CFF0FC"/>
            <w:noWrap/>
            <w:tcMar>
              <w:top w:w="15" w:type="dxa"/>
              <w:left w:w="0" w:type="dxa"/>
              <w:bottom w:w="0" w:type="dxa"/>
              <w:right w:w="15" w:type="dxa"/>
            </w:tcMar>
            <w:vAlign w:val="bottom"/>
            <w:hideMark/>
          </w:tcPr>
          <w:p w14:paraId="7F9E10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1" w:type="dxa"/>
            <w:shd w:val="clear" w:color="auto" w:fill="CFF0FC"/>
            <w:noWrap/>
            <w:tcMar>
              <w:top w:w="15" w:type="dxa"/>
              <w:left w:w="0" w:type="dxa"/>
              <w:bottom w:w="0" w:type="dxa"/>
              <w:right w:w="15" w:type="dxa"/>
            </w:tcMar>
            <w:vAlign w:val="bottom"/>
            <w:hideMark/>
          </w:tcPr>
          <w:p w14:paraId="6DDB09A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12.7</w:t>
            </w:r>
          </w:p>
        </w:tc>
        <w:tc>
          <w:tcPr>
            <w:tcW w:w="109" w:type="dxa"/>
            <w:shd w:val="clear" w:color="auto" w:fill="CFF0FC"/>
            <w:noWrap/>
            <w:tcMar>
              <w:top w:w="15" w:type="dxa"/>
              <w:left w:w="0" w:type="dxa"/>
              <w:bottom w:w="0" w:type="dxa"/>
              <w:right w:w="15" w:type="dxa"/>
            </w:tcMar>
            <w:vAlign w:val="bottom"/>
            <w:hideMark/>
          </w:tcPr>
          <w:p w14:paraId="070E55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D3021DB" w14:textId="77777777" w:rsidTr="00AC4931">
        <w:tc>
          <w:tcPr>
            <w:tcW w:w="9902" w:type="dxa"/>
            <w:shd w:val="clear" w:color="auto" w:fill="FFFFFF"/>
            <w:tcMar>
              <w:top w:w="15" w:type="dxa"/>
              <w:left w:w="0" w:type="dxa"/>
              <w:bottom w:w="0" w:type="dxa"/>
              <w:right w:w="15" w:type="dxa"/>
            </w:tcMar>
            <w:vAlign w:val="bottom"/>
            <w:hideMark/>
          </w:tcPr>
          <w:p w14:paraId="40C43B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Thereafter</w:t>
            </w:r>
          </w:p>
        </w:tc>
        <w:tc>
          <w:tcPr>
            <w:tcW w:w="225" w:type="dxa"/>
            <w:shd w:val="clear" w:color="auto" w:fill="FFFFFF"/>
            <w:tcMar>
              <w:top w:w="15" w:type="dxa"/>
              <w:left w:w="0" w:type="dxa"/>
              <w:bottom w:w="0" w:type="dxa"/>
              <w:right w:w="15" w:type="dxa"/>
            </w:tcMar>
            <w:vAlign w:val="bottom"/>
            <w:hideMark/>
          </w:tcPr>
          <w:p w14:paraId="4327B3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7" w:type="dxa"/>
            <w:tcBorders>
              <w:bottom w:val="single" w:sz="6" w:space="0" w:color="000000"/>
            </w:tcBorders>
            <w:shd w:val="clear" w:color="auto" w:fill="FFFFFF"/>
            <w:noWrap/>
            <w:tcMar>
              <w:top w:w="15" w:type="dxa"/>
              <w:left w:w="0" w:type="dxa"/>
              <w:bottom w:w="0" w:type="dxa"/>
              <w:right w:w="15" w:type="dxa"/>
            </w:tcMar>
            <w:vAlign w:val="bottom"/>
            <w:hideMark/>
          </w:tcPr>
          <w:p w14:paraId="652255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1" w:type="dxa"/>
            <w:tcBorders>
              <w:bottom w:val="single" w:sz="6" w:space="0" w:color="000000"/>
            </w:tcBorders>
            <w:shd w:val="clear" w:color="auto" w:fill="FFFFFF"/>
            <w:noWrap/>
            <w:tcMar>
              <w:top w:w="15" w:type="dxa"/>
              <w:left w:w="0" w:type="dxa"/>
              <w:bottom w:w="0" w:type="dxa"/>
              <w:right w:w="15" w:type="dxa"/>
            </w:tcMar>
            <w:vAlign w:val="bottom"/>
            <w:hideMark/>
          </w:tcPr>
          <w:p w14:paraId="713D4D7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30.0</w:t>
            </w:r>
          </w:p>
        </w:tc>
        <w:tc>
          <w:tcPr>
            <w:tcW w:w="109" w:type="dxa"/>
            <w:shd w:val="clear" w:color="auto" w:fill="FFFFFF"/>
            <w:noWrap/>
            <w:tcMar>
              <w:top w:w="15" w:type="dxa"/>
              <w:left w:w="0" w:type="dxa"/>
              <w:bottom w:w="0" w:type="dxa"/>
              <w:right w:w="15" w:type="dxa"/>
            </w:tcMar>
            <w:vAlign w:val="bottom"/>
            <w:hideMark/>
          </w:tcPr>
          <w:p w14:paraId="57D1F8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8BE75D6" w14:textId="77777777" w:rsidTr="00AC4931">
        <w:tc>
          <w:tcPr>
            <w:tcW w:w="9902" w:type="dxa"/>
            <w:shd w:val="clear" w:color="auto" w:fill="CFF0FC"/>
            <w:tcMar>
              <w:top w:w="15" w:type="dxa"/>
              <w:left w:w="0" w:type="dxa"/>
              <w:bottom w:w="0" w:type="dxa"/>
              <w:right w:w="15" w:type="dxa"/>
            </w:tcMar>
            <w:vAlign w:val="bottom"/>
            <w:hideMark/>
          </w:tcPr>
          <w:p w14:paraId="2A8F8DA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operating lease payments</w:t>
            </w:r>
          </w:p>
        </w:tc>
        <w:tc>
          <w:tcPr>
            <w:tcW w:w="225" w:type="dxa"/>
            <w:shd w:val="clear" w:color="auto" w:fill="CFF0FC"/>
            <w:tcMar>
              <w:top w:w="15" w:type="dxa"/>
              <w:left w:w="0" w:type="dxa"/>
              <w:bottom w:w="0" w:type="dxa"/>
              <w:right w:w="15" w:type="dxa"/>
            </w:tcMar>
            <w:vAlign w:val="bottom"/>
            <w:hideMark/>
          </w:tcPr>
          <w:p w14:paraId="6039F0E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17" w:type="dxa"/>
            <w:tcBorders>
              <w:top w:val="single" w:sz="6" w:space="0" w:color="000000"/>
            </w:tcBorders>
            <w:shd w:val="clear" w:color="auto" w:fill="CFF0FC"/>
            <w:noWrap/>
            <w:tcMar>
              <w:top w:w="15" w:type="dxa"/>
              <w:left w:w="0" w:type="dxa"/>
              <w:bottom w:w="0" w:type="dxa"/>
              <w:right w:w="15" w:type="dxa"/>
            </w:tcMar>
            <w:vAlign w:val="bottom"/>
            <w:hideMark/>
          </w:tcPr>
          <w:p w14:paraId="29DB67F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41" w:type="dxa"/>
            <w:tcBorders>
              <w:top w:val="single" w:sz="6" w:space="0" w:color="000000"/>
            </w:tcBorders>
            <w:shd w:val="clear" w:color="auto" w:fill="CFF0FC"/>
            <w:noWrap/>
            <w:tcMar>
              <w:top w:w="15" w:type="dxa"/>
              <w:left w:w="0" w:type="dxa"/>
              <w:bottom w:w="0" w:type="dxa"/>
              <w:right w:w="15" w:type="dxa"/>
            </w:tcMar>
            <w:vAlign w:val="bottom"/>
            <w:hideMark/>
          </w:tcPr>
          <w:p w14:paraId="61315D3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150.0</w:t>
            </w:r>
          </w:p>
        </w:tc>
        <w:tc>
          <w:tcPr>
            <w:tcW w:w="109" w:type="dxa"/>
            <w:shd w:val="clear" w:color="auto" w:fill="CFF0FC"/>
            <w:noWrap/>
            <w:tcMar>
              <w:top w:w="15" w:type="dxa"/>
              <w:left w:w="0" w:type="dxa"/>
              <w:bottom w:w="0" w:type="dxa"/>
              <w:right w:w="15" w:type="dxa"/>
            </w:tcMar>
            <w:vAlign w:val="bottom"/>
            <w:hideMark/>
          </w:tcPr>
          <w:p w14:paraId="3DD17D3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F27B5D5" w14:textId="77777777" w:rsidTr="00AC4931">
        <w:tc>
          <w:tcPr>
            <w:tcW w:w="9902" w:type="dxa"/>
            <w:shd w:val="clear" w:color="auto" w:fill="FFFFFF"/>
            <w:tcMar>
              <w:top w:w="15" w:type="dxa"/>
              <w:left w:w="0" w:type="dxa"/>
              <w:bottom w:w="0" w:type="dxa"/>
              <w:right w:w="15" w:type="dxa"/>
            </w:tcMar>
            <w:vAlign w:val="bottom"/>
            <w:hideMark/>
          </w:tcPr>
          <w:p w14:paraId="2DBB63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Less imputed interest</w:t>
            </w:r>
          </w:p>
        </w:tc>
        <w:tc>
          <w:tcPr>
            <w:tcW w:w="225" w:type="dxa"/>
            <w:shd w:val="clear" w:color="auto" w:fill="FFFFFF"/>
            <w:tcMar>
              <w:top w:w="15" w:type="dxa"/>
              <w:left w:w="0" w:type="dxa"/>
              <w:bottom w:w="0" w:type="dxa"/>
              <w:right w:w="15" w:type="dxa"/>
            </w:tcMar>
            <w:vAlign w:val="bottom"/>
            <w:hideMark/>
          </w:tcPr>
          <w:p w14:paraId="08D452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7" w:type="dxa"/>
            <w:tcBorders>
              <w:bottom w:val="single" w:sz="6" w:space="0" w:color="000000"/>
            </w:tcBorders>
            <w:shd w:val="clear" w:color="auto" w:fill="FFFFFF"/>
            <w:noWrap/>
            <w:tcMar>
              <w:top w:w="15" w:type="dxa"/>
              <w:left w:w="0" w:type="dxa"/>
              <w:bottom w:w="0" w:type="dxa"/>
              <w:right w:w="15" w:type="dxa"/>
            </w:tcMar>
            <w:vAlign w:val="bottom"/>
            <w:hideMark/>
          </w:tcPr>
          <w:p w14:paraId="546346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1" w:type="dxa"/>
            <w:tcBorders>
              <w:bottom w:val="single" w:sz="6" w:space="0" w:color="000000"/>
            </w:tcBorders>
            <w:shd w:val="clear" w:color="auto" w:fill="FFFFFF"/>
            <w:noWrap/>
            <w:tcMar>
              <w:top w:w="15" w:type="dxa"/>
              <w:left w:w="0" w:type="dxa"/>
              <w:bottom w:w="0" w:type="dxa"/>
              <w:right w:w="15" w:type="dxa"/>
            </w:tcMar>
            <w:vAlign w:val="bottom"/>
            <w:hideMark/>
          </w:tcPr>
          <w:p w14:paraId="7F9DF8C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(9.4</w:t>
            </w:r>
          </w:p>
        </w:tc>
        <w:tc>
          <w:tcPr>
            <w:tcW w:w="109" w:type="dxa"/>
            <w:shd w:val="clear" w:color="auto" w:fill="FFFFFF"/>
            <w:noWrap/>
            <w:tcMar>
              <w:top w:w="15" w:type="dxa"/>
              <w:left w:w="0" w:type="dxa"/>
              <w:bottom w:w="0" w:type="dxa"/>
              <w:right w:w="15" w:type="dxa"/>
            </w:tcMar>
            <w:vAlign w:val="bottom"/>
            <w:hideMark/>
          </w:tcPr>
          <w:p w14:paraId="6A5D0F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19B75DE" w14:textId="77777777" w:rsidTr="00AC4931">
        <w:tc>
          <w:tcPr>
            <w:tcW w:w="9902" w:type="dxa"/>
            <w:shd w:val="clear" w:color="auto" w:fill="CFF0FC"/>
            <w:tcMar>
              <w:top w:w="15" w:type="dxa"/>
              <w:left w:w="0" w:type="dxa"/>
              <w:bottom w:w="0" w:type="dxa"/>
              <w:right w:w="15" w:type="dxa"/>
            </w:tcMar>
            <w:vAlign w:val="bottom"/>
            <w:hideMark/>
          </w:tcPr>
          <w:p w14:paraId="01775F2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operating lease liabilities</w:t>
            </w:r>
          </w:p>
        </w:tc>
        <w:tc>
          <w:tcPr>
            <w:tcW w:w="225" w:type="dxa"/>
            <w:shd w:val="clear" w:color="auto" w:fill="CFF0FC"/>
            <w:tcMar>
              <w:top w:w="15" w:type="dxa"/>
              <w:left w:w="0" w:type="dxa"/>
              <w:bottom w:w="0" w:type="dxa"/>
              <w:right w:w="15" w:type="dxa"/>
            </w:tcMar>
            <w:vAlign w:val="bottom"/>
            <w:hideMark/>
          </w:tcPr>
          <w:p w14:paraId="5B8B476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17" w:type="dxa"/>
            <w:tcBorders>
              <w:top w:val="single" w:sz="6" w:space="0" w:color="000000"/>
            </w:tcBorders>
            <w:shd w:val="clear" w:color="auto" w:fill="CFF0FC"/>
            <w:noWrap/>
            <w:tcMar>
              <w:top w:w="15" w:type="dxa"/>
              <w:left w:w="0" w:type="dxa"/>
              <w:bottom w:w="0" w:type="dxa"/>
              <w:right w:w="15" w:type="dxa"/>
            </w:tcMar>
            <w:vAlign w:val="bottom"/>
            <w:hideMark/>
          </w:tcPr>
          <w:p w14:paraId="093EC5D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41" w:type="dxa"/>
            <w:tcBorders>
              <w:top w:val="single" w:sz="6" w:space="0" w:color="000000"/>
            </w:tcBorders>
            <w:shd w:val="clear" w:color="auto" w:fill="CFF0FC"/>
            <w:noWrap/>
            <w:tcMar>
              <w:top w:w="15" w:type="dxa"/>
              <w:left w:w="0" w:type="dxa"/>
              <w:bottom w:w="0" w:type="dxa"/>
              <w:right w:w="15" w:type="dxa"/>
            </w:tcMar>
            <w:vAlign w:val="bottom"/>
            <w:hideMark/>
          </w:tcPr>
          <w:p w14:paraId="48376C8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140.6</w:t>
            </w:r>
          </w:p>
        </w:tc>
        <w:tc>
          <w:tcPr>
            <w:tcW w:w="109" w:type="dxa"/>
            <w:shd w:val="clear" w:color="auto" w:fill="CFF0FC"/>
            <w:noWrap/>
            <w:tcMar>
              <w:top w:w="15" w:type="dxa"/>
              <w:left w:w="0" w:type="dxa"/>
              <w:bottom w:w="0" w:type="dxa"/>
              <w:right w:w="15" w:type="dxa"/>
            </w:tcMar>
            <w:vAlign w:val="bottom"/>
            <w:hideMark/>
          </w:tcPr>
          <w:p w14:paraId="114AE763"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44058244"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p w14:paraId="22634286"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54FBC91F" w14:textId="77777777" w:rsidR="00AC4931" w:rsidRPr="00AC4931" w:rsidRDefault="00AC4931" w:rsidP="00AC4931">
      <w:pPr>
        <w:widowControl/>
        <w:spacing w:before="100"/>
        <w:rPr>
          <w:rFonts w:ascii="Arial" w:eastAsia="宋体" w:hAnsi="Arial" w:cs="Arial" w:hint="eastAsia"/>
          <w:b/>
          <w:bCs/>
          <w:kern w:val="0"/>
          <w:sz w:val="22"/>
        </w:rPr>
      </w:pPr>
      <w:r w:rsidRPr="00AC4931">
        <w:rPr>
          <w:rFonts w:ascii="Arial" w:eastAsia="宋体" w:hAnsi="Arial" w:cs="Arial"/>
          <w:b/>
          <w:bCs/>
          <w:kern w:val="0"/>
          <w:sz w:val="22"/>
        </w:rPr>
        <w:t>5. Fair Value Measurements</w:t>
      </w:r>
    </w:p>
    <w:p w14:paraId="5A5F9E2D" w14:textId="77777777" w:rsidR="00AC4931" w:rsidRPr="00AC4931" w:rsidRDefault="00AC4931" w:rsidP="00AC4931">
      <w:pPr>
        <w:widowControl/>
        <w:rPr>
          <w:rFonts w:ascii="宋体" w:eastAsia="宋体" w:hAnsi="宋体" w:cs="宋体"/>
          <w:b/>
          <w:bCs/>
          <w:kern w:val="0"/>
          <w:sz w:val="12"/>
          <w:szCs w:val="12"/>
        </w:rPr>
      </w:pPr>
      <w:r w:rsidRPr="00AC4931">
        <w:rPr>
          <w:rFonts w:ascii="宋体" w:eastAsia="宋体" w:hAnsi="宋体" w:cs="宋体"/>
          <w:b/>
          <w:bCs/>
          <w:kern w:val="0"/>
          <w:sz w:val="12"/>
          <w:szCs w:val="12"/>
        </w:rPr>
        <w:t> </w:t>
      </w:r>
    </w:p>
    <w:p w14:paraId="2143FE1D" w14:textId="77777777" w:rsidR="00AC4931" w:rsidRPr="00AC4931" w:rsidRDefault="00AC4931" w:rsidP="00AC4931">
      <w:pPr>
        <w:widowControl/>
        <w:rPr>
          <w:rFonts w:ascii="Arial" w:eastAsia="宋体" w:hAnsi="Arial" w:cs="Arial"/>
          <w:b/>
          <w:bCs/>
          <w:kern w:val="0"/>
          <w:sz w:val="18"/>
          <w:szCs w:val="18"/>
        </w:rPr>
      </w:pPr>
      <w:r w:rsidRPr="00AC4931">
        <w:rPr>
          <w:rFonts w:ascii="Arial" w:eastAsia="宋体" w:hAnsi="Arial" w:cs="Arial"/>
          <w:b/>
          <w:bCs/>
          <w:kern w:val="0"/>
          <w:sz w:val="18"/>
          <w:szCs w:val="18"/>
        </w:rPr>
        <w:t>ASSETS AND LIABILITIES MEASURED AT FAIR VALUE ON A RECURRING BASIS</w:t>
      </w:r>
    </w:p>
    <w:p w14:paraId="4878693D"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carrying value of cash and cash equivalents, accounts receivable, accounts payable, other current liabilities and short-term debt approximate their fair value because of the short-term maturity of these instruments.</w:t>
      </w:r>
    </w:p>
    <w:p w14:paraId="4E6A26AC"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uses derivative financial instruments, “derivatives”, as part of its debt management to mitigate the market risk that occurs from its exposure to changes in interest and foreign exchange rates. The Company does not enter into derivatives for trading or other speculative purposes. The Company’s use of derivatives is in accordance with the strategies contained in the Company’s overall financial policy. All derivatives are recognized in the consolidated financial statements at fair value. Certain derivatives are from time to time designated either as fair value hedges or cash flow hedges in line with the hedge accounting criteria. For certain other derivatives hedge accounting is not applied either because non-hedge accounting treatment creates the same accounting result or the hedge does not meet the hedge accounting requirements, although entered into applying the same rationale concerning mitigating market risk that occurs from changes in interest and foreign exchange rates.</w:t>
      </w:r>
    </w:p>
    <w:p w14:paraId="595A6255"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67</w:t>
      </w:r>
    </w:p>
    <w:p w14:paraId="7B7B4C8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433448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DD91AD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CE80A4B"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77FB0760">
          <v:rect id="_x0000_i1094" style="width:0;height:1.5pt" o:hralign="center" o:hrstd="t" o:hrnoshade="t" o:hr="t" fillcolor="black" stroked="f"/>
        </w:pict>
      </w:r>
    </w:p>
    <w:p w14:paraId="3CDFA4B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ABE75D7"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7BB9AE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331D1E0" w14:textId="77777777" w:rsidR="00AC4931" w:rsidRPr="00AC4931" w:rsidRDefault="00AC4931" w:rsidP="00AC4931">
      <w:pPr>
        <w:widowControl/>
        <w:spacing w:before="240"/>
        <w:rPr>
          <w:rFonts w:ascii="Arial" w:eastAsia="宋体" w:hAnsi="Arial" w:cs="Arial" w:hint="eastAsia"/>
          <w:kern w:val="0"/>
          <w:sz w:val="18"/>
          <w:szCs w:val="18"/>
        </w:rPr>
      </w:pPr>
      <w:r w:rsidRPr="00AC4931">
        <w:rPr>
          <w:rFonts w:ascii="Arial" w:eastAsia="宋体" w:hAnsi="Arial" w:cs="Arial"/>
          <w:kern w:val="0"/>
          <w:sz w:val="18"/>
          <w:szCs w:val="18"/>
        </w:rPr>
        <w:lastRenderedPageBreak/>
        <w:t>The degree of judgment utilized in measuring the fair value of the instruments generally correlates to the level of pricing observability. Pricing observability is impacted by several factors, including the type of asset or liability, whether the asset or liability has an established market and the characteristics specific to the transaction. Instruments with readily active quoted prices or for which fair value can be measured from actively quoted prices generally will have a higher degree of pricing observability and a lesser degree of judgment utilized in measuring fair value. Conversely, assets rarely traded or not quoted will generally have less, or no, pricing observability and a higher degree of judgment utilized in measuring fair value.</w:t>
      </w:r>
    </w:p>
    <w:p w14:paraId="094D6F4C"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Under U.S. GAAP, there is a disclosure framework hierarchy associated with the level of pricing observability utilized in measuring assets and liabilities at fair value. The three broad levels defined by the hierarchy are as follows:</w:t>
      </w:r>
    </w:p>
    <w:p w14:paraId="7AB35FD1" w14:textId="77777777" w:rsidR="00AC4931" w:rsidRPr="00AC4931" w:rsidRDefault="00AC4931" w:rsidP="00AC4931">
      <w:pPr>
        <w:widowControl/>
        <w:spacing w:before="240"/>
        <w:rPr>
          <w:rFonts w:ascii="Arial" w:eastAsia="宋体" w:hAnsi="Arial" w:cs="Arial"/>
          <w:b/>
          <w:bCs/>
          <w:kern w:val="0"/>
          <w:sz w:val="18"/>
          <w:szCs w:val="18"/>
        </w:rPr>
      </w:pPr>
      <w:r w:rsidRPr="00AC4931">
        <w:rPr>
          <w:rFonts w:ascii="Arial" w:eastAsia="宋体" w:hAnsi="Arial" w:cs="Arial"/>
          <w:b/>
          <w:bCs/>
          <w:kern w:val="0"/>
          <w:sz w:val="18"/>
          <w:szCs w:val="18"/>
        </w:rPr>
        <w:t>Level 1 </w:t>
      </w:r>
      <w:r w:rsidRPr="00AC4931">
        <w:rPr>
          <w:rFonts w:ascii="Arial" w:eastAsia="宋体" w:hAnsi="Arial" w:cs="Arial"/>
          <w:kern w:val="0"/>
          <w:sz w:val="18"/>
          <w:szCs w:val="18"/>
        </w:rPr>
        <w:t>- Quoted prices are available in active markets for identical assets or liabilities as of the reported date.</w:t>
      </w:r>
    </w:p>
    <w:p w14:paraId="4E6FD162" w14:textId="77777777" w:rsidR="00AC4931" w:rsidRPr="00AC4931" w:rsidRDefault="00AC4931" w:rsidP="00AC4931">
      <w:pPr>
        <w:widowControl/>
        <w:spacing w:before="240"/>
        <w:rPr>
          <w:rFonts w:ascii="Arial" w:eastAsia="宋体" w:hAnsi="Arial" w:cs="Arial"/>
          <w:b/>
          <w:bCs/>
          <w:kern w:val="0"/>
          <w:sz w:val="18"/>
          <w:szCs w:val="18"/>
        </w:rPr>
      </w:pPr>
      <w:r w:rsidRPr="00AC4931">
        <w:rPr>
          <w:rFonts w:ascii="Arial" w:eastAsia="宋体" w:hAnsi="Arial" w:cs="Arial"/>
          <w:b/>
          <w:bCs/>
          <w:kern w:val="0"/>
          <w:sz w:val="18"/>
          <w:szCs w:val="18"/>
        </w:rPr>
        <w:t>Level 2 </w:t>
      </w:r>
      <w:r w:rsidRPr="00AC4931">
        <w:rPr>
          <w:rFonts w:ascii="Arial" w:eastAsia="宋体" w:hAnsi="Arial" w:cs="Arial"/>
          <w:kern w:val="0"/>
          <w:sz w:val="18"/>
          <w:szCs w:val="18"/>
        </w:rPr>
        <w:t>- Pricing inputs are other than quoted prices in active markets, which are either directly or indirectly observable as of the reported date. The nature of these assets and liabilities include items for which quoted prices are available but traded less frequently, and items that are fair valued using other financial instruments, the parameters of which can be directly observed.</w:t>
      </w:r>
    </w:p>
    <w:p w14:paraId="32C06B34" w14:textId="77777777" w:rsidR="00AC4931" w:rsidRPr="00AC4931" w:rsidRDefault="00AC4931" w:rsidP="00AC4931">
      <w:pPr>
        <w:widowControl/>
        <w:spacing w:before="240"/>
        <w:rPr>
          <w:rFonts w:ascii="Arial" w:eastAsia="宋体" w:hAnsi="Arial" w:cs="Arial"/>
          <w:b/>
          <w:bCs/>
          <w:kern w:val="0"/>
          <w:sz w:val="18"/>
          <w:szCs w:val="18"/>
        </w:rPr>
      </w:pPr>
      <w:r w:rsidRPr="00AC4931">
        <w:rPr>
          <w:rFonts w:ascii="Arial" w:eastAsia="宋体" w:hAnsi="Arial" w:cs="Arial"/>
          <w:b/>
          <w:bCs/>
          <w:kern w:val="0"/>
          <w:sz w:val="18"/>
          <w:szCs w:val="18"/>
        </w:rPr>
        <w:t>Level 3 </w:t>
      </w:r>
      <w:r w:rsidRPr="00AC4931">
        <w:rPr>
          <w:rFonts w:ascii="Arial" w:eastAsia="宋体" w:hAnsi="Arial" w:cs="Arial"/>
          <w:kern w:val="0"/>
          <w:sz w:val="18"/>
          <w:szCs w:val="18"/>
        </w:rPr>
        <w:t>- Assets and liabilities that have little to no pricing observability as of the reported date. These items do not have two-way markets and are measured using management’s best estimate of fair value, where the inputs into the determination of fair value require significant management judgment or estimation.</w:t>
      </w:r>
    </w:p>
    <w:p w14:paraId="1ADD7220"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Company’s derivatives are all classified as Level 2 of the fair value hierarchy.</w:t>
      </w:r>
    </w:p>
    <w:p w14:paraId="3C6FECFF"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tables below present information about the Company’s financial assets and liabilities measured at fair value on a recurring basis for the continuing operations as of December 31, 2020 and December 31, 2019. The carrying value is the same as the fair value as these instruments are recognized in the consolidated financial statements at fair value. Although the Company is party to close-out netting agreements (ISDA agreements) with all derivative counterparties, the fair values in the tables below and in the Consolidated Balance Sheets at December 31, 2020 and December 31, 2019 have been presented on a gross basis. According to the close-out netting agreements, transaction amounts payable to a counterparty on the same date and in the same currency can be netted. The amounts subject to netting agreements that the Company choose not to offset are presented below.</w:t>
      </w:r>
    </w:p>
    <w:p w14:paraId="2CE3D565"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DERIVATIVES DESIGNATED AS HEDGING INSTRUMENTS</w:t>
      </w:r>
    </w:p>
    <w:p w14:paraId="3B7E469A"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There were no derivatives designated as hedging instruments as of December 31, 2020 and December 31, 2019 related to the continuing operations.</w:t>
      </w:r>
    </w:p>
    <w:p w14:paraId="766763A6"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DERIVATIVES NOT DESIGNATED AS HEDGING INSTRUMENTS</w:t>
      </w:r>
    </w:p>
    <w:p w14:paraId="7766D21C"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xml:space="preserve">Derivatives not designated as hedging instruments, relate to economic hedges and are marked to market with all amounts recognized in the Consolidated Statements of Income. The derivatives not designated </w:t>
      </w:r>
      <w:r w:rsidRPr="00AC4931">
        <w:rPr>
          <w:rFonts w:ascii="Arial" w:eastAsia="宋体" w:hAnsi="Arial" w:cs="Arial"/>
          <w:kern w:val="0"/>
          <w:sz w:val="18"/>
          <w:szCs w:val="18"/>
        </w:rPr>
        <w:lastRenderedPageBreak/>
        <w:t>as hedging instruments outstanding at December 31, 2020 and December 31, 2019 were foreign exchange swaps.</w:t>
      </w:r>
    </w:p>
    <w:p w14:paraId="3E977149"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For 2020, the gains and losses recognized in other non-operating items, net are a gain of $18.5 million for derivative instruments not designated as hedging instruments. For 2019, the Company recognized a gain of $3.5 million in other non-operating items, net for derivative instruments not designated as hedging instruments. For 2018, the Company recognized a loss of $1.5 million in other non-operating items, net for derivative instruments not designated as hedging instruments.</w:t>
      </w:r>
      <w:r w:rsidRPr="00AC4931">
        <w:rPr>
          <w:rFonts w:ascii="Arial" w:eastAsia="宋体" w:hAnsi="Arial" w:cs="Arial"/>
          <w:kern w:val="0"/>
          <w:sz w:val="20"/>
          <w:szCs w:val="20"/>
        </w:rPr>
        <w:t> </w:t>
      </w:r>
      <w:r w:rsidRPr="00AC4931">
        <w:rPr>
          <w:rFonts w:ascii="Arial" w:eastAsia="宋体" w:hAnsi="Arial" w:cs="Arial"/>
          <w:kern w:val="0"/>
          <w:sz w:val="18"/>
          <w:szCs w:val="18"/>
        </w:rPr>
        <w:t>For 2020, 2019 and 2018, the gains and losses recognized as interest expense were immaterial.</w:t>
      </w:r>
    </w:p>
    <w:p w14:paraId="52E1D3C3"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5730"/>
        <w:gridCol w:w="200"/>
        <w:gridCol w:w="200"/>
        <w:gridCol w:w="1437"/>
        <w:gridCol w:w="200"/>
        <w:gridCol w:w="199"/>
        <w:gridCol w:w="199"/>
        <w:gridCol w:w="1939"/>
        <w:gridCol w:w="199"/>
        <w:gridCol w:w="199"/>
        <w:gridCol w:w="214"/>
        <w:gridCol w:w="2156"/>
        <w:gridCol w:w="199"/>
        <w:gridCol w:w="199"/>
        <w:gridCol w:w="199"/>
        <w:gridCol w:w="1436"/>
        <w:gridCol w:w="199"/>
        <w:gridCol w:w="199"/>
        <w:gridCol w:w="205"/>
        <w:gridCol w:w="1938"/>
        <w:gridCol w:w="199"/>
        <w:gridCol w:w="199"/>
        <w:gridCol w:w="214"/>
        <w:gridCol w:w="2156"/>
        <w:gridCol w:w="199"/>
        <w:gridCol w:w="201"/>
      </w:tblGrid>
      <w:tr w:rsidR="00AC4931" w:rsidRPr="00AC4931" w14:paraId="4700C5C7" w14:textId="77777777" w:rsidTr="00AC4931">
        <w:tc>
          <w:tcPr>
            <w:tcW w:w="5723" w:type="dxa"/>
            <w:shd w:val="clear" w:color="auto" w:fill="FFFFFF"/>
            <w:tcMar>
              <w:top w:w="15" w:type="dxa"/>
              <w:left w:w="0" w:type="dxa"/>
              <w:bottom w:w="0" w:type="dxa"/>
              <w:right w:w="15" w:type="dxa"/>
            </w:tcMar>
            <w:vAlign w:val="bottom"/>
            <w:hideMark/>
          </w:tcPr>
          <w:p w14:paraId="3C85BC4D" w14:textId="77777777" w:rsidR="00AC4931" w:rsidRPr="00AC4931" w:rsidRDefault="00AC4931" w:rsidP="00AC4931">
            <w:pPr>
              <w:widowControl/>
              <w:jc w:val="center"/>
              <w:rPr>
                <w:rFonts w:ascii="Arial" w:eastAsia="宋体" w:hAnsi="Arial" w:cs="Arial"/>
                <w:kern w:val="0"/>
                <w:sz w:val="14"/>
                <w:szCs w:val="14"/>
              </w:rPr>
            </w:pPr>
            <w:r w:rsidRPr="00AC4931">
              <w:rPr>
                <w:rFonts w:ascii="Arial" w:eastAsia="宋体" w:hAnsi="Arial" w:cs="Arial"/>
                <w:kern w:val="0"/>
                <w:sz w:val="14"/>
                <w:szCs w:val="14"/>
              </w:rPr>
              <w:t> </w:t>
            </w:r>
          </w:p>
        </w:tc>
        <w:tc>
          <w:tcPr>
            <w:tcW w:w="199" w:type="dxa"/>
            <w:shd w:val="clear" w:color="auto" w:fill="FFFFFF"/>
            <w:tcMar>
              <w:top w:w="15" w:type="dxa"/>
              <w:left w:w="0" w:type="dxa"/>
              <w:bottom w:w="0" w:type="dxa"/>
              <w:right w:w="15" w:type="dxa"/>
            </w:tcMar>
            <w:vAlign w:val="bottom"/>
            <w:hideMark/>
          </w:tcPr>
          <w:p w14:paraId="7195B55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6893" w:type="dxa"/>
            <w:gridSpan w:val="10"/>
            <w:tcBorders>
              <w:bottom w:val="single" w:sz="6" w:space="0" w:color="000000"/>
            </w:tcBorders>
            <w:shd w:val="clear" w:color="auto" w:fill="FFFFFF"/>
            <w:tcMar>
              <w:top w:w="15" w:type="dxa"/>
              <w:left w:w="0" w:type="dxa"/>
              <w:bottom w:w="0" w:type="dxa"/>
              <w:right w:w="15" w:type="dxa"/>
            </w:tcMar>
            <w:vAlign w:val="bottom"/>
            <w:hideMark/>
          </w:tcPr>
          <w:p w14:paraId="175B46A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DECEMBER 31, 2020</w:t>
            </w:r>
          </w:p>
        </w:tc>
        <w:tc>
          <w:tcPr>
            <w:tcW w:w="191" w:type="dxa"/>
            <w:shd w:val="clear" w:color="auto" w:fill="FFFFFF"/>
            <w:noWrap/>
            <w:tcMar>
              <w:top w:w="15" w:type="dxa"/>
              <w:left w:w="0" w:type="dxa"/>
              <w:bottom w:w="0" w:type="dxa"/>
              <w:right w:w="15" w:type="dxa"/>
            </w:tcMar>
            <w:vAlign w:val="bottom"/>
            <w:hideMark/>
          </w:tcPr>
          <w:p w14:paraId="23B2C319"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1BF359A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6898" w:type="dxa"/>
            <w:gridSpan w:val="10"/>
            <w:tcBorders>
              <w:bottom w:val="single" w:sz="6" w:space="0" w:color="000000"/>
            </w:tcBorders>
            <w:shd w:val="clear" w:color="auto" w:fill="FFFFFF"/>
            <w:tcMar>
              <w:top w:w="15" w:type="dxa"/>
              <w:left w:w="0" w:type="dxa"/>
              <w:bottom w:w="0" w:type="dxa"/>
              <w:right w:w="15" w:type="dxa"/>
            </w:tcMar>
            <w:vAlign w:val="bottom"/>
            <w:hideMark/>
          </w:tcPr>
          <w:p w14:paraId="61C3C8D0"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DECEMBER 31, 2019</w:t>
            </w:r>
          </w:p>
        </w:tc>
        <w:tc>
          <w:tcPr>
            <w:tcW w:w="191" w:type="dxa"/>
            <w:shd w:val="clear" w:color="auto" w:fill="FFFFFF"/>
            <w:noWrap/>
            <w:tcMar>
              <w:top w:w="15" w:type="dxa"/>
              <w:left w:w="0" w:type="dxa"/>
              <w:bottom w:w="0" w:type="dxa"/>
              <w:right w:w="15" w:type="dxa"/>
            </w:tcMar>
            <w:vAlign w:val="bottom"/>
            <w:hideMark/>
          </w:tcPr>
          <w:p w14:paraId="2EFBCFA5"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1" w:type="dxa"/>
            <w:shd w:val="clear" w:color="auto" w:fill="FFFFFF"/>
            <w:tcMar>
              <w:top w:w="15" w:type="dxa"/>
              <w:left w:w="0" w:type="dxa"/>
              <w:bottom w:w="0" w:type="dxa"/>
              <w:right w:w="15" w:type="dxa"/>
            </w:tcMar>
            <w:vAlign w:val="bottom"/>
            <w:hideMark/>
          </w:tcPr>
          <w:p w14:paraId="0D59BEFE"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r>
      <w:tr w:rsidR="00AC4931" w:rsidRPr="00AC4931" w14:paraId="6A0FC597" w14:textId="77777777" w:rsidTr="00AC4931">
        <w:tc>
          <w:tcPr>
            <w:tcW w:w="5723" w:type="dxa"/>
            <w:shd w:val="clear" w:color="auto" w:fill="FFFFFF"/>
            <w:tcMar>
              <w:top w:w="15" w:type="dxa"/>
              <w:left w:w="0" w:type="dxa"/>
              <w:bottom w:w="0" w:type="dxa"/>
              <w:right w:w="15" w:type="dxa"/>
            </w:tcMar>
            <w:vAlign w:val="bottom"/>
            <w:hideMark/>
          </w:tcPr>
          <w:p w14:paraId="03B04348"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1C11C86C"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142919A"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419" w:type="dxa"/>
            <w:tcBorders>
              <w:top w:val="single" w:sz="6" w:space="0" w:color="000000"/>
            </w:tcBorders>
            <w:shd w:val="clear" w:color="auto" w:fill="FFFFFF"/>
            <w:noWrap/>
            <w:tcMar>
              <w:top w:w="15" w:type="dxa"/>
              <w:left w:w="0" w:type="dxa"/>
              <w:bottom w:w="0" w:type="dxa"/>
              <w:right w:w="15" w:type="dxa"/>
            </w:tcMar>
            <w:vAlign w:val="bottom"/>
            <w:hideMark/>
          </w:tcPr>
          <w:p w14:paraId="21D8ADE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1" w:type="dxa"/>
            <w:shd w:val="clear" w:color="auto" w:fill="FFFFFF"/>
            <w:noWrap/>
            <w:tcMar>
              <w:top w:w="15" w:type="dxa"/>
              <w:left w:w="0" w:type="dxa"/>
              <w:bottom w:w="0" w:type="dxa"/>
              <w:right w:w="15" w:type="dxa"/>
            </w:tcMar>
            <w:vAlign w:val="bottom"/>
            <w:hideMark/>
          </w:tcPr>
          <w:p w14:paraId="1093E1DE"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tcBorders>
              <w:top w:val="single" w:sz="6" w:space="0" w:color="000000"/>
            </w:tcBorders>
            <w:shd w:val="clear" w:color="auto" w:fill="FFFFFF"/>
            <w:tcMar>
              <w:top w:w="15" w:type="dxa"/>
              <w:left w:w="0" w:type="dxa"/>
              <w:bottom w:w="0" w:type="dxa"/>
              <w:right w:w="15" w:type="dxa"/>
            </w:tcMar>
            <w:vAlign w:val="bottom"/>
            <w:hideMark/>
          </w:tcPr>
          <w:p w14:paraId="144CB38E"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4833"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910103"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Fair Value Measurements</w:t>
            </w:r>
          </w:p>
        </w:tc>
        <w:tc>
          <w:tcPr>
            <w:tcW w:w="191" w:type="dxa"/>
            <w:shd w:val="clear" w:color="auto" w:fill="FFFFFF"/>
            <w:noWrap/>
            <w:tcMar>
              <w:top w:w="15" w:type="dxa"/>
              <w:left w:w="0" w:type="dxa"/>
              <w:bottom w:w="0" w:type="dxa"/>
              <w:right w:w="15" w:type="dxa"/>
            </w:tcMar>
            <w:vAlign w:val="bottom"/>
            <w:hideMark/>
          </w:tcPr>
          <w:p w14:paraId="1EE0B34C"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2D4B30F8"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8A26313"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419" w:type="dxa"/>
            <w:tcBorders>
              <w:top w:val="single" w:sz="6" w:space="0" w:color="000000"/>
            </w:tcBorders>
            <w:shd w:val="clear" w:color="auto" w:fill="FFFFFF"/>
            <w:noWrap/>
            <w:tcMar>
              <w:top w:w="15" w:type="dxa"/>
              <w:left w:w="0" w:type="dxa"/>
              <w:bottom w:w="0" w:type="dxa"/>
              <w:right w:w="15" w:type="dxa"/>
            </w:tcMar>
            <w:vAlign w:val="bottom"/>
            <w:hideMark/>
          </w:tcPr>
          <w:p w14:paraId="48BFA698"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1" w:type="dxa"/>
            <w:shd w:val="clear" w:color="auto" w:fill="FFFFFF"/>
            <w:noWrap/>
            <w:tcMar>
              <w:top w:w="15" w:type="dxa"/>
              <w:left w:w="0" w:type="dxa"/>
              <w:bottom w:w="0" w:type="dxa"/>
              <w:right w:w="15" w:type="dxa"/>
            </w:tcMar>
            <w:vAlign w:val="bottom"/>
            <w:hideMark/>
          </w:tcPr>
          <w:p w14:paraId="7B66F520"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tcBorders>
              <w:top w:val="single" w:sz="6" w:space="0" w:color="000000"/>
            </w:tcBorders>
            <w:shd w:val="clear" w:color="auto" w:fill="FFFFFF"/>
            <w:tcMar>
              <w:top w:w="15" w:type="dxa"/>
              <w:left w:w="0" w:type="dxa"/>
              <w:bottom w:w="0" w:type="dxa"/>
              <w:right w:w="15" w:type="dxa"/>
            </w:tcMar>
            <w:vAlign w:val="bottom"/>
            <w:hideMark/>
          </w:tcPr>
          <w:p w14:paraId="37D6B9A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4839"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9CD3DF"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Fair Value Measurements</w:t>
            </w:r>
          </w:p>
        </w:tc>
        <w:tc>
          <w:tcPr>
            <w:tcW w:w="191" w:type="dxa"/>
            <w:shd w:val="clear" w:color="auto" w:fill="FFFFFF"/>
            <w:noWrap/>
            <w:tcMar>
              <w:top w:w="15" w:type="dxa"/>
              <w:left w:w="0" w:type="dxa"/>
              <w:bottom w:w="0" w:type="dxa"/>
              <w:right w:w="15" w:type="dxa"/>
            </w:tcMar>
            <w:vAlign w:val="bottom"/>
            <w:hideMark/>
          </w:tcPr>
          <w:p w14:paraId="7278DF2F"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1" w:type="dxa"/>
            <w:shd w:val="clear" w:color="auto" w:fill="FFFFFF"/>
            <w:tcMar>
              <w:top w:w="15" w:type="dxa"/>
              <w:left w:w="0" w:type="dxa"/>
              <w:bottom w:w="0" w:type="dxa"/>
              <w:right w:w="15" w:type="dxa"/>
            </w:tcMar>
            <w:vAlign w:val="bottom"/>
            <w:hideMark/>
          </w:tcPr>
          <w:p w14:paraId="221711BA"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r>
      <w:tr w:rsidR="00AC4931" w:rsidRPr="00AC4931" w14:paraId="31DD27CF" w14:textId="77777777" w:rsidTr="00AC4931">
        <w:tc>
          <w:tcPr>
            <w:tcW w:w="5723" w:type="dxa"/>
            <w:shd w:val="clear" w:color="auto" w:fill="FFFFFF"/>
            <w:tcMar>
              <w:top w:w="15" w:type="dxa"/>
              <w:left w:w="0" w:type="dxa"/>
              <w:bottom w:w="0" w:type="dxa"/>
              <w:right w:w="15" w:type="dxa"/>
            </w:tcMar>
            <w:vAlign w:val="bottom"/>
            <w:hideMark/>
          </w:tcPr>
          <w:p w14:paraId="7A1C147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2249CE3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1" w:type="dxa"/>
            <w:shd w:val="clear" w:color="auto" w:fill="FFFFFF"/>
            <w:noWrap/>
            <w:tcMar>
              <w:top w:w="15" w:type="dxa"/>
              <w:left w:w="0" w:type="dxa"/>
              <w:bottom w:w="0" w:type="dxa"/>
              <w:right w:w="15" w:type="dxa"/>
            </w:tcMar>
            <w:vAlign w:val="bottom"/>
            <w:hideMark/>
          </w:tcPr>
          <w:p w14:paraId="04788AEB"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419" w:type="dxa"/>
            <w:shd w:val="clear" w:color="auto" w:fill="FFFFFF"/>
            <w:noWrap/>
            <w:tcMar>
              <w:top w:w="15" w:type="dxa"/>
              <w:left w:w="0" w:type="dxa"/>
              <w:bottom w:w="0" w:type="dxa"/>
              <w:right w:w="15" w:type="dxa"/>
            </w:tcMar>
            <w:vAlign w:val="bottom"/>
            <w:hideMark/>
          </w:tcPr>
          <w:p w14:paraId="1F760DAC"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1" w:type="dxa"/>
            <w:shd w:val="clear" w:color="auto" w:fill="FFFFFF"/>
            <w:noWrap/>
            <w:tcMar>
              <w:top w:w="15" w:type="dxa"/>
              <w:left w:w="0" w:type="dxa"/>
              <w:bottom w:w="0" w:type="dxa"/>
              <w:right w:w="15" w:type="dxa"/>
            </w:tcMar>
            <w:vAlign w:val="bottom"/>
            <w:hideMark/>
          </w:tcPr>
          <w:p w14:paraId="0EF75116"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40EE650D"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128" w:type="dxa"/>
            <w:gridSpan w:val="2"/>
            <w:tcBorders>
              <w:top w:val="single" w:sz="6" w:space="0" w:color="000000"/>
            </w:tcBorders>
            <w:shd w:val="clear" w:color="auto" w:fill="FFFFFF"/>
            <w:tcMar>
              <w:top w:w="15" w:type="dxa"/>
              <w:left w:w="0" w:type="dxa"/>
              <w:bottom w:w="0" w:type="dxa"/>
              <w:right w:w="15" w:type="dxa"/>
            </w:tcMar>
            <w:vAlign w:val="bottom"/>
            <w:hideMark/>
          </w:tcPr>
          <w:p w14:paraId="14A77612"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Derivative asset</w:t>
            </w:r>
          </w:p>
        </w:tc>
        <w:tc>
          <w:tcPr>
            <w:tcW w:w="191" w:type="dxa"/>
            <w:shd w:val="clear" w:color="auto" w:fill="FFFFFF"/>
            <w:noWrap/>
            <w:tcMar>
              <w:top w:w="15" w:type="dxa"/>
              <w:left w:w="0" w:type="dxa"/>
              <w:bottom w:w="0" w:type="dxa"/>
              <w:right w:w="15" w:type="dxa"/>
            </w:tcMar>
            <w:vAlign w:val="bottom"/>
            <w:hideMark/>
          </w:tcPr>
          <w:p w14:paraId="77695BEA"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tcBorders>
              <w:top w:val="single" w:sz="6" w:space="0" w:color="000000"/>
            </w:tcBorders>
            <w:shd w:val="clear" w:color="auto" w:fill="FFFFFF"/>
            <w:tcMar>
              <w:top w:w="15" w:type="dxa"/>
              <w:left w:w="0" w:type="dxa"/>
              <w:bottom w:w="0" w:type="dxa"/>
              <w:right w:w="15" w:type="dxa"/>
            </w:tcMar>
            <w:vAlign w:val="bottom"/>
            <w:hideMark/>
          </w:tcPr>
          <w:p w14:paraId="1FF815DF"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270" w:type="dxa"/>
            <w:gridSpan w:val="2"/>
            <w:tcBorders>
              <w:top w:val="single" w:sz="6" w:space="0" w:color="000000"/>
            </w:tcBorders>
            <w:shd w:val="clear" w:color="auto" w:fill="FFFFFF"/>
            <w:tcMar>
              <w:top w:w="15" w:type="dxa"/>
              <w:left w:w="0" w:type="dxa"/>
              <w:bottom w:w="0" w:type="dxa"/>
              <w:right w:w="15" w:type="dxa"/>
            </w:tcMar>
            <w:vAlign w:val="bottom"/>
            <w:hideMark/>
          </w:tcPr>
          <w:p w14:paraId="0B6BDB37"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Derivative liability</w:t>
            </w:r>
          </w:p>
        </w:tc>
        <w:tc>
          <w:tcPr>
            <w:tcW w:w="191" w:type="dxa"/>
            <w:shd w:val="clear" w:color="auto" w:fill="FFFFFF"/>
            <w:noWrap/>
            <w:tcMar>
              <w:top w:w="15" w:type="dxa"/>
              <w:left w:w="0" w:type="dxa"/>
              <w:bottom w:w="0" w:type="dxa"/>
              <w:right w:w="15" w:type="dxa"/>
            </w:tcMar>
            <w:vAlign w:val="bottom"/>
            <w:hideMark/>
          </w:tcPr>
          <w:p w14:paraId="43C5803B"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0AD53A91"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1" w:type="dxa"/>
            <w:shd w:val="clear" w:color="auto" w:fill="FFFFFF"/>
            <w:noWrap/>
            <w:tcMar>
              <w:top w:w="15" w:type="dxa"/>
              <w:left w:w="0" w:type="dxa"/>
              <w:bottom w:w="0" w:type="dxa"/>
              <w:right w:w="15" w:type="dxa"/>
            </w:tcMar>
            <w:vAlign w:val="bottom"/>
            <w:hideMark/>
          </w:tcPr>
          <w:p w14:paraId="31348C11"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419" w:type="dxa"/>
            <w:shd w:val="clear" w:color="auto" w:fill="FFFFFF"/>
            <w:noWrap/>
            <w:tcMar>
              <w:top w:w="15" w:type="dxa"/>
              <w:left w:w="0" w:type="dxa"/>
              <w:bottom w:w="0" w:type="dxa"/>
              <w:right w:w="15" w:type="dxa"/>
            </w:tcMar>
            <w:vAlign w:val="bottom"/>
            <w:hideMark/>
          </w:tcPr>
          <w:p w14:paraId="47EE3547"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1" w:type="dxa"/>
            <w:shd w:val="clear" w:color="auto" w:fill="FFFFFF"/>
            <w:noWrap/>
            <w:tcMar>
              <w:top w:w="15" w:type="dxa"/>
              <w:left w:w="0" w:type="dxa"/>
              <w:bottom w:w="0" w:type="dxa"/>
              <w:right w:w="15" w:type="dxa"/>
            </w:tcMar>
            <w:vAlign w:val="bottom"/>
            <w:hideMark/>
          </w:tcPr>
          <w:p w14:paraId="187EBB1D"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50DD049A"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133" w:type="dxa"/>
            <w:gridSpan w:val="2"/>
            <w:tcBorders>
              <w:top w:val="single" w:sz="6" w:space="0" w:color="000000"/>
            </w:tcBorders>
            <w:shd w:val="clear" w:color="auto" w:fill="FFFFFF"/>
            <w:tcMar>
              <w:top w:w="15" w:type="dxa"/>
              <w:left w:w="0" w:type="dxa"/>
              <w:bottom w:w="0" w:type="dxa"/>
              <w:right w:w="15" w:type="dxa"/>
            </w:tcMar>
            <w:vAlign w:val="bottom"/>
            <w:hideMark/>
          </w:tcPr>
          <w:p w14:paraId="4A06633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Derivative asset</w:t>
            </w:r>
          </w:p>
        </w:tc>
        <w:tc>
          <w:tcPr>
            <w:tcW w:w="191" w:type="dxa"/>
            <w:shd w:val="clear" w:color="auto" w:fill="FFFFFF"/>
            <w:noWrap/>
            <w:tcMar>
              <w:top w:w="15" w:type="dxa"/>
              <w:left w:w="0" w:type="dxa"/>
              <w:bottom w:w="0" w:type="dxa"/>
              <w:right w:w="15" w:type="dxa"/>
            </w:tcMar>
            <w:vAlign w:val="bottom"/>
            <w:hideMark/>
          </w:tcPr>
          <w:p w14:paraId="7218CB3B"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tcBorders>
              <w:top w:val="single" w:sz="6" w:space="0" w:color="000000"/>
            </w:tcBorders>
            <w:shd w:val="clear" w:color="auto" w:fill="FFFFFF"/>
            <w:tcMar>
              <w:top w:w="15" w:type="dxa"/>
              <w:left w:w="0" w:type="dxa"/>
              <w:bottom w:w="0" w:type="dxa"/>
              <w:right w:w="15" w:type="dxa"/>
            </w:tcMar>
            <w:vAlign w:val="bottom"/>
            <w:hideMark/>
          </w:tcPr>
          <w:p w14:paraId="3C39949D"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270" w:type="dxa"/>
            <w:gridSpan w:val="2"/>
            <w:tcBorders>
              <w:top w:val="single" w:sz="6" w:space="0" w:color="000000"/>
            </w:tcBorders>
            <w:shd w:val="clear" w:color="auto" w:fill="FFFFFF"/>
            <w:tcMar>
              <w:top w:w="15" w:type="dxa"/>
              <w:left w:w="0" w:type="dxa"/>
              <w:bottom w:w="0" w:type="dxa"/>
              <w:right w:w="15" w:type="dxa"/>
            </w:tcMar>
            <w:vAlign w:val="bottom"/>
            <w:hideMark/>
          </w:tcPr>
          <w:p w14:paraId="08072062"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Derivative liability</w:t>
            </w:r>
          </w:p>
        </w:tc>
        <w:tc>
          <w:tcPr>
            <w:tcW w:w="191" w:type="dxa"/>
            <w:shd w:val="clear" w:color="auto" w:fill="FFFFFF"/>
            <w:noWrap/>
            <w:tcMar>
              <w:top w:w="15" w:type="dxa"/>
              <w:left w:w="0" w:type="dxa"/>
              <w:bottom w:w="0" w:type="dxa"/>
              <w:right w:w="15" w:type="dxa"/>
            </w:tcMar>
            <w:vAlign w:val="bottom"/>
            <w:hideMark/>
          </w:tcPr>
          <w:p w14:paraId="1471FECF"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1" w:type="dxa"/>
            <w:shd w:val="clear" w:color="auto" w:fill="FFFFFF"/>
            <w:tcMar>
              <w:top w:w="15" w:type="dxa"/>
              <w:left w:w="0" w:type="dxa"/>
              <w:bottom w:w="0" w:type="dxa"/>
              <w:right w:w="15" w:type="dxa"/>
            </w:tcMar>
            <w:vAlign w:val="bottom"/>
            <w:hideMark/>
          </w:tcPr>
          <w:p w14:paraId="74490F4E"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r>
      <w:tr w:rsidR="00AC4931" w:rsidRPr="00AC4931" w14:paraId="15326F6D" w14:textId="77777777" w:rsidTr="00AC4931">
        <w:tc>
          <w:tcPr>
            <w:tcW w:w="5723" w:type="dxa"/>
            <w:shd w:val="clear" w:color="auto" w:fill="FFFFFF"/>
            <w:tcMar>
              <w:top w:w="15" w:type="dxa"/>
              <w:left w:w="0" w:type="dxa"/>
              <w:bottom w:w="0" w:type="dxa"/>
              <w:right w:w="15" w:type="dxa"/>
            </w:tcMar>
            <w:vAlign w:val="bottom"/>
            <w:hideMark/>
          </w:tcPr>
          <w:p w14:paraId="0C4D0F70"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0355E9FF"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625" w:type="dxa"/>
            <w:gridSpan w:val="2"/>
            <w:shd w:val="clear" w:color="auto" w:fill="FFFFFF"/>
            <w:tcMar>
              <w:top w:w="15" w:type="dxa"/>
              <w:left w:w="0" w:type="dxa"/>
              <w:bottom w:w="0" w:type="dxa"/>
              <w:right w:w="15" w:type="dxa"/>
            </w:tcMar>
            <w:vAlign w:val="bottom"/>
            <w:hideMark/>
          </w:tcPr>
          <w:p w14:paraId="11FE98D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Nominal</w:t>
            </w:r>
          </w:p>
        </w:tc>
        <w:tc>
          <w:tcPr>
            <w:tcW w:w="191" w:type="dxa"/>
            <w:shd w:val="clear" w:color="auto" w:fill="FFFFFF"/>
            <w:noWrap/>
            <w:tcMar>
              <w:top w:w="15" w:type="dxa"/>
              <w:left w:w="0" w:type="dxa"/>
              <w:bottom w:w="0" w:type="dxa"/>
              <w:right w:w="15" w:type="dxa"/>
            </w:tcMar>
            <w:vAlign w:val="bottom"/>
            <w:hideMark/>
          </w:tcPr>
          <w:p w14:paraId="6F3ACC64"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3DC0196E"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128" w:type="dxa"/>
            <w:gridSpan w:val="2"/>
            <w:shd w:val="clear" w:color="auto" w:fill="FFFFFF"/>
            <w:tcMar>
              <w:top w:w="15" w:type="dxa"/>
              <w:left w:w="0" w:type="dxa"/>
              <w:bottom w:w="0" w:type="dxa"/>
              <w:right w:w="15" w:type="dxa"/>
            </w:tcMar>
            <w:vAlign w:val="bottom"/>
            <w:hideMark/>
          </w:tcPr>
          <w:p w14:paraId="0D9C699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(Other current</w:t>
            </w:r>
          </w:p>
        </w:tc>
        <w:tc>
          <w:tcPr>
            <w:tcW w:w="191" w:type="dxa"/>
            <w:shd w:val="clear" w:color="auto" w:fill="FFFFFF"/>
            <w:noWrap/>
            <w:tcMar>
              <w:top w:w="15" w:type="dxa"/>
              <w:left w:w="0" w:type="dxa"/>
              <w:bottom w:w="0" w:type="dxa"/>
              <w:right w:w="15" w:type="dxa"/>
            </w:tcMar>
            <w:vAlign w:val="bottom"/>
            <w:hideMark/>
          </w:tcPr>
          <w:p w14:paraId="448C0E37"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4C0A2294"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270" w:type="dxa"/>
            <w:gridSpan w:val="2"/>
            <w:shd w:val="clear" w:color="auto" w:fill="FFFFFF"/>
            <w:tcMar>
              <w:top w:w="15" w:type="dxa"/>
              <w:left w:w="0" w:type="dxa"/>
              <w:bottom w:w="0" w:type="dxa"/>
              <w:right w:w="15" w:type="dxa"/>
            </w:tcMar>
            <w:vAlign w:val="bottom"/>
            <w:hideMark/>
          </w:tcPr>
          <w:p w14:paraId="3BDD765C"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(Other current</w:t>
            </w:r>
          </w:p>
        </w:tc>
        <w:tc>
          <w:tcPr>
            <w:tcW w:w="191" w:type="dxa"/>
            <w:shd w:val="clear" w:color="auto" w:fill="FFFFFF"/>
            <w:noWrap/>
            <w:tcMar>
              <w:top w:w="15" w:type="dxa"/>
              <w:left w:w="0" w:type="dxa"/>
              <w:bottom w:w="0" w:type="dxa"/>
              <w:right w:w="15" w:type="dxa"/>
            </w:tcMar>
            <w:vAlign w:val="bottom"/>
            <w:hideMark/>
          </w:tcPr>
          <w:p w14:paraId="3A128528"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738B3249"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625" w:type="dxa"/>
            <w:gridSpan w:val="2"/>
            <w:shd w:val="clear" w:color="auto" w:fill="FFFFFF"/>
            <w:tcMar>
              <w:top w:w="15" w:type="dxa"/>
              <w:left w:w="0" w:type="dxa"/>
              <w:bottom w:w="0" w:type="dxa"/>
              <w:right w:w="15" w:type="dxa"/>
            </w:tcMar>
            <w:vAlign w:val="bottom"/>
            <w:hideMark/>
          </w:tcPr>
          <w:p w14:paraId="3E1503C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Nominal</w:t>
            </w:r>
          </w:p>
        </w:tc>
        <w:tc>
          <w:tcPr>
            <w:tcW w:w="191" w:type="dxa"/>
            <w:shd w:val="clear" w:color="auto" w:fill="FFFFFF"/>
            <w:noWrap/>
            <w:tcMar>
              <w:top w:w="15" w:type="dxa"/>
              <w:left w:w="0" w:type="dxa"/>
              <w:bottom w:w="0" w:type="dxa"/>
              <w:right w:w="15" w:type="dxa"/>
            </w:tcMar>
            <w:vAlign w:val="bottom"/>
            <w:hideMark/>
          </w:tcPr>
          <w:p w14:paraId="473F6487"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66006A74"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133" w:type="dxa"/>
            <w:gridSpan w:val="2"/>
            <w:shd w:val="clear" w:color="auto" w:fill="FFFFFF"/>
            <w:tcMar>
              <w:top w:w="15" w:type="dxa"/>
              <w:left w:w="0" w:type="dxa"/>
              <w:bottom w:w="0" w:type="dxa"/>
              <w:right w:w="15" w:type="dxa"/>
            </w:tcMar>
            <w:vAlign w:val="bottom"/>
            <w:hideMark/>
          </w:tcPr>
          <w:p w14:paraId="3900D50F"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(Other current</w:t>
            </w:r>
          </w:p>
        </w:tc>
        <w:tc>
          <w:tcPr>
            <w:tcW w:w="191" w:type="dxa"/>
            <w:shd w:val="clear" w:color="auto" w:fill="FFFFFF"/>
            <w:noWrap/>
            <w:tcMar>
              <w:top w:w="15" w:type="dxa"/>
              <w:left w:w="0" w:type="dxa"/>
              <w:bottom w:w="0" w:type="dxa"/>
              <w:right w:w="15" w:type="dxa"/>
            </w:tcMar>
            <w:vAlign w:val="bottom"/>
            <w:hideMark/>
          </w:tcPr>
          <w:p w14:paraId="6FFA7005"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75A86C45"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270" w:type="dxa"/>
            <w:gridSpan w:val="2"/>
            <w:shd w:val="clear" w:color="auto" w:fill="FFFFFF"/>
            <w:tcMar>
              <w:top w:w="15" w:type="dxa"/>
              <w:left w:w="0" w:type="dxa"/>
              <w:bottom w:w="0" w:type="dxa"/>
              <w:right w:w="15" w:type="dxa"/>
            </w:tcMar>
            <w:vAlign w:val="bottom"/>
            <w:hideMark/>
          </w:tcPr>
          <w:p w14:paraId="594E8807"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(Other current</w:t>
            </w:r>
          </w:p>
        </w:tc>
        <w:tc>
          <w:tcPr>
            <w:tcW w:w="191" w:type="dxa"/>
            <w:shd w:val="clear" w:color="auto" w:fill="FFFFFF"/>
            <w:noWrap/>
            <w:tcMar>
              <w:top w:w="15" w:type="dxa"/>
              <w:left w:w="0" w:type="dxa"/>
              <w:bottom w:w="0" w:type="dxa"/>
              <w:right w:w="15" w:type="dxa"/>
            </w:tcMar>
            <w:vAlign w:val="bottom"/>
            <w:hideMark/>
          </w:tcPr>
          <w:p w14:paraId="34C56337"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1" w:type="dxa"/>
            <w:shd w:val="clear" w:color="auto" w:fill="FFFFFF"/>
            <w:tcMar>
              <w:top w:w="15" w:type="dxa"/>
              <w:left w:w="0" w:type="dxa"/>
              <w:bottom w:w="0" w:type="dxa"/>
              <w:right w:w="15" w:type="dxa"/>
            </w:tcMar>
            <w:vAlign w:val="bottom"/>
            <w:hideMark/>
          </w:tcPr>
          <w:p w14:paraId="137BF353"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r>
      <w:tr w:rsidR="00AC4931" w:rsidRPr="00AC4931" w14:paraId="06FFC2B1" w14:textId="77777777" w:rsidTr="00AC4931">
        <w:tc>
          <w:tcPr>
            <w:tcW w:w="5723" w:type="dxa"/>
            <w:shd w:val="clear" w:color="auto" w:fill="FFFFFF"/>
            <w:tcMar>
              <w:top w:w="15" w:type="dxa"/>
              <w:left w:w="0" w:type="dxa"/>
              <w:bottom w:w="0" w:type="dxa"/>
              <w:right w:w="15" w:type="dxa"/>
            </w:tcMar>
            <w:vAlign w:val="bottom"/>
            <w:hideMark/>
          </w:tcPr>
          <w:p w14:paraId="4AE96BE2"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u w:val="single"/>
              </w:rPr>
              <w:t>Description</w:t>
            </w:r>
          </w:p>
        </w:tc>
        <w:tc>
          <w:tcPr>
            <w:tcW w:w="199" w:type="dxa"/>
            <w:shd w:val="clear" w:color="auto" w:fill="FFFFFF"/>
            <w:tcMar>
              <w:top w:w="15" w:type="dxa"/>
              <w:left w:w="0" w:type="dxa"/>
              <w:bottom w:w="0" w:type="dxa"/>
              <w:right w:w="15" w:type="dxa"/>
            </w:tcMar>
            <w:vAlign w:val="bottom"/>
            <w:hideMark/>
          </w:tcPr>
          <w:p w14:paraId="77DC9B49"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625" w:type="dxa"/>
            <w:gridSpan w:val="2"/>
            <w:tcBorders>
              <w:bottom w:val="single" w:sz="6" w:space="0" w:color="000000"/>
            </w:tcBorders>
            <w:shd w:val="clear" w:color="auto" w:fill="FFFFFF"/>
            <w:tcMar>
              <w:top w:w="15" w:type="dxa"/>
              <w:left w:w="0" w:type="dxa"/>
              <w:bottom w:w="0" w:type="dxa"/>
              <w:right w:w="15" w:type="dxa"/>
            </w:tcMar>
            <w:vAlign w:val="bottom"/>
            <w:hideMark/>
          </w:tcPr>
          <w:p w14:paraId="653E25B8"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volume</w:t>
            </w:r>
          </w:p>
        </w:tc>
        <w:tc>
          <w:tcPr>
            <w:tcW w:w="191" w:type="dxa"/>
            <w:shd w:val="clear" w:color="auto" w:fill="FFFFFF"/>
            <w:noWrap/>
            <w:tcMar>
              <w:top w:w="15" w:type="dxa"/>
              <w:left w:w="0" w:type="dxa"/>
              <w:bottom w:w="0" w:type="dxa"/>
              <w:right w:w="15" w:type="dxa"/>
            </w:tcMar>
            <w:vAlign w:val="bottom"/>
            <w:hideMark/>
          </w:tcPr>
          <w:p w14:paraId="1C39FAC2"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7755A211"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128" w:type="dxa"/>
            <w:gridSpan w:val="2"/>
            <w:tcBorders>
              <w:bottom w:val="single" w:sz="6" w:space="0" w:color="000000"/>
            </w:tcBorders>
            <w:shd w:val="clear" w:color="auto" w:fill="FFFFFF"/>
            <w:tcMar>
              <w:top w:w="15" w:type="dxa"/>
              <w:left w:w="0" w:type="dxa"/>
              <w:bottom w:w="0" w:type="dxa"/>
              <w:right w:w="15" w:type="dxa"/>
            </w:tcMar>
            <w:vAlign w:val="bottom"/>
            <w:hideMark/>
          </w:tcPr>
          <w:p w14:paraId="2B374BD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assets)</w:t>
            </w:r>
          </w:p>
        </w:tc>
        <w:tc>
          <w:tcPr>
            <w:tcW w:w="191" w:type="dxa"/>
            <w:shd w:val="clear" w:color="auto" w:fill="FFFFFF"/>
            <w:noWrap/>
            <w:tcMar>
              <w:top w:w="15" w:type="dxa"/>
              <w:left w:w="0" w:type="dxa"/>
              <w:bottom w:w="0" w:type="dxa"/>
              <w:right w:w="15" w:type="dxa"/>
            </w:tcMar>
            <w:vAlign w:val="bottom"/>
            <w:hideMark/>
          </w:tcPr>
          <w:p w14:paraId="0365D6C5"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74ECFE9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270" w:type="dxa"/>
            <w:gridSpan w:val="2"/>
            <w:tcBorders>
              <w:bottom w:val="single" w:sz="6" w:space="0" w:color="000000"/>
            </w:tcBorders>
            <w:shd w:val="clear" w:color="auto" w:fill="FFFFFF"/>
            <w:tcMar>
              <w:top w:w="15" w:type="dxa"/>
              <w:left w:w="0" w:type="dxa"/>
              <w:bottom w:w="0" w:type="dxa"/>
              <w:right w:w="15" w:type="dxa"/>
            </w:tcMar>
            <w:vAlign w:val="bottom"/>
            <w:hideMark/>
          </w:tcPr>
          <w:p w14:paraId="42F0859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liabilities)</w:t>
            </w:r>
          </w:p>
        </w:tc>
        <w:tc>
          <w:tcPr>
            <w:tcW w:w="191" w:type="dxa"/>
            <w:shd w:val="clear" w:color="auto" w:fill="FFFFFF"/>
            <w:noWrap/>
            <w:tcMar>
              <w:top w:w="15" w:type="dxa"/>
              <w:left w:w="0" w:type="dxa"/>
              <w:bottom w:w="0" w:type="dxa"/>
              <w:right w:w="15" w:type="dxa"/>
            </w:tcMar>
            <w:vAlign w:val="bottom"/>
            <w:hideMark/>
          </w:tcPr>
          <w:p w14:paraId="20426A8B"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2EFE2B2B"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625" w:type="dxa"/>
            <w:gridSpan w:val="2"/>
            <w:tcBorders>
              <w:bottom w:val="single" w:sz="6" w:space="0" w:color="000000"/>
            </w:tcBorders>
            <w:shd w:val="clear" w:color="auto" w:fill="FFFFFF"/>
            <w:tcMar>
              <w:top w:w="15" w:type="dxa"/>
              <w:left w:w="0" w:type="dxa"/>
              <w:bottom w:w="0" w:type="dxa"/>
              <w:right w:w="15" w:type="dxa"/>
            </w:tcMar>
            <w:vAlign w:val="bottom"/>
            <w:hideMark/>
          </w:tcPr>
          <w:p w14:paraId="67CACDD6"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volume</w:t>
            </w:r>
          </w:p>
        </w:tc>
        <w:tc>
          <w:tcPr>
            <w:tcW w:w="191" w:type="dxa"/>
            <w:shd w:val="clear" w:color="auto" w:fill="FFFFFF"/>
            <w:noWrap/>
            <w:tcMar>
              <w:top w:w="15" w:type="dxa"/>
              <w:left w:w="0" w:type="dxa"/>
              <w:bottom w:w="0" w:type="dxa"/>
              <w:right w:w="15" w:type="dxa"/>
            </w:tcMar>
            <w:vAlign w:val="bottom"/>
            <w:hideMark/>
          </w:tcPr>
          <w:p w14:paraId="6A4773F0"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5237BF4A"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133" w:type="dxa"/>
            <w:gridSpan w:val="2"/>
            <w:tcBorders>
              <w:bottom w:val="single" w:sz="6" w:space="0" w:color="000000"/>
            </w:tcBorders>
            <w:shd w:val="clear" w:color="auto" w:fill="FFFFFF"/>
            <w:tcMar>
              <w:top w:w="15" w:type="dxa"/>
              <w:left w:w="0" w:type="dxa"/>
              <w:bottom w:w="0" w:type="dxa"/>
              <w:right w:w="15" w:type="dxa"/>
            </w:tcMar>
            <w:vAlign w:val="bottom"/>
            <w:hideMark/>
          </w:tcPr>
          <w:p w14:paraId="3FB25273"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assets)</w:t>
            </w:r>
          </w:p>
        </w:tc>
        <w:tc>
          <w:tcPr>
            <w:tcW w:w="191" w:type="dxa"/>
            <w:shd w:val="clear" w:color="auto" w:fill="FFFFFF"/>
            <w:noWrap/>
            <w:tcMar>
              <w:top w:w="15" w:type="dxa"/>
              <w:left w:w="0" w:type="dxa"/>
              <w:bottom w:w="0" w:type="dxa"/>
              <w:right w:w="15" w:type="dxa"/>
            </w:tcMar>
            <w:vAlign w:val="bottom"/>
            <w:hideMark/>
          </w:tcPr>
          <w:p w14:paraId="3711D414"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199" w:type="dxa"/>
            <w:shd w:val="clear" w:color="auto" w:fill="FFFFFF"/>
            <w:tcMar>
              <w:top w:w="15" w:type="dxa"/>
              <w:left w:w="0" w:type="dxa"/>
              <w:bottom w:w="0" w:type="dxa"/>
              <w:right w:w="15" w:type="dxa"/>
            </w:tcMar>
            <w:vAlign w:val="bottom"/>
            <w:hideMark/>
          </w:tcPr>
          <w:p w14:paraId="4201D5FD"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270" w:type="dxa"/>
            <w:gridSpan w:val="2"/>
            <w:tcBorders>
              <w:bottom w:val="single" w:sz="6" w:space="0" w:color="000000"/>
            </w:tcBorders>
            <w:shd w:val="clear" w:color="auto" w:fill="FFFFFF"/>
            <w:tcMar>
              <w:top w:w="15" w:type="dxa"/>
              <w:left w:w="0" w:type="dxa"/>
              <w:bottom w:w="0" w:type="dxa"/>
              <w:right w:w="15" w:type="dxa"/>
            </w:tcMar>
            <w:vAlign w:val="bottom"/>
            <w:hideMark/>
          </w:tcPr>
          <w:p w14:paraId="5B7B12C4"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liabilities)</w:t>
            </w:r>
          </w:p>
        </w:tc>
        <w:tc>
          <w:tcPr>
            <w:tcW w:w="191" w:type="dxa"/>
            <w:shd w:val="clear" w:color="auto" w:fill="FFFFFF"/>
            <w:noWrap/>
            <w:tcMar>
              <w:top w:w="15" w:type="dxa"/>
              <w:left w:w="0" w:type="dxa"/>
              <w:bottom w:w="0" w:type="dxa"/>
              <w:right w:w="15" w:type="dxa"/>
            </w:tcMar>
            <w:vAlign w:val="bottom"/>
            <w:hideMark/>
          </w:tcPr>
          <w:p w14:paraId="1B8BCA76" w14:textId="77777777" w:rsidR="00AC4931" w:rsidRPr="00AC4931" w:rsidRDefault="00AC4931" w:rsidP="00AC4931">
            <w:pPr>
              <w:widowControl/>
              <w:jc w:val="left"/>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c>
          <w:tcPr>
            <w:tcW w:w="201" w:type="dxa"/>
            <w:shd w:val="clear" w:color="auto" w:fill="FFFFFF"/>
            <w:tcMar>
              <w:top w:w="15" w:type="dxa"/>
              <w:left w:w="0" w:type="dxa"/>
              <w:bottom w:w="0" w:type="dxa"/>
              <w:right w:w="15" w:type="dxa"/>
            </w:tcMar>
            <w:vAlign w:val="bottom"/>
            <w:hideMark/>
          </w:tcPr>
          <w:p w14:paraId="5CE2E1DD" w14:textId="77777777" w:rsidR="00AC4931" w:rsidRPr="00AC4931" w:rsidRDefault="00AC4931" w:rsidP="00AC4931">
            <w:pPr>
              <w:widowControl/>
              <w:jc w:val="center"/>
              <w:rPr>
                <w:rFonts w:ascii="Arial" w:eastAsia="宋体" w:hAnsi="Arial" w:cs="Arial"/>
                <w:b/>
                <w:bCs/>
                <w:color w:val="000000"/>
                <w:kern w:val="0"/>
                <w:sz w:val="14"/>
                <w:szCs w:val="14"/>
              </w:rPr>
            </w:pPr>
            <w:r w:rsidRPr="00AC4931">
              <w:rPr>
                <w:rFonts w:ascii="Arial" w:eastAsia="宋体" w:hAnsi="Arial" w:cs="Arial"/>
                <w:b/>
                <w:bCs/>
                <w:color w:val="000000"/>
                <w:kern w:val="0"/>
                <w:sz w:val="14"/>
                <w:szCs w:val="14"/>
              </w:rPr>
              <w:t> </w:t>
            </w:r>
          </w:p>
        </w:tc>
      </w:tr>
      <w:tr w:rsidR="00AC4931" w:rsidRPr="00AC4931" w14:paraId="6B4B4C93" w14:textId="77777777" w:rsidTr="00AC4931">
        <w:tc>
          <w:tcPr>
            <w:tcW w:w="5723" w:type="dxa"/>
            <w:shd w:val="clear" w:color="auto" w:fill="CFF0FC"/>
            <w:tcMar>
              <w:top w:w="15" w:type="dxa"/>
              <w:left w:w="0" w:type="dxa"/>
              <w:bottom w:w="0" w:type="dxa"/>
              <w:right w:w="15" w:type="dxa"/>
            </w:tcMar>
            <w:vAlign w:val="bottom"/>
            <w:hideMark/>
          </w:tcPr>
          <w:p w14:paraId="1CDCA6E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DERIVATIVES NOT DESIGNATED</w:t>
            </w:r>
          </w:p>
          <w:p w14:paraId="57FB413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AS HEDGING INSTRUMENTS</w:t>
            </w:r>
          </w:p>
        </w:tc>
        <w:tc>
          <w:tcPr>
            <w:tcW w:w="199" w:type="dxa"/>
            <w:shd w:val="clear" w:color="auto" w:fill="CFF0FC"/>
            <w:tcMar>
              <w:top w:w="15" w:type="dxa"/>
              <w:left w:w="0" w:type="dxa"/>
              <w:bottom w:w="0" w:type="dxa"/>
              <w:right w:w="15" w:type="dxa"/>
            </w:tcMar>
            <w:vAlign w:val="bottom"/>
            <w:hideMark/>
          </w:tcPr>
          <w:p w14:paraId="5D0179ED" w14:textId="77777777" w:rsidR="00AC4931" w:rsidRPr="00AC4931" w:rsidRDefault="00AC4931" w:rsidP="00AC4931">
            <w:pPr>
              <w:widowControl/>
              <w:jc w:val="center"/>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CAF539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19" w:type="dxa"/>
            <w:tcBorders>
              <w:top w:val="single" w:sz="6" w:space="0" w:color="000000"/>
            </w:tcBorders>
            <w:shd w:val="clear" w:color="auto" w:fill="CFF0FC"/>
            <w:noWrap/>
            <w:tcMar>
              <w:top w:w="15" w:type="dxa"/>
              <w:left w:w="0" w:type="dxa"/>
              <w:bottom w:w="0" w:type="dxa"/>
              <w:right w:w="15" w:type="dxa"/>
            </w:tcMar>
            <w:vAlign w:val="bottom"/>
            <w:hideMark/>
          </w:tcPr>
          <w:p w14:paraId="0D2771B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3D41945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CFF0FC"/>
            <w:tcMar>
              <w:top w:w="15" w:type="dxa"/>
              <w:left w:w="0" w:type="dxa"/>
              <w:bottom w:w="0" w:type="dxa"/>
              <w:right w:w="15" w:type="dxa"/>
            </w:tcMar>
            <w:vAlign w:val="bottom"/>
            <w:hideMark/>
          </w:tcPr>
          <w:p w14:paraId="17E42C1E" w14:textId="77777777" w:rsidR="00AC4931" w:rsidRPr="00AC4931" w:rsidRDefault="00AC4931" w:rsidP="00AC4931">
            <w:pPr>
              <w:widowControl/>
              <w:jc w:val="center"/>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77D26F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2" w:type="dxa"/>
            <w:tcBorders>
              <w:top w:val="single" w:sz="6" w:space="0" w:color="000000"/>
            </w:tcBorders>
            <w:shd w:val="clear" w:color="auto" w:fill="CFF0FC"/>
            <w:noWrap/>
            <w:tcMar>
              <w:top w:w="15" w:type="dxa"/>
              <w:left w:w="0" w:type="dxa"/>
              <w:bottom w:w="0" w:type="dxa"/>
              <w:right w:w="15" w:type="dxa"/>
            </w:tcMar>
            <w:vAlign w:val="bottom"/>
            <w:hideMark/>
          </w:tcPr>
          <w:p w14:paraId="074C575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16BFE31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CFF0FC"/>
            <w:tcMar>
              <w:top w:w="15" w:type="dxa"/>
              <w:left w:w="0" w:type="dxa"/>
              <w:bottom w:w="0" w:type="dxa"/>
              <w:right w:w="15" w:type="dxa"/>
            </w:tcMar>
            <w:vAlign w:val="bottom"/>
            <w:hideMark/>
          </w:tcPr>
          <w:p w14:paraId="5A771F66" w14:textId="77777777" w:rsidR="00AC4931" w:rsidRPr="00AC4931" w:rsidRDefault="00AC4931" w:rsidP="00AC4931">
            <w:pPr>
              <w:widowControl/>
              <w:jc w:val="center"/>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6" w:type="dxa"/>
            <w:tcBorders>
              <w:top w:val="single" w:sz="6" w:space="0" w:color="000000"/>
            </w:tcBorders>
            <w:shd w:val="clear" w:color="auto" w:fill="CFF0FC"/>
            <w:noWrap/>
            <w:tcMar>
              <w:top w:w="15" w:type="dxa"/>
              <w:left w:w="0" w:type="dxa"/>
              <w:bottom w:w="0" w:type="dxa"/>
              <w:right w:w="15" w:type="dxa"/>
            </w:tcMar>
            <w:vAlign w:val="bottom"/>
            <w:hideMark/>
          </w:tcPr>
          <w:p w14:paraId="26FC818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50" w:type="dxa"/>
            <w:tcBorders>
              <w:top w:val="single" w:sz="6" w:space="0" w:color="000000"/>
            </w:tcBorders>
            <w:shd w:val="clear" w:color="auto" w:fill="CFF0FC"/>
            <w:noWrap/>
            <w:tcMar>
              <w:top w:w="15" w:type="dxa"/>
              <w:left w:w="0" w:type="dxa"/>
              <w:bottom w:w="0" w:type="dxa"/>
              <w:right w:w="15" w:type="dxa"/>
            </w:tcMar>
            <w:vAlign w:val="bottom"/>
            <w:hideMark/>
          </w:tcPr>
          <w:p w14:paraId="4002842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3B94405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CFF0FC"/>
            <w:tcMar>
              <w:top w:w="15" w:type="dxa"/>
              <w:left w:w="0" w:type="dxa"/>
              <w:bottom w:w="0" w:type="dxa"/>
              <w:right w:w="15" w:type="dxa"/>
            </w:tcMar>
            <w:vAlign w:val="bottom"/>
            <w:hideMark/>
          </w:tcPr>
          <w:p w14:paraId="4174BBE5" w14:textId="77777777" w:rsidR="00AC4931" w:rsidRPr="00AC4931" w:rsidRDefault="00AC4931" w:rsidP="00AC4931">
            <w:pPr>
              <w:widowControl/>
              <w:jc w:val="center"/>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65910D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19" w:type="dxa"/>
            <w:tcBorders>
              <w:top w:val="single" w:sz="6" w:space="0" w:color="000000"/>
            </w:tcBorders>
            <w:shd w:val="clear" w:color="auto" w:fill="CFF0FC"/>
            <w:noWrap/>
            <w:tcMar>
              <w:top w:w="15" w:type="dxa"/>
              <w:left w:w="0" w:type="dxa"/>
              <w:bottom w:w="0" w:type="dxa"/>
              <w:right w:w="15" w:type="dxa"/>
            </w:tcMar>
            <w:vAlign w:val="bottom"/>
            <w:hideMark/>
          </w:tcPr>
          <w:p w14:paraId="11E6E67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6225049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CFF0FC"/>
            <w:tcMar>
              <w:top w:w="15" w:type="dxa"/>
              <w:left w:w="0" w:type="dxa"/>
              <w:bottom w:w="0" w:type="dxa"/>
              <w:right w:w="15" w:type="dxa"/>
            </w:tcMar>
            <w:vAlign w:val="bottom"/>
            <w:hideMark/>
          </w:tcPr>
          <w:p w14:paraId="412E74D1" w14:textId="77777777" w:rsidR="00AC4931" w:rsidRPr="00AC4931" w:rsidRDefault="00AC4931" w:rsidP="00AC4931">
            <w:pPr>
              <w:widowControl/>
              <w:jc w:val="center"/>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7" w:type="dxa"/>
            <w:tcBorders>
              <w:top w:val="single" w:sz="6" w:space="0" w:color="000000"/>
            </w:tcBorders>
            <w:shd w:val="clear" w:color="auto" w:fill="CFF0FC"/>
            <w:noWrap/>
            <w:tcMar>
              <w:top w:w="15" w:type="dxa"/>
              <w:left w:w="0" w:type="dxa"/>
              <w:bottom w:w="0" w:type="dxa"/>
              <w:right w:w="15" w:type="dxa"/>
            </w:tcMar>
            <w:vAlign w:val="bottom"/>
            <w:hideMark/>
          </w:tcPr>
          <w:p w14:paraId="2E444CD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2" w:type="dxa"/>
            <w:tcBorders>
              <w:top w:val="single" w:sz="6" w:space="0" w:color="000000"/>
            </w:tcBorders>
            <w:shd w:val="clear" w:color="auto" w:fill="CFF0FC"/>
            <w:noWrap/>
            <w:tcMar>
              <w:top w:w="15" w:type="dxa"/>
              <w:left w:w="0" w:type="dxa"/>
              <w:bottom w:w="0" w:type="dxa"/>
              <w:right w:w="15" w:type="dxa"/>
            </w:tcMar>
            <w:vAlign w:val="bottom"/>
            <w:hideMark/>
          </w:tcPr>
          <w:p w14:paraId="0D44C8E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22DCC00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CFF0FC"/>
            <w:tcMar>
              <w:top w:w="15" w:type="dxa"/>
              <w:left w:w="0" w:type="dxa"/>
              <w:bottom w:w="0" w:type="dxa"/>
              <w:right w:w="15" w:type="dxa"/>
            </w:tcMar>
            <w:vAlign w:val="bottom"/>
            <w:hideMark/>
          </w:tcPr>
          <w:p w14:paraId="09BFB286" w14:textId="77777777" w:rsidR="00AC4931" w:rsidRPr="00AC4931" w:rsidRDefault="00AC4931" w:rsidP="00AC4931">
            <w:pPr>
              <w:widowControl/>
              <w:jc w:val="center"/>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6" w:type="dxa"/>
            <w:tcBorders>
              <w:top w:val="single" w:sz="6" w:space="0" w:color="000000"/>
            </w:tcBorders>
            <w:shd w:val="clear" w:color="auto" w:fill="CFF0FC"/>
            <w:noWrap/>
            <w:tcMar>
              <w:top w:w="15" w:type="dxa"/>
              <w:left w:w="0" w:type="dxa"/>
              <w:bottom w:w="0" w:type="dxa"/>
              <w:right w:w="15" w:type="dxa"/>
            </w:tcMar>
            <w:vAlign w:val="bottom"/>
            <w:hideMark/>
          </w:tcPr>
          <w:p w14:paraId="1A307A5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50" w:type="dxa"/>
            <w:tcBorders>
              <w:top w:val="single" w:sz="6" w:space="0" w:color="000000"/>
            </w:tcBorders>
            <w:shd w:val="clear" w:color="auto" w:fill="CFF0FC"/>
            <w:noWrap/>
            <w:tcMar>
              <w:top w:w="15" w:type="dxa"/>
              <w:left w:w="0" w:type="dxa"/>
              <w:bottom w:w="0" w:type="dxa"/>
              <w:right w:w="15" w:type="dxa"/>
            </w:tcMar>
            <w:vAlign w:val="bottom"/>
            <w:hideMark/>
          </w:tcPr>
          <w:p w14:paraId="50D18C1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11F8CC5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1" w:type="dxa"/>
            <w:shd w:val="clear" w:color="auto" w:fill="CFF0FC"/>
            <w:tcMar>
              <w:top w:w="15" w:type="dxa"/>
              <w:left w:w="0" w:type="dxa"/>
              <w:bottom w:w="0" w:type="dxa"/>
              <w:right w:w="15" w:type="dxa"/>
            </w:tcMar>
            <w:vAlign w:val="bottom"/>
            <w:hideMark/>
          </w:tcPr>
          <w:p w14:paraId="10C4DC7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88A5D9A" w14:textId="77777777" w:rsidTr="00AC4931">
        <w:tc>
          <w:tcPr>
            <w:tcW w:w="5723" w:type="dxa"/>
            <w:shd w:val="clear" w:color="auto" w:fill="FFFFFF"/>
            <w:tcMar>
              <w:top w:w="15" w:type="dxa"/>
              <w:left w:w="0" w:type="dxa"/>
              <w:bottom w:w="0" w:type="dxa"/>
              <w:right w:w="15" w:type="dxa"/>
            </w:tcMar>
            <w:hideMark/>
          </w:tcPr>
          <w:p w14:paraId="42C580D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Foreign exchange swaps, less</w:t>
            </w:r>
          </w:p>
          <w:p w14:paraId="2DEC7F1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than 6 months</w:t>
            </w:r>
          </w:p>
        </w:tc>
        <w:tc>
          <w:tcPr>
            <w:tcW w:w="199" w:type="dxa"/>
            <w:shd w:val="clear" w:color="auto" w:fill="FFFFFF"/>
            <w:tcMar>
              <w:top w:w="15" w:type="dxa"/>
              <w:left w:w="0" w:type="dxa"/>
              <w:bottom w:w="0" w:type="dxa"/>
              <w:right w:w="15" w:type="dxa"/>
            </w:tcMar>
            <w:vAlign w:val="bottom"/>
            <w:hideMark/>
          </w:tcPr>
          <w:p w14:paraId="64D3632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C90917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1419" w:type="dxa"/>
            <w:tcBorders>
              <w:bottom w:val="single" w:sz="6" w:space="0" w:color="000000"/>
            </w:tcBorders>
            <w:shd w:val="clear" w:color="auto" w:fill="FFFFFF"/>
            <w:noWrap/>
            <w:tcMar>
              <w:top w:w="15" w:type="dxa"/>
              <w:left w:w="0" w:type="dxa"/>
              <w:bottom w:w="0" w:type="dxa"/>
              <w:right w:w="15" w:type="dxa"/>
            </w:tcMar>
            <w:vAlign w:val="bottom"/>
            <w:hideMark/>
          </w:tcPr>
          <w:p w14:paraId="7128323A"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1,462.7</w:t>
            </w:r>
          </w:p>
        </w:tc>
        <w:tc>
          <w:tcPr>
            <w:tcW w:w="191" w:type="dxa"/>
            <w:shd w:val="clear" w:color="auto" w:fill="FFFFFF"/>
            <w:noWrap/>
            <w:tcMar>
              <w:top w:w="15" w:type="dxa"/>
              <w:left w:w="0" w:type="dxa"/>
              <w:bottom w:w="0" w:type="dxa"/>
              <w:right w:w="15" w:type="dxa"/>
            </w:tcMar>
            <w:vAlign w:val="bottom"/>
            <w:hideMark/>
          </w:tcPr>
          <w:p w14:paraId="2E1BD248"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7C5EEDB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1)</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0D1A1D3"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1922" w:type="dxa"/>
            <w:tcBorders>
              <w:bottom w:val="single" w:sz="6" w:space="0" w:color="000000"/>
            </w:tcBorders>
            <w:shd w:val="clear" w:color="auto" w:fill="FFFFFF"/>
            <w:noWrap/>
            <w:tcMar>
              <w:top w:w="15" w:type="dxa"/>
              <w:left w:w="0" w:type="dxa"/>
              <w:bottom w:w="0" w:type="dxa"/>
              <w:right w:w="15" w:type="dxa"/>
            </w:tcMar>
            <w:vAlign w:val="bottom"/>
            <w:hideMark/>
          </w:tcPr>
          <w:p w14:paraId="653A05AD"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25.2</w:t>
            </w:r>
          </w:p>
        </w:tc>
        <w:tc>
          <w:tcPr>
            <w:tcW w:w="191" w:type="dxa"/>
            <w:shd w:val="clear" w:color="auto" w:fill="FFFFFF"/>
            <w:noWrap/>
            <w:tcMar>
              <w:top w:w="15" w:type="dxa"/>
              <w:left w:w="0" w:type="dxa"/>
              <w:bottom w:w="0" w:type="dxa"/>
              <w:right w:w="15" w:type="dxa"/>
            </w:tcMar>
            <w:vAlign w:val="bottom"/>
            <w:hideMark/>
          </w:tcPr>
          <w:p w14:paraId="7DF89882"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44FFAB3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2)</w:t>
            </w:r>
          </w:p>
        </w:tc>
        <w:tc>
          <w:tcPr>
            <w:tcW w:w="206" w:type="dxa"/>
            <w:tcBorders>
              <w:bottom w:val="single" w:sz="6" w:space="0" w:color="000000"/>
            </w:tcBorders>
            <w:shd w:val="clear" w:color="auto" w:fill="FFFFFF"/>
            <w:noWrap/>
            <w:tcMar>
              <w:top w:w="15" w:type="dxa"/>
              <w:left w:w="0" w:type="dxa"/>
              <w:bottom w:w="0" w:type="dxa"/>
              <w:right w:w="15" w:type="dxa"/>
            </w:tcMar>
            <w:vAlign w:val="bottom"/>
            <w:hideMark/>
          </w:tcPr>
          <w:p w14:paraId="1F5722F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50" w:type="dxa"/>
            <w:tcBorders>
              <w:bottom w:val="single" w:sz="6" w:space="0" w:color="000000"/>
            </w:tcBorders>
            <w:shd w:val="clear" w:color="auto" w:fill="FFFFFF"/>
            <w:noWrap/>
            <w:tcMar>
              <w:top w:w="15" w:type="dxa"/>
              <w:left w:w="0" w:type="dxa"/>
              <w:bottom w:w="0" w:type="dxa"/>
              <w:right w:w="15" w:type="dxa"/>
            </w:tcMar>
            <w:vAlign w:val="bottom"/>
            <w:hideMark/>
          </w:tcPr>
          <w:p w14:paraId="6CE4042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2.7</w:t>
            </w:r>
          </w:p>
        </w:tc>
        <w:tc>
          <w:tcPr>
            <w:tcW w:w="191" w:type="dxa"/>
            <w:shd w:val="clear" w:color="auto" w:fill="FFFFFF"/>
            <w:noWrap/>
            <w:tcMar>
              <w:top w:w="15" w:type="dxa"/>
              <w:left w:w="0" w:type="dxa"/>
              <w:bottom w:w="0" w:type="dxa"/>
              <w:right w:w="15" w:type="dxa"/>
            </w:tcMar>
            <w:vAlign w:val="bottom"/>
            <w:hideMark/>
          </w:tcPr>
          <w:p w14:paraId="027FA05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7536D33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3)</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350D16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1419" w:type="dxa"/>
            <w:tcBorders>
              <w:bottom w:val="single" w:sz="6" w:space="0" w:color="000000"/>
            </w:tcBorders>
            <w:shd w:val="clear" w:color="auto" w:fill="FFFFFF"/>
            <w:noWrap/>
            <w:tcMar>
              <w:top w:w="15" w:type="dxa"/>
              <w:left w:w="0" w:type="dxa"/>
              <w:bottom w:w="0" w:type="dxa"/>
              <w:right w:w="15" w:type="dxa"/>
            </w:tcMar>
            <w:vAlign w:val="bottom"/>
            <w:hideMark/>
          </w:tcPr>
          <w:p w14:paraId="5E7D20DF"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934.2</w:t>
            </w:r>
          </w:p>
        </w:tc>
        <w:tc>
          <w:tcPr>
            <w:tcW w:w="191" w:type="dxa"/>
            <w:shd w:val="clear" w:color="auto" w:fill="FFFFFF"/>
            <w:noWrap/>
            <w:tcMar>
              <w:top w:w="15" w:type="dxa"/>
              <w:left w:w="0" w:type="dxa"/>
              <w:bottom w:w="0" w:type="dxa"/>
              <w:right w:w="15" w:type="dxa"/>
            </w:tcMar>
            <w:vAlign w:val="bottom"/>
            <w:hideMark/>
          </w:tcPr>
          <w:p w14:paraId="0162F26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4BFA997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4)</w:t>
            </w:r>
          </w:p>
        </w:tc>
        <w:tc>
          <w:tcPr>
            <w:tcW w:w="197" w:type="dxa"/>
            <w:tcBorders>
              <w:bottom w:val="single" w:sz="6" w:space="0" w:color="000000"/>
            </w:tcBorders>
            <w:shd w:val="clear" w:color="auto" w:fill="FFFFFF"/>
            <w:noWrap/>
            <w:tcMar>
              <w:top w:w="15" w:type="dxa"/>
              <w:left w:w="0" w:type="dxa"/>
              <w:bottom w:w="0" w:type="dxa"/>
              <w:right w:w="15" w:type="dxa"/>
            </w:tcMar>
            <w:vAlign w:val="bottom"/>
            <w:hideMark/>
          </w:tcPr>
          <w:p w14:paraId="67DE0C3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1922" w:type="dxa"/>
            <w:tcBorders>
              <w:bottom w:val="single" w:sz="6" w:space="0" w:color="000000"/>
            </w:tcBorders>
            <w:shd w:val="clear" w:color="auto" w:fill="FFFFFF"/>
            <w:noWrap/>
            <w:tcMar>
              <w:top w:w="15" w:type="dxa"/>
              <w:left w:w="0" w:type="dxa"/>
              <w:bottom w:w="0" w:type="dxa"/>
              <w:right w:w="15" w:type="dxa"/>
            </w:tcMar>
            <w:vAlign w:val="bottom"/>
            <w:hideMark/>
          </w:tcPr>
          <w:p w14:paraId="4C88C406"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6.0</w:t>
            </w:r>
          </w:p>
        </w:tc>
        <w:tc>
          <w:tcPr>
            <w:tcW w:w="191" w:type="dxa"/>
            <w:shd w:val="clear" w:color="auto" w:fill="FFFFFF"/>
            <w:noWrap/>
            <w:tcMar>
              <w:top w:w="15" w:type="dxa"/>
              <w:left w:w="0" w:type="dxa"/>
              <w:bottom w:w="0" w:type="dxa"/>
              <w:right w:w="15" w:type="dxa"/>
            </w:tcMar>
            <w:vAlign w:val="bottom"/>
            <w:hideMark/>
          </w:tcPr>
          <w:p w14:paraId="35D4ECAD"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4488822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5)</w:t>
            </w:r>
          </w:p>
        </w:tc>
        <w:tc>
          <w:tcPr>
            <w:tcW w:w="206" w:type="dxa"/>
            <w:tcBorders>
              <w:bottom w:val="single" w:sz="6" w:space="0" w:color="000000"/>
            </w:tcBorders>
            <w:shd w:val="clear" w:color="auto" w:fill="FFFFFF"/>
            <w:noWrap/>
            <w:tcMar>
              <w:top w:w="15" w:type="dxa"/>
              <w:left w:w="0" w:type="dxa"/>
              <w:bottom w:w="0" w:type="dxa"/>
              <w:right w:w="15" w:type="dxa"/>
            </w:tcMar>
            <w:vAlign w:val="bottom"/>
            <w:hideMark/>
          </w:tcPr>
          <w:p w14:paraId="43F64C8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w:t>
            </w:r>
          </w:p>
        </w:tc>
        <w:tc>
          <w:tcPr>
            <w:tcW w:w="2050" w:type="dxa"/>
            <w:tcBorders>
              <w:bottom w:val="single" w:sz="6" w:space="0" w:color="000000"/>
            </w:tcBorders>
            <w:shd w:val="clear" w:color="auto" w:fill="FFFFFF"/>
            <w:noWrap/>
            <w:tcMar>
              <w:top w:w="15" w:type="dxa"/>
              <w:left w:w="0" w:type="dxa"/>
              <w:bottom w:w="0" w:type="dxa"/>
              <w:right w:w="15" w:type="dxa"/>
            </w:tcMar>
            <w:vAlign w:val="bottom"/>
            <w:hideMark/>
          </w:tcPr>
          <w:p w14:paraId="5AE233D3" w14:textId="77777777" w:rsidR="00AC4931" w:rsidRPr="00AC4931" w:rsidRDefault="00AC4931" w:rsidP="00AC4931">
            <w:pPr>
              <w:widowControl/>
              <w:jc w:val="right"/>
              <w:rPr>
                <w:rFonts w:ascii="Arial" w:eastAsia="宋体" w:hAnsi="Arial" w:cs="Arial"/>
                <w:color w:val="000000"/>
                <w:kern w:val="0"/>
                <w:sz w:val="16"/>
                <w:szCs w:val="16"/>
              </w:rPr>
            </w:pPr>
            <w:r w:rsidRPr="00AC4931">
              <w:rPr>
                <w:rFonts w:ascii="Arial" w:eastAsia="宋体" w:hAnsi="Arial" w:cs="Arial"/>
                <w:color w:val="000000"/>
                <w:kern w:val="0"/>
                <w:sz w:val="16"/>
                <w:szCs w:val="16"/>
              </w:rPr>
              <w:t>1.8</w:t>
            </w:r>
          </w:p>
        </w:tc>
        <w:tc>
          <w:tcPr>
            <w:tcW w:w="191" w:type="dxa"/>
            <w:shd w:val="clear" w:color="auto" w:fill="FFFFFF"/>
            <w:noWrap/>
            <w:tcMar>
              <w:top w:w="15" w:type="dxa"/>
              <w:left w:w="0" w:type="dxa"/>
              <w:bottom w:w="0" w:type="dxa"/>
              <w:right w:w="15" w:type="dxa"/>
            </w:tcMar>
            <w:vAlign w:val="bottom"/>
            <w:hideMark/>
          </w:tcPr>
          <w:p w14:paraId="32EB179F"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1" w:type="dxa"/>
            <w:shd w:val="clear" w:color="auto" w:fill="FFFFFF"/>
            <w:tcMar>
              <w:top w:w="15" w:type="dxa"/>
              <w:left w:w="0" w:type="dxa"/>
              <w:bottom w:w="0" w:type="dxa"/>
              <w:right w:w="15" w:type="dxa"/>
            </w:tcMar>
            <w:vAlign w:val="bottom"/>
            <w:hideMark/>
          </w:tcPr>
          <w:p w14:paraId="7FF5ECC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6)</w:t>
            </w:r>
          </w:p>
        </w:tc>
      </w:tr>
      <w:tr w:rsidR="00AC4931" w:rsidRPr="00AC4931" w14:paraId="1723C8A0" w14:textId="77777777" w:rsidTr="00AC4931">
        <w:tc>
          <w:tcPr>
            <w:tcW w:w="5723" w:type="dxa"/>
            <w:shd w:val="clear" w:color="auto" w:fill="CFF0FC"/>
            <w:tcMar>
              <w:top w:w="15" w:type="dxa"/>
              <w:left w:w="0" w:type="dxa"/>
              <w:bottom w:w="0" w:type="dxa"/>
              <w:right w:w="15" w:type="dxa"/>
            </w:tcMar>
            <w:hideMark/>
          </w:tcPr>
          <w:p w14:paraId="0F358A6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TOTAL DERIVATIVES NOT</w:t>
            </w:r>
          </w:p>
          <w:p w14:paraId="140C5B4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DESIGNATED AS HEDGING</w:t>
            </w:r>
          </w:p>
          <w:p w14:paraId="3915966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INSTRUMENTS</w:t>
            </w:r>
          </w:p>
        </w:tc>
        <w:tc>
          <w:tcPr>
            <w:tcW w:w="199" w:type="dxa"/>
            <w:shd w:val="clear" w:color="auto" w:fill="CFF0FC"/>
            <w:tcMar>
              <w:top w:w="15" w:type="dxa"/>
              <w:left w:w="0" w:type="dxa"/>
              <w:bottom w:w="0" w:type="dxa"/>
              <w:right w:w="15" w:type="dxa"/>
            </w:tcMar>
            <w:vAlign w:val="bottom"/>
            <w:hideMark/>
          </w:tcPr>
          <w:p w14:paraId="0C385D7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9675D5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41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D751079"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1,462.7</w:t>
            </w:r>
          </w:p>
        </w:tc>
        <w:tc>
          <w:tcPr>
            <w:tcW w:w="191" w:type="dxa"/>
            <w:shd w:val="clear" w:color="auto" w:fill="CFF0FC"/>
            <w:noWrap/>
            <w:tcMar>
              <w:top w:w="15" w:type="dxa"/>
              <w:left w:w="0" w:type="dxa"/>
              <w:bottom w:w="0" w:type="dxa"/>
              <w:right w:w="15" w:type="dxa"/>
            </w:tcMar>
            <w:vAlign w:val="bottom"/>
            <w:hideMark/>
          </w:tcPr>
          <w:p w14:paraId="4F05D66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CFF0FC"/>
            <w:tcMar>
              <w:top w:w="15" w:type="dxa"/>
              <w:left w:w="0" w:type="dxa"/>
              <w:bottom w:w="0" w:type="dxa"/>
              <w:right w:w="15" w:type="dxa"/>
            </w:tcMar>
            <w:vAlign w:val="bottom"/>
            <w:hideMark/>
          </w:tcPr>
          <w:p w14:paraId="2E00506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D19E88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2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5FA1361"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25.2</w:t>
            </w:r>
          </w:p>
        </w:tc>
        <w:tc>
          <w:tcPr>
            <w:tcW w:w="191" w:type="dxa"/>
            <w:shd w:val="clear" w:color="auto" w:fill="CFF0FC"/>
            <w:noWrap/>
            <w:tcMar>
              <w:top w:w="15" w:type="dxa"/>
              <w:left w:w="0" w:type="dxa"/>
              <w:bottom w:w="0" w:type="dxa"/>
              <w:right w:w="15" w:type="dxa"/>
            </w:tcMar>
            <w:vAlign w:val="bottom"/>
            <w:hideMark/>
          </w:tcPr>
          <w:p w14:paraId="25C63AA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CFF0FC"/>
            <w:tcMar>
              <w:top w:w="15" w:type="dxa"/>
              <w:left w:w="0" w:type="dxa"/>
              <w:bottom w:w="0" w:type="dxa"/>
              <w:right w:w="15" w:type="dxa"/>
            </w:tcMar>
            <w:vAlign w:val="bottom"/>
            <w:hideMark/>
          </w:tcPr>
          <w:p w14:paraId="40C48D9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78451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20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3FFC438"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2.7</w:t>
            </w:r>
          </w:p>
        </w:tc>
        <w:tc>
          <w:tcPr>
            <w:tcW w:w="191" w:type="dxa"/>
            <w:shd w:val="clear" w:color="auto" w:fill="CFF0FC"/>
            <w:noWrap/>
            <w:tcMar>
              <w:top w:w="15" w:type="dxa"/>
              <w:left w:w="0" w:type="dxa"/>
              <w:bottom w:w="0" w:type="dxa"/>
              <w:right w:w="15" w:type="dxa"/>
            </w:tcMar>
            <w:vAlign w:val="bottom"/>
            <w:hideMark/>
          </w:tcPr>
          <w:p w14:paraId="1617870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CFF0FC"/>
            <w:tcMar>
              <w:top w:w="15" w:type="dxa"/>
              <w:left w:w="0" w:type="dxa"/>
              <w:bottom w:w="0" w:type="dxa"/>
              <w:right w:w="15" w:type="dxa"/>
            </w:tcMar>
            <w:vAlign w:val="bottom"/>
            <w:hideMark/>
          </w:tcPr>
          <w:p w14:paraId="1FA362C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A11E46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41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B7346E2"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934.2</w:t>
            </w:r>
          </w:p>
        </w:tc>
        <w:tc>
          <w:tcPr>
            <w:tcW w:w="191" w:type="dxa"/>
            <w:shd w:val="clear" w:color="auto" w:fill="CFF0FC"/>
            <w:noWrap/>
            <w:tcMar>
              <w:top w:w="15" w:type="dxa"/>
              <w:left w:w="0" w:type="dxa"/>
              <w:bottom w:w="0" w:type="dxa"/>
              <w:right w:w="15" w:type="dxa"/>
            </w:tcMar>
            <w:vAlign w:val="bottom"/>
            <w:hideMark/>
          </w:tcPr>
          <w:p w14:paraId="107350A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CFF0FC"/>
            <w:tcMar>
              <w:top w:w="15" w:type="dxa"/>
              <w:left w:w="0" w:type="dxa"/>
              <w:bottom w:w="0" w:type="dxa"/>
              <w:right w:w="15" w:type="dxa"/>
            </w:tcMar>
            <w:vAlign w:val="bottom"/>
            <w:hideMark/>
          </w:tcPr>
          <w:p w14:paraId="32E9D695"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19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D9E9A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192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5E53EC6"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6.0</w:t>
            </w:r>
          </w:p>
        </w:tc>
        <w:tc>
          <w:tcPr>
            <w:tcW w:w="191" w:type="dxa"/>
            <w:shd w:val="clear" w:color="auto" w:fill="CFF0FC"/>
            <w:noWrap/>
            <w:tcMar>
              <w:top w:w="15" w:type="dxa"/>
              <w:left w:w="0" w:type="dxa"/>
              <w:bottom w:w="0" w:type="dxa"/>
              <w:right w:w="15" w:type="dxa"/>
            </w:tcMar>
            <w:vAlign w:val="bottom"/>
            <w:hideMark/>
          </w:tcPr>
          <w:p w14:paraId="76A617F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CFF0FC"/>
            <w:tcMar>
              <w:top w:w="15" w:type="dxa"/>
              <w:left w:w="0" w:type="dxa"/>
              <w:bottom w:w="0" w:type="dxa"/>
              <w:right w:w="15" w:type="dxa"/>
            </w:tcMar>
            <w:vAlign w:val="bottom"/>
            <w:hideMark/>
          </w:tcPr>
          <w:p w14:paraId="5CF2E14E"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c>
          <w:tcPr>
            <w:tcW w:w="20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CBA678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t>
            </w:r>
          </w:p>
        </w:tc>
        <w:tc>
          <w:tcPr>
            <w:tcW w:w="20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6232327"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1.8</w:t>
            </w:r>
          </w:p>
        </w:tc>
        <w:tc>
          <w:tcPr>
            <w:tcW w:w="191" w:type="dxa"/>
            <w:shd w:val="clear" w:color="auto" w:fill="CFF0FC"/>
            <w:noWrap/>
            <w:tcMar>
              <w:top w:w="15" w:type="dxa"/>
              <w:left w:w="0" w:type="dxa"/>
              <w:bottom w:w="0" w:type="dxa"/>
              <w:right w:w="15" w:type="dxa"/>
            </w:tcMar>
            <w:vAlign w:val="bottom"/>
            <w:hideMark/>
          </w:tcPr>
          <w:p w14:paraId="4D08591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1" w:type="dxa"/>
            <w:shd w:val="clear" w:color="auto" w:fill="CFF0FC"/>
            <w:tcMar>
              <w:top w:w="15" w:type="dxa"/>
              <w:left w:w="0" w:type="dxa"/>
              <w:bottom w:w="0" w:type="dxa"/>
              <w:right w:w="15" w:type="dxa"/>
            </w:tcMar>
            <w:vAlign w:val="bottom"/>
            <w:hideMark/>
          </w:tcPr>
          <w:p w14:paraId="544FDED1"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 </w:t>
            </w:r>
          </w:p>
        </w:tc>
      </w:tr>
    </w:tbl>
    <w:p w14:paraId="52D46DA7"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3FD1C8B2" w14:textId="77777777" w:rsidTr="00AC4931">
        <w:tc>
          <w:tcPr>
            <w:tcW w:w="919" w:type="dxa"/>
            <w:noWrap/>
            <w:hideMark/>
          </w:tcPr>
          <w:p w14:paraId="3A7F7D1B"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1)</w:t>
            </w:r>
          </w:p>
        </w:tc>
        <w:tc>
          <w:tcPr>
            <w:tcW w:w="0" w:type="auto"/>
            <w:hideMark/>
          </w:tcPr>
          <w:p w14:paraId="47EF3BB1"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Net nominal amount after deducting for offsetting swaps under ISDA agreements is $1,462.7 million.</w:t>
            </w:r>
          </w:p>
        </w:tc>
      </w:tr>
      <w:tr w:rsidR="00AC4931" w:rsidRPr="00AC4931" w14:paraId="4E2375F1" w14:textId="77777777" w:rsidTr="00AC4931">
        <w:tc>
          <w:tcPr>
            <w:tcW w:w="919" w:type="dxa"/>
            <w:noWrap/>
            <w:hideMark/>
          </w:tcPr>
          <w:p w14:paraId="6E0D34DF"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w:t>
            </w:r>
          </w:p>
        </w:tc>
        <w:tc>
          <w:tcPr>
            <w:tcW w:w="0" w:type="auto"/>
            <w:hideMark/>
          </w:tcPr>
          <w:p w14:paraId="0BB2318C"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Net amount after deducting for offsetting swaps under ISDA agreements is $25.2 million.</w:t>
            </w:r>
          </w:p>
        </w:tc>
      </w:tr>
    </w:tbl>
    <w:p w14:paraId="41706D3A" w14:textId="77777777" w:rsidR="00AC4931" w:rsidRPr="00AC4931" w:rsidRDefault="00AC4931" w:rsidP="00AC4931">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7A6F0756" w14:textId="77777777" w:rsidTr="00AC4931">
        <w:tc>
          <w:tcPr>
            <w:tcW w:w="919" w:type="dxa"/>
            <w:noWrap/>
            <w:hideMark/>
          </w:tcPr>
          <w:p w14:paraId="111B1946"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3)</w:t>
            </w:r>
          </w:p>
        </w:tc>
        <w:tc>
          <w:tcPr>
            <w:tcW w:w="0" w:type="auto"/>
            <w:hideMark/>
          </w:tcPr>
          <w:p w14:paraId="57A545AE"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Net amount after deducting for offsetting swaps under ISDA agreements is $2.7 million.</w:t>
            </w:r>
          </w:p>
        </w:tc>
      </w:tr>
      <w:tr w:rsidR="00AC4931" w:rsidRPr="00AC4931" w14:paraId="0A85F2BE" w14:textId="77777777" w:rsidTr="00AC4931">
        <w:tc>
          <w:tcPr>
            <w:tcW w:w="919" w:type="dxa"/>
            <w:noWrap/>
            <w:hideMark/>
          </w:tcPr>
          <w:p w14:paraId="10797A5D"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4)</w:t>
            </w:r>
          </w:p>
        </w:tc>
        <w:tc>
          <w:tcPr>
            <w:tcW w:w="0" w:type="auto"/>
            <w:hideMark/>
          </w:tcPr>
          <w:p w14:paraId="1F57E8AD"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Net nominal amount after deducting for offsetting swaps under ISDA agreements is $860.6 million.</w:t>
            </w:r>
          </w:p>
        </w:tc>
      </w:tr>
    </w:tbl>
    <w:p w14:paraId="4FBE17D9" w14:textId="77777777" w:rsidR="00AC4931" w:rsidRPr="00AC4931" w:rsidRDefault="00AC4931" w:rsidP="00AC4931">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2D554FC0" w14:textId="77777777" w:rsidTr="00AC4931">
        <w:tc>
          <w:tcPr>
            <w:tcW w:w="919" w:type="dxa"/>
            <w:noWrap/>
            <w:hideMark/>
          </w:tcPr>
          <w:p w14:paraId="4AA5BBD8"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5)</w:t>
            </w:r>
          </w:p>
        </w:tc>
        <w:tc>
          <w:tcPr>
            <w:tcW w:w="0" w:type="auto"/>
            <w:hideMark/>
          </w:tcPr>
          <w:p w14:paraId="53242968"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Net amount after deducting for offsetting swaps under ISDA agreements is $5.8 million.</w:t>
            </w:r>
          </w:p>
        </w:tc>
      </w:tr>
      <w:tr w:rsidR="00AC4931" w:rsidRPr="00AC4931" w14:paraId="3FA0BD87" w14:textId="77777777" w:rsidTr="00AC4931">
        <w:tc>
          <w:tcPr>
            <w:tcW w:w="919" w:type="dxa"/>
            <w:noWrap/>
            <w:hideMark/>
          </w:tcPr>
          <w:p w14:paraId="3CE151D7"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6)</w:t>
            </w:r>
          </w:p>
        </w:tc>
        <w:tc>
          <w:tcPr>
            <w:tcW w:w="0" w:type="auto"/>
            <w:hideMark/>
          </w:tcPr>
          <w:p w14:paraId="2B0D7DD2"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Net amount after deducting for offsetting swaps under ISDA agreements is $1.6 million.</w:t>
            </w:r>
          </w:p>
        </w:tc>
      </w:tr>
    </w:tbl>
    <w:p w14:paraId="1493AE86" w14:textId="77777777" w:rsidR="00AC4931" w:rsidRPr="00AC4931" w:rsidRDefault="00AC4931" w:rsidP="00AC4931">
      <w:pPr>
        <w:widowControl/>
        <w:ind w:left="919" w:hanging="546"/>
        <w:rPr>
          <w:rFonts w:ascii="宋体" w:eastAsia="宋体" w:hAnsi="宋体" w:cs="宋体"/>
          <w:kern w:val="0"/>
          <w:sz w:val="18"/>
          <w:szCs w:val="18"/>
        </w:rPr>
      </w:pPr>
      <w:r w:rsidRPr="00AC4931">
        <w:rPr>
          <w:rFonts w:ascii="宋体" w:eastAsia="宋体" w:hAnsi="宋体" w:cs="宋体"/>
          <w:kern w:val="0"/>
          <w:sz w:val="18"/>
          <w:szCs w:val="18"/>
        </w:rPr>
        <w:t> </w:t>
      </w:r>
    </w:p>
    <w:p w14:paraId="009B134A"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68</w:t>
      </w:r>
    </w:p>
    <w:p w14:paraId="583FB1B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E924773"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CCBD70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304EF9F"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7456D80C">
          <v:rect id="_x0000_i1095" style="width:0;height:1.5pt" o:hralign="center" o:hrstd="t" o:hrnoshade="t" o:hr="t" fillcolor="black" stroked="f"/>
        </w:pict>
      </w:r>
    </w:p>
    <w:p w14:paraId="4F699D1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1BBB47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907663E"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BEA1BA8" w14:textId="77777777" w:rsidR="00AC4931" w:rsidRPr="00AC4931" w:rsidRDefault="00AC4931" w:rsidP="00AC4931">
      <w:pPr>
        <w:widowControl/>
        <w:jc w:val="left"/>
        <w:rPr>
          <w:rFonts w:ascii="Times New Roman" w:eastAsia="宋体" w:hAnsi="Times New Roman" w:cs="Times New Roman" w:hint="eastAsia"/>
          <w:kern w:val="0"/>
          <w:sz w:val="22"/>
        </w:rPr>
      </w:pPr>
      <w:r w:rsidRPr="00AC4931">
        <w:rPr>
          <w:rFonts w:ascii="Times New Roman" w:eastAsia="宋体" w:hAnsi="Times New Roman" w:cs="Times New Roman"/>
          <w:kern w:val="0"/>
          <w:sz w:val="22"/>
        </w:rPr>
        <w:t> </w:t>
      </w:r>
    </w:p>
    <w:p w14:paraId="0F33F2A5"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FAIR VALUE OF DEBT</w:t>
      </w:r>
    </w:p>
    <w:p w14:paraId="56F06C19"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xml:space="preserve">The fair value of long-term debt is determined either from quoted market prices as provided by participants in the secondary market or for long-term debt without quoted market prices, estimated using a discounted </w:t>
      </w:r>
      <w:r w:rsidRPr="00AC4931">
        <w:rPr>
          <w:rFonts w:ascii="Arial" w:eastAsia="宋体" w:hAnsi="Arial" w:cs="Arial"/>
          <w:kern w:val="0"/>
          <w:sz w:val="18"/>
          <w:szCs w:val="18"/>
        </w:rPr>
        <w:lastRenderedPageBreak/>
        <w:t>cash flow method based on the Company’s current borrowing rates for similar types of financing. The fair value and carrying value of debt is summarized in the table below. The Company has determined that each of these fair value measurements of debt reside within Level 2 of the fair value hierarchy.</w:t>
      </w:r>
    </w:p>
    <w:p w14:paraId="606FD1D9"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fair value and carrying value of debt for the continuing operations are summarized in the table below (dollars in millions).</w:t>
      </w:r>
    </w:p>
    <w:p w14:paraId="3CD258B6"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bl>
      <w:tblPr>
        <w:tblW w:w="18553" w:type="dxa"/>
        <w:tblCellMar>
          <w:left w:w="0" w:type="dxa"/>
          <w:right w:w="0" w:type="dxa"/>
        </w:tblCellMar>
        <w:tblLook w:val="04A0" w:firstRow="1" w:lastRow="0" w:firstColumn="1" w:lastColumn="0" w:noHBand="0" w:noVBand="1"/>
      </w:tblPr>
      <w:tblGrid>
        <w:gridCol w:w="6283"/>
        <w:gridCol w:w="269"/>
        <w:gridCol w:w="179"/>
        <w:gridCol w:w="2418"/>
        <w:gridCol w:w="179"/>
        <w:gridCol w:w="268"/>
        <w:gridCol w:w="179"/>
        <w:gridCol w:w="2464"/>
        <w:gridCol w:w="179"/>
        <w:gridCol w:w="268"/>
        <w:gridCol w:w="179"/>
        <w:gridCol w:w="2418"/>
        <w:gridCol w:w="179"/>
        <w:gridCol w:w="268"/>
        <w:gridCol w:w="179"/>
        <w:gridCol w:w="2464"/>
        <w:gridCol w:w="180"/>
      </w:tblGrid>
      <w:tr w:rsidR="00AC4931" w:rsidRPr="00AC4931" w14:paraId="1F148FBC" w14:textId="77777777" w:rsidTr="00AC4931">
        <w:tc>
          <w:tcPr>
            <w:tcW w:w="6269" w:type="dxa"/>
            <w:shd w:val="clear" w:color="auto" w:fill="FFFFFF"/>
            <w:tcMar>
              <w:top w:w="15" w:type="dxa"/>
              <w:left w:w="0" w:type="dxa"/>
              <w:bottom w:w="0" w:type="dxa"/>
              <w:right w:w="15" w:type="dxa"/>
            </w:tcMar>
            <w:vAlign w:val="bottom"/>
            <w:hideMark/>
          </w:tcPr>
          <w:p w14:paraId="6CA200A7"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67" w:type="dxa"/>
            <w:shd w:val="clear" w:color="auto" w:fill="FFFFFF"/>
            <w:tcMar>
              <w:top w:w="15" w:type="dxa"/>
              <w:left w:w="0" w:type="dxa"/>
              <w:bottom w:w="0" w:type="dxa"/>
              <w:right w:w="15" w:type="dxa"/>
            </w:tcMar>
            <w:vAlign w:val="bottom"/>
            <w:hideMark/>
          </w:tcPr>
          <w:p w14:paraId="1DFFEBE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5652" w:type="dxa"/>
            <w:gridSpan w:val="6"/>
            <w:tcBorders>
              <w:bottom w:val="single" w:sz="6" w:space="0" w:color="000000"/>
            </w:tcBorders>
            <w:shd w:val="clear" w:color="auto" w:fill="FFFFFF"/>
            <w:tcMar>
              <w:top w:w="15" w:type="dxa"/>
              <w:left w:w="0" w:type="dxa"/>
              <w:bottom w:w="0" w:type="dxa"/>
              <w:right w:w="15" w:type="dxa"/>
            </w:tcMar>
            <w:vAlign w:val="bottom"/>
            <w:hideMark/>
          </w:tcPr>
          <w:p w14:paraId="7E09995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 2020</w:t>
            </w:r>
          </w:p>
        </w:tc>
        <w:tc>
          <w:tcPr>
            <w:tcW w:w="171" w:type="dxa"/>
            <w:shd w:val="clear" w:color="auto" w:fill="FFFFFF"/>
            <w:noWrap/>
            <w:tcMar>
              <w:top w:w="15" w:type="dxa"/>
              <w:left w:w="0" w:type="dxa"/>
              <w:bottom w:w="0" w:type="dxa"/>
              <w:right w:w="15" w:type="dxa"/>
            </w:tcMar>
            <w:vAlign w:val="bottom"/>
            <w:hideMark/>
          </w:tcPr>
          <w:p w14:paraId="514B8C3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67" w:type="dxa"/>
            <w:shd w:val="clear" w:color="auto" w:fill="FFFFFF"/>
            <w:tcMar>
              <w:top w:w="15" w:type="dxa"/>
              <w:left w:w="0" w:type="dxa"/>
              <w:bottom w:w="0" w:type="dxa"/>
              <w:right w:w="15" w:type="dxa"/>
            </w:tcMar>
            <w:vAlign w:val="bottom"/>
            <w:hideMark/>
          </w:tcPr>
          <w:p w14:paraId="5A4E370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5652" w:type="dxa"/>
            <w:gridSpan w:val="6"/>
            <w:tcBorders>
              <w:bottom w:val="single" w:sz="6" w:space="0" w:color="000000"/>
            </w:tcBorders>
            <w:shd w:val="clear" w:color="auto" w:fill="FFFFFF"/>
            <w:tcMar>
              <w:top w:w="15" w:type="dxa"/>
              <w:left w:w="0" w:type="dxa"/>
              <w:bottom w:w="0" w:type="dxa"/>
              <w:right w:w="15" w:type="dxa"/>
            </w:tcMar>
            <w:vAlign w:val="bottom"/>
            <w:hideMark/>
          </w:tcPr>
          <w:p w14:paraId="05A0D6D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 2019</w:t>
            </w:r>
          </w:p>
        </w:tc>
        <w:tc>
          <w:tcPr>
            <w:tcW w:w="172" w:type="dxa"/>
            <w:shd w:val="clear" w:color="auto" w:fill="FFFFFF"/>
            <w:noWrap/>
            <w:tcMar>
              <w:top w:w="15" w:type="dxa"/>
              <w:left w:w="0" w:type="dxa"/>
              <w:bottom w:w="0" w:type="dxa"/>
              <w:right w:w="15" w:type="dxa"/>
            </w:tcMar>
            <w:vAlign w:val="bottom"/>
            <w:hideMark/>
          </w:tcPr>
          <w:p w14:paraId="065FAA4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E61FC56" w14:textId="77777777" w:rsidTr="00AC4931">
        <w:tc>
          <w:tcPr>
            <w:tcW w:w="6269" w:type="dxa"/>
            <w:shd w:val="clear" w:color="auto" w:fill="FFFFFF"/>
            <w:tcMar>
              <w:top w:w="15" w:type="dxa"/>
              <w:left w:w="0" w:type="dxa"/>
              <w:bottom w:w="0" w:type="dxa"/>
              <w:right w:w="15" w:type="dxa"/>
            </w:tcMar>
            <w:vAlign w:val="bottom"/>
            <w:hideMark/>
          </w:tcPr>
          <w:p w14:paraId="72DAD14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67" w:type="dxa"/>
            <w:shd w:val="clear" w:color="auto" w:fill="FFFFFF"/>
            <w:tcMar>
              <w:top w:w="15" w:type="dxa"/>
              <w:left w:w="0" w:type="dxa"/>
              <w:bottom w:w="0" w:type="dxa"/>
              <w:right w:w="15" w:type="dxa"/>
            </w:tcMar>
            <w:vAlign w:val="bottom"/>
            <w:hideMark/>
          </w:tcPr>
          <w:p w14:paraId="4F9B4A3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5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79F2A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CARRYING</w:t>
            </w:r>
          </w:p>
          <w:p w14:paraId="485F852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VALUE</w:t>
            </w:r>
            <w:r w:rsidRPr="00AC4931">
              <w:rPr>
                <w:rFonts w:ascii="Arial" w:eastAsia="宋体" w:hAnsi="Arial" w:cs="Arial"/>
                <w:b/>
                <w:bCs/>
                <w:color w:val="000000"/>
                <w:kern w:val="0"/>
                <w:sz w:val="18"/>
                <w:szCs w:val="18"/>
                <w:vertAlign w:val="superscript"/>
              </w:rPr>
              <w:t>1)</w:t>
            </w:r>
          </w:p>
        </w:tc>
        <w:tc>
          <w:tcPr>
            <w:tcW w:w="171" w:type="dxa"/>
            <w:shd w:val="clear" w:color="auto" w:fill="FFFFFF"/>
            <w:noWrap/>
            <w:tcMar>
              <w:top w:w="15" w:type="dxa"/>
              <w:left w:w="0" w:type="dxa"/>
              <w:bottom w:w="0" w:type="dxa"/>
              <w:right w:w="15" w:type="dxa"/>
            </w:tcMar>
            <w:vAlign w:val="bottom"/>
            <w:hideMark/>
          </w:tcPr>
          <w:p w14:paraId="13840CC0"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267" w:type="dxa"/>
            <w:tcBorders>
              <w:top w:val="single" w:sz="6" w:space="0" w:color="000000"/>
            </w:tcBorders>
            <w:shd w:val="clear" w:color="auto" w:fill="FFFFFF"/>
            <w:tcMar>
              <w:top w:w="15" w:type="dxa"/>
              <w:left w:w="0" w:type="dxa"/>
              <w:bottom w:w="0" w:type="dxa"/>
              <w:right w:w="15" w:type="dxa"/>
            </w:tcMar>
            <w:vAlign w:val="bottom"/>
            <w:hideMark/>
          </w:tcPr>
          <w:p w14:paraId="4BE9E49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5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6F3293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FAIR</w:t>
            </w:r>
          </w:p>
          <w:p w14:paraId="1981950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VALUE</w:t>
            </w:r>
          </w:p>
        </w:tc>
        <w:tc>
          <w:tcPr>
            <w:tcW w:w="171" w:type="dxa"/>
            <w:shd w:val="clear" w:color="auto" w:fill="FFFFFF"/>
            <w:noWrap/>
            <w:tcMar>
              <w:top w:w="15" w:type="dxa"/>
              <w:left w:w="0" w:type="dxa"/>
              <w:bottom w:w="0" w:type="dxa"/>
              <w:right w:w="15" w:type="dxa"/>
            </w:tcMar>
            <w:vAlign w:val="bottom"/>
            <w:hideMark/>
          </w:tcPr>
          <w:p w14:paraId="1B3DEF4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67" w:type="dxa"/>
            <w:shd w:val="clear" w:color="auto" w:fill="FFFFFF"/>
            <w:tcMar>
              <w:top w:w="15" w:type="dxa"/>
              <w:left w:w="0" w:type="dxa"/>
              <w:bottom w:w="0" w:type="dxa"/>
              <w:right w:w="15" w:type="dxa"/>
            </w:tcMar>
            <w:vAlign w:val="bottom"/>
            <w:hideMark/>
          </w:tcPr>
          <w:p w14:paraId="32122FB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5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EBC878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CARRYING</w:t>
            </w:r>
          </w:p>
          <w:p w14:paraId="21A7DA9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VALUE</w:t>
            </w:r>
            <w:r w:rsidRPr="00AC4931">
              <w:rPr>
                <w:rFonts w:ascii="Arial" w:eastAsia="宋体" w:hAnsi="Arial" w:cs="Arial"/>
                <w:b/>
                <w:bCs/>
                <w:color w:val="000000"/>
                <w:kern w:val="0"/>
                <w:sz w:val="18"/>
                <w:szCs w:val="18"/>
                <w:vertAlign w:val="superscript"/>
              </w:rPr>
              <w:t>1)</w:t>
            </w:r>
          </w:p>
        </w:tc>
        <w:tc>
          <w:tcPr>
            <w:tcW w:w="171" w:type="dxa"/>
            <w:shd w:val="clear" w:color="auto" w:fill="FFFFFF"/>
            <w:noWrap/>
            <w:tcMar>
              <w:top w:w="15" w:type="dxa"/>
              <w:left w:w="0" w:type="dxa"/>
              <w:bottom w:w="0" w:type="dxa"/>
              <w:right w:w="15" w:type="dxa"/>
            </w:tcMar>
            <w:vAlign w:val="bottom"/>
            <w:hideMark/>
          </w:tcPr>
          <w:p w14:paraId="3F790A8D"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c>
          <w:tcPr>
            <w:tcW w:w="267" w:type="dxa"/>
            <w:tcBorders>
              <w:top w:val="single" w:sz="6" w:space="0" w:color="000000"/>
            </w:tcBorders>
            <w:shd w:val="clear" w:color="auto" w:fill="FFFFFF"/>
            <w:tcMar>
              <w:top w:w="15" w:type="dxa"/>
              <w:left w:w="0" w:type="dxa"/>
              <w:bottom w:w="0" w:type="dxa"/>
              <w:right w:w="15" w:type="dxa"/>
            </w:tcMar>
            <w:vAlign w:val="bottom"/>
            <w:hideMark/>
          </w:tcPr>
          <w:p w14:paraId="2196923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5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873733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FAIR</w:t>
            </w:r>
          </w:p>
          <w:p w14:paraId="7018B44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VALUE</w:t>
            </w:r>
          </w:p>
        </w:tc>
        <w:tc>
          <w:tcPr>
            <w:tcW w:w="172" w:type="dxa"/>
            <w:shd w:val="clear" w:color="auto" w:fill="FFFFFF"/>
            <w:noWrap/>
            <w:tcMar>
              <w:top w:w="15" w:type="dxa"/>
              <w:left w:w="0" w:type="dxa"/>
              <w:bottom w:w="0" w:type="dxa"/>
              <w:right w:w="15" w:type="dxa"/>
            </w:tcMar>
            <w:vAlign w:val="bottom"/>
            <w:hideMark/>
          </w:tcPr>
          <w:p w14:paraId="7EC95F8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D3A80F5" w14:textId="77777777" w:rsidTr="00AC4931">
        <w:tc>
          <w:tcPr>
            <w:tcW w:w="6269" w:type="dxa"/>
            <w:shd w:val="clear" w:color="auto" w:fill="CFF0FC"/>
            <w:tcMar>
              <w:top w:w="15" w:type="dxa"/>
              <w:left w:w="0" w:type="dxa"/>
              <w:bottom w:w="0" w:type="dxa"/>
              <w:right w:w="15" w:type="dxa"/>
            </w:tcMar>
            <w:hideMark/>
          </w:tcPr>
          <w:p w14:paraId="601A175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LONG-TERM DEBT</w:t>
            </w:r>
          </w:p>
        </w:tc>
        <w:tc>
          <w:tcPr>
            <w:tcW w:w="267" w:type="dxa"/>
            <w:shd w:val="clear" w:color="auto" w:fill="CFF0FC"/>
            <w:tcMar>
              <w:top w:w="15" w:type="dxa"/>
              <w:left w:w="0" w:type="dxa"/>
              <w:bottom w:w="0" w:type="dxa"/>
              <w:right w:w="15" w:type="dxa"/>
            </w:tcMar>
            <w:vAlign w:val="bottom"/>
            <w:hideMark/>
          </w:tcPr>
          <w:p w14:paraId="63FDD2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tcBorders>
            <w:shd w:val="clear" w:color="auto" w:fill="CFF0FC"/>
            <w:noWrap/>
            <w:tcMar>
              <w:top w:w="15" w:type="dxa"/>
              <w:left w:w="0" w:type="dxa"/>
              <w:bottom w:w="0" w:type="dxa"/>
              <w:right w:w="15" w:type="dxa"/>
            </w:tcMar>
            <w:vAlign w:val="bottom"/>
            <w:hideMark/>
          </w:tcPr>
          <w:p w14:paraId="1B74C7F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399" w:type="dxa"/>
            <w:tcBorders>
              <w:top w:val="single" w:sz="6" w:space="0" w:color="000000"/>
            </w:tcBorders>
            <w:shd w:val="clear" w:color="auto" w:fill="CFF0FC"/>
            <w:noWrap/>
            <w:tcMar>
              <w:top w:w="15" w:type="dxa"/>
              <w:left w:w="0" w:type="dxa"/>
              <w:bottom w:w="0" w:type="dxa"/>
              <w:right w:w="15" w:type="dxa"/>
            </w:tcMar>
            <w:vAlign w:val="bottom"/>
            <w:hideMark/>
          </w:tcPr>
          <w:p w14:paraId="6A280A5F"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1D22CED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5B657F9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1" w:type="dxa"/>
            <w:tcBorders>
              <w:top w:val="single" w:sz="6" w:space="0" w:color="000000"/>
            </w:tcBorders>
            <w:shd w:val="clear" w:color="auto" w:fill="CFF0FC"/>
            <w:noWrap/>
            <w:tcMar>
              <w:top w:w="15" w:type="dxa"/>
              <w:left w:w="0" w:type="dxa"/>
              <w:bottom w:w="0" w:type="dxa"/>
              <w:right w:w="15" w:type="dxa"/>
            </w:tcMar>
            <w:vAlign w:val="bottom"/>
            <w:hideMark/>
          </w:tcPr>
          <w:p w14:paraId="5FDBD4B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399" w:type="dxa"/>
            <w:tcBorders>
              <w:top w:val="single" w:sz="6" w:space="0" w:color="000000"/>
            </w:tcBorders>
            <w:shd w:val="clear" w:color="auto" w:fill="CFF0FC"/>
            <w:noWrap/>
            <w:tcMar>
              <w:top w:w="15" w:type="dxa"/>
              <w:left w:w="0" w:type="dxa"/>
              <w:bottom w:w="0" w:type="dxa"/>
              <w:right w:w="15" w:type="dxa"/>
            </w:tcMar>
            <w:vAlign w:val="bottom"/>
            <w:hideMark/>
          </w:tcPr>
          <w:p w14:paraId="0F7D2231"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4E9568D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54E5204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1" w:type="dxa"/>
            <w:tcBorders>
              <w:top w:val="single" w:sz="6" w:space="0" w:color="000000"/>
            </w:tcBorders>
            <w:shd w:val="clear" w:color="auto" w:fill="CFF0FC"/>
            <w:noWrap/>
            <w:tcMar>
              <w:top w:w="15" w:type="dxa"/>
              <w:left w:w="0" w:type="dxa"/>
              <w:bottom w:w="0" w:type="dxa"/>
              <w:right w:w="15" w:type="dxa"/>
            </w:tcMar>
            <w:vAlign w:val="bottom"/>
            <w:hideMark/>
          </w:tcPr>
          <w:p w14:paraId="7513575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399" w:type="dxa"/>
            <w:tcBorders>
              <w:top w:val="single" w:sz="6" w:space="0" w:color="000000"/>
            </w:tcBorders>
            <w:shd w:val="clear" w:color="auto" w:fill="CFF0FC"/>
            <w:noWrap/>
            <w:tcMar>
              <w:top w:w="15" w:type="dxa"/>
              <w:left w:w="0" w:type="dxa"/>
              <w:bottom w:w="0" w:type="dxa"/>
              <w:right w:w="15" w:type="dxa"/>
            </w:tcMar>
            <w:vAlign w:val="bottom"/>
            <w:hideMark/>
          </w:tcPr>
          <w:p w14:paraId="020BB7B9"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1693F06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4479673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1" w:type="dxa"/>
            <w:tcBorders>
              <w:top w:val="single" w:sz="6" w:space="0" w:color="000000"/>
            </w:tcBorders>
            <w:shd w:val="clear" w:color="auto" w:fill="CFF0FC"/>
            <w:noWrap/>
            <w:tcMar>
              <w:top w:w="15" w:type="dxa"/>
              <w:left w:w="0" w:type="dxa"/>
              <w:bottom w:w="0" w:type="dxa"/>
              <w:right w:w="15" w:type="dxa"/>
            </w:tcMar>
            <w:vAlign w:val="bottom"/>
            <w:hideMark/>
          </w:tcPr>
          <w:p w14:paraId="007ABA9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399" w:type="dxa"/>
            <w:tcBorders>
              <w:top w:val="single" w:sz="6" w:space="0" w:color="000000"/>
            </w:tcBorders>
            <w:shd w:val="clear" w:color="auto" w:fill="CFF0FC"/>
            <w:noWrap/>
            <w:tcMar>
              <w:top w:w="15" w:type="dxa"/>
              <w:left w:w="0" w:type="dxa"/>
              <w:bottom w:w="0" w:type="dxa"/>
              <w:right w:w="15" w:type="dxa"/>
            </w:tcMar>
            <w:vAlign w:val="bottom"/>
            <w:hideMark/>
          </w:tcPr>
          <w:p w14:paraId="7F5549D5"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2" w:type="dxa"/>
            <w:shd w:val="clear" w:color="auto" w:fill="CFF0FC"/>
            <w:noWrap/>
            <w:tcMar>
              <w:top w:w="15" w:type="dxa"/>
              <w:left w:w="0" w:type="dxa"/>
              <w:bottom w:w="0" w:type="dxa"/>
              <w:right w:w="15" w:type="dxa"/>
            </w:tcMar>
            <w:vAlign w:val="bottom"/>
            <w:hideMark/>
          </w:tcPr>
          <w:p w14:paraId="05FE70D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4971E4F" w14:textId="77777777" w:rsidTr="00AC4931">
        <w:tc>
          <w:tcPr>
            <w:tcW w:w="6269" w:type="dxa"/>
            <w:shd w:val="clear" w:color="auto" w:fill="FFFFFF"/>
            <w:tcMar>
              <w:top w:w="15" w:type="dxa"/>
              <w:left w:w="0" w:type="dxa"/>
              <w:bottom w:w="0" w:type="dxa"/>
              <w:right w:w="15" w:type="dxa"/>
            </w:tcMar>
            <w:hideMark/>
          </w:tcPr>
          <w:p w14:paraId="1871DC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Bonds</w:t>
            </w:r>
          </w:p>
        </w:tc>
        <w:tc>
          <w:tcPr>
            <w:tcW w:w="267" w:type="dxa"/>
            <w:shd w:val="clear" w:color="auto" w:fill="FFFFFF"/>
            <w:tcMar>
              <w:top w:w="15" w:type="dxa"/>
              <w:left w:w="0" w:type="dxa"/>
              <w:bottom w:w="0" w:type="dxa"/>
              <w:right w:w="15" w:type="dxa"/>
            </w:tcMar>
            <w:vAlign w:val="bottom"/>
            <w:hideMark/>
          </w:tcPr>
          <w:p w14:paraId="63297A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4944F0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99" w:type="dxa"/>
            <w:shd w:val="clear" w:color="auto" w:fill="FFFFFF"/>
            <w:noWrap/>
            <w:tcMar>
              <w:top w:w="15" w:type="dxa"/>
              <w:left w:w="0" w:type="dxa"/>
              <w:bottom w:w="0" w:type="dxa"/>
              <w:right w:w="15" w:type="dxa"/>
            </w:tcMar>
            <w:vAlign w:val="bottom"/>
            <w:hideMark/>
          </w:tcPr>
          <w:p w14:paraId="74D1F27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1,376.5</w:t>
            </w:r>
          </w:p>
        </w:tc>
        <w:tc>
          <w:tcPr>
            <w:tcW w:w="171" w:type="dxa"/>
            <w:shd w:val="clear" w:color="auto" w:fill="FFFFFF"/>
            <w:noWrap/>
            <w:tcMar>
              <w:top w:w="15" w:type="dxa"/>
              <w:left w:w="0" w:type="dxa"/>
              <w:bottom w:w="0" w:type="dxa"/>
              <w:right w:w="15" w:type="dxa"/>
            </w:tcMar>
            <w:vAlign w:val="bottom"/>
            <w:hideMark/>
          </w:tcPr>
          <w:p w14:paraId="355096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6FB803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0164C1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99" w:type="dxa"/>
            <w:shd w:val="clear" w:color="auto" w:fill="FFFFFF"/>
            <w:noWrap/>
            <w:tcMar>
              <w:top w:w="15" w:type="dxa"/>
              <w:left w:w="0" w:type="dxa"/>
              <w:bottom w:w="0" w:type="dxa"/>
              <w:right w:w="15" w:type="dxa"/>
            </w:tcMar>
            <w:vAlign w:val="bottom"/>
            <w:hideMark/>
          </w:tcPr>
          <w:p w14:paraId="115D3BA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1,483.4</w:t>
            </w:r>
          </w:p>
        </w:tc>
        <w:tc>
          <w:tcPr>
            <w:tcW w:w="171" w:type="dxa"/>
            <w:shd w:val="clear" w:color="auto" w:fill="FFFFFF"/>
            <w:noWrap/>
            <w:tcMar>
              <w:top w:w="15" w:type="dxa"/>
              <w:left w:w="0" w:type="dxa"/>
              <w:bottom w:w="0" w:type="dxa"/>
              <w:right w:w="15" w:type="dxa"/>
            </w:tcMar>
            <w:vAlign w:val="bottom"/>
            <w:hideMark/>
          </w:tcPr>
          <w:p w14:paraId="40C653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1377A4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6FFA48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99" w:type="dxa"/>
            <w:shd w:val="clear" w:color="auto" w:fill="FFFFFF"/>
            <w:noWrap/>
            <w:tcMar>
              <w:top w:w="15" w:type="dxa"/>
              <w:left w:w="0" w:type="dxa"/>
              <w:bottom w:w="0" w:type="dxa"/>
              <w:right w:w="15" w:type="dxa"/>
            </w:tcMar>
            <w:vAlign w:val="bottom"/>
            <w:hideMark/>
          </w:tcPr>
          <w:p w14:paraId="6FBE41A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1,597.5</w:t>
            </w:r>
          </w:p>
        </w:tc>
        <w:tc>
          <w:tcPr>
            <w:tcW w:w="171" w:type="dxa"/>
            <w:shd w:val="clear" w:color="auto" w:fill="FFFFFF"/>
            <w:noWrap/>
            <w:tcMar>
              <w:top w:w="15" w:type="dxa"/>
              <w:left w:w="0" w:type="dxa"/>
              <w:bottom w:w="0" w:type="dxa"/>
              <w:right w:w="15" w:type="dxa"/>
            </w:tcMar>
            <w:vAlign w:val="bottom"/>
            <w:hideMark/>
          </w:tcPr>
          <w:p w14:paraId="70E8B9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2B2C87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666187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99" w:type="dxa"/>
            <w:shd w:val="clear" w:color="auto" w:fill="FFFFFF"/>
            <w:noWrap/>
            <w:tcMar>
              <w:top w:w="15" w:type="dxa"/>
              <w:left w:w="0" w:type="dxa"/>
              <w:bottom w:w="0" w:type="dxa"/>
              <w:right w:w="15" w:type="dxa"/>
            </w:tcMar>
            <w:vAlign w:val="bottom"/>
            <w:hideMark/>
          </w:tcPr>
          <w:p w14:paraId="4697374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1,671.1</w:t>
            </w:r>
          </w:p>
        </w:tc>
        <w:tc>
          <w:tcPr>
            <w:tcW w:w="172" w:type="dxa"/>
            <w:shd w:val="clear" w:color="auto" w:fill="FFFFFF"/>
            <w:noWrap/>
            <w:tcMar>
              <w:top w:w="15" w:type="dxa"/>
              <w:left w:w="0" w:type="dxa"/>
              <w:bottom w:w="0" w:type="dxa"/>
              <w:right w:w="15" w:type="dxa"/>
            </w:tcMar>
            <w:vAlign w:val="bottom"/>
            <w:hideMark/>
          </w:tcPr>
          <w:p w14:paraId="32305E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3916CE3" w14:textId="77777777" w:rsidTr="00AC4931">
        <w:tc>
          <w:tcPr>
            <w:tcW w:w="6269" w:type="dxa"/>
            <w:shd w:val="clear" w:color="auto" w:fill="CFF0FC"/>
            <w:tcMar>
              <w:top w:w="15" w:type="dxa"/>
              <w:left w:w="0" w:type="dxa"/>
              <w:bottom w:w="0" w:type="dxa"/>
              <w:right w:w="15" w:type="dxa"/>
            </w:tcMar>
            <w:hideMark/>
          </w:tcPr>
          <w:p w14:paraId="347270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Loans</w:t>
            </w:r>
          </w:p>
        </w:tc>
        <w:tc>
          <w:tcPr>
            <w:tcW w:w="267" w:type="dxa"/>
            <w:shd w:val="clear" w:color="auto" w:fill="CFF0FC"/>
            <w:tcMar>
              <w:top w:w="15" w:type="dxa"/>
              <w:left w:w="0" w:type="dxa"/>
              <w:bottom w:w="0" w:type="dxa"/>
              <w:right w:w="15" w:type="dxa"/>
            </w:tcMar>
            <w:vAlign w:val="bottom"/>
            <w:hideMark/>
          </w:tcPr>
          <w:p w14:paraId="255D3E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054628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6F86161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732.5</w:t>
            </w:r>
          </w:p>
        </w:tc>
        <w:tc>
          <w:tcPr>
            <w:tcW w:w="171" w:type="dxa"/>
            <w:shd w:val="clear" w:color="auto" w:fill="CFF0FC"/>
            <w:noWrap/>
            <w:tcMar>
              <w:top w:w="15" w:type="dxa"/>
              <w:left w:w="0" w:type="dxa"/>
              <w:bottom w:w="0" w:type="dxa"/>
              <w:right w:w="15" w:type="dxa"/>
            </w:tcMar>
            <w:vAlign w:val="bottom"/>
            <w:hideMark/>
          </w:tcPr>
          <w:p w14:paraId="060AB9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6476F1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422E6D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0A3515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752.9</w:t>
            </w:r>
          </w:p>
        </w:tc>
        <w:tc>
          <w:tcPr>
            <w:tcW w:w="171" w:type="dxa"/>
            <w:shd w:val="clear" w:color="auto" w:fill="CFF0FC"/>
            <w:noWrap/>
            <w:tcMar>
              <w:top w:w="15" w:type="dxa"/>
              <w:left w:w="0" w:type="dxa"/>
              <w:bottom w:w="0" w:type="dxa"/>
              <w:right w:w="15" w:type="dxa"/>
            </w:tcMar>
            <w:vAlign w:val="bottom"/>
            <w:hideMark/>
          </w:tcPr>
          <w:p w14:paraId="3181C7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5AC80D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47C70F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3AA0DB8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128.6</w:t>
            </w:r>
          </w:p>
        </w:tc>
        <w:tc>
          <w:tcPr>
            <w:tcW w:w="171" w:type="dxa"/>
            <w:shd w:val="clear" w:color="auto" w:fill="CFF0FC"/>
            <w:noWrap/>
            <w:tcMar>
              <w:top w:w="15" w:type="dxa"/>
              <w:left w:w="0" w:type="dxa"/>
              <w:bottom w:w="0" w:type="dxa"/>
              <w:right w:w="15" w:type="dxa"/>
            </w:tcMar>
            <w:vAlign w:val="bottom"/>
            <w:hideMark/>
          </w:tcPr>
          <w:p w14:paraId="481366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2B5A76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487CF0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7C33DE6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128.6</w:t>
            </w:r>
          </w:p>
        </w:tc>
        <w:tc>
          <w:tcPr>
            <w:tcW w:w="172" w:type="dxa"/>
            <w:shd w:val="clear" w:color="auto" w:fill="CFF0FC"/>
            <w:noWrap/>
            <w:tcMar>
              <w:top w:w="15" w:type="dxa"/>
              <w:left w:w="0" w:type="dxa"/>
              <w:bottom w:w="0" w:type="dxa"/>
              <w:right w:w="15" w:type="dxa"/>
            </w:tcMar>
            <w:vAlign w:val="bottom"/>
            <w:hideMark/>
          </w:tcPr>
          <w:p w14:paraId="6CE836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9D94492" w14:textId="77777777" w:rsidTr="00AC4931">
        <w:tc>
          <w:tcPr>
            <w:tcW w:w="6269" w:type="dxa"/>
            <w:shd w:val="clear" w:color="auto" w:fill="FFFFFF"/>
            <w:tcMar>
              <w:top w:w="15" w:type="dxa"/>
              <w:left w:w="0" w:type="dxa"/>
              <w:bottom w:w="0" w:type="dxa"/>
              <w:right w:w="15" w:type="dxa"/>
            </w:tcMar>
            <w:hideMark/>
          </w:tcPr>
          <w:p w14:paraId="1D0AFB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long-term debt</w:t>
            </w:r>
          </w:p>
        </w:tc>
        <w:tc>
          <w:tcPr>
            <w:tcW w:w="267" w:type="dxa"/>
            <w:shd w:val="clear" w:color="auto" w:fill="FFFFFF"/>
            <w:tcMar>
              <w:top w:w="15" w:type="dxa"/>
              <w:left w:w="0" w:type="dxa"/>
              <w:bottom w:w="0" w:type="dxa"/>
              <w:right w:w="15" w:type="dxa"/>
            </w:tcMar>
            <w:vAlign w:val="bottom"/>
            <w:hideMark/>
          </w:tcPr>
          <w:p w14:paraId="495129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bottom w:val="single" w:sz="6" w:space="0" w:color="000000"/>
            </w:tcBorders>
            <w:shd w:val="clear" w:color="auto" w:fill="FFFFFF"/>
            <w:noWrap/>
            <w:tcMar>
              <w:top w:w="15" w:type="dxa"/>
              <w:left w:w="0" w:type="dxa"/>
              <w:bottom w:w="0" w:type="dxa"/>
              <w:right w:w="15" w:type="dxa"/>
            </w:tcMar>
            <w:vAlign w:val="bottom"/>
            <w:hideMark/>
          </w:tcPr>
          <w:p w14:paraId="49BDB7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bottom w:val="single" w:sz="6" w:space="0" w:color="000000"/>
            </w:tcBorders>
            <w:shd w:val="clear" w:color="auto" w:fill="FFFFFF"/>
            <w:noWrap/>
            <w:tcMar>
              <w:top w:w="15" w:type="dxa"/>
              <w:left w:w="0" w:type="dxa"/>
              <w:bottom w:w="0" w:type="dxa"/>
              <w:right w:w="15" w:type="dxa"/>
            </w:tcMar>
            <w:vAlign w:val="bottom"/>
            <w:hideMark/>
          </w:tcPr>
          <w:p w14:paraId="0E395AC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71" w:type="dxa"/>
            <w:shd w:val="clear" w:color="auto" w:fill="FFFFFF"/>
            <w:noWrap/>
            <w:tcMar>
              <w:top w:w="15" w:type="dxa"/>
              <w:left w:w="0" w:type="dxa"/>
              <w:bottom w:w="0" w:type="dxa"/>
              <w:right w:w="15" w:type="dxa"/>
            </w:tcMar>
            <w:vAlign w:val="bottom"/>
            <w:hideMark/>
          </w:tcPr>
          <w:p w14:paraId="495C30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70CBDE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bottom w:val="single" w:sz="6" w:space="0" w:color="000000"/>
            </w:tcBorders>
            <w:shd w:val="clear" w:color="auto" w:fill="FFFFFF"/>
            <w:noWrap/>
            <w:tcMar>
              <w:top w:w="15" w:type="dxa"/>
              <w:left w:w="0" w:type="dxa"/>
              <w:bottom w:w="0" w:type="dxa"/>
              <w:right w:w="15" w:type="dxa"/>
            </w:tcMar>
            <w:vAlign w:val="bottom"/>
            <w:hideMark/>
          </w:tcPr>
          <w:p w14:paraId="5815B9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bottom w:val="single" w:sz="6" w:space="0" w:color="000000"/>
            </w:tcBorders>
            <w:shd w:val="clear" w:color="auto" w:fill="FFFFFF"/>
            <w:noWrap/>
            <w:tcMar>
              <w:top w:w="15" w:type="dxa"/>
              <w:left w:w="0" w:type="dxa"/>
              <w:bottom w:w="0" w:type="dxa"/>
              <w:right w:w="15" w:type="dxa"/>
            </w:tcMar>
            <w:vAlign w:val="bottom"/>
            <w:hideMark/>
          </w:tcPr>
          <w:p w14:paraId="547E67D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71" w:type="dxa"/>
            <w:shd w:val="clear" w:color="auto" w:fill="FFFFFF"/>
            <w:noWrap/>
            <w:tcMar>
              <w:top w:w="15" w:type="dxa"/>
              <w:left w:w="0" w:type="dxa"/>
              <w:bottom w:w="0" w:type="dxa"/>
              <w:right w:w="15" w:type="dxa"/>
            </w:tcMar>
            <w:vAlign w:val="bottom"/>
            <w:hideMark/>
          </w:tcPr>
          <w:p w14:paraId="106393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571CA0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bottom w:val="single" w:sz="6" w:space="0" w:color="000000"/>
            </w:tcBorders>
            <w:shd w:val="clear" w:color="auto" w:fill="FFFFFF"/>
            <w:noWrap/>
            <w:tcMar>
              <w:top w:w="15" w:type="dxa"/>
              <w:left w:w="0" w:type="dxa"/>
              <w:bottom w:w="0" w:type="dxa"/>
              <w:right w:w="15" w:type="dxa"/>
            </w:tcMar>
            <w:vAlign w:val="bottom"/>
            <w:hideMark/>
          </w:tcPr>
          <w:p w14:paraId="0054CC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bottom w:val="single" w:sz="6" w:space="0" w:color="000000"/>
            </w:tcBorders>
            <w:shd w:val="clear" w:color="auto" w:fill="FFFFFF"/>
            <w:noWrap/>
            <w:tcMar>
              <w:top w:w="15" w:type="dxa"/>
              <w:left w:w="0" w:type="dxa"/>
              <w:bottom w:w="0" w:type="dxa"/>
              <w:right w:w="15" w:type="dxa"/>
            </w:tcMar>
            <w:vAlign w:val="bottom"/>
            <w:hideMark/>
          </w:tcPr>
          <w:p w14:paraId="50353E0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1" w:type="dxa"/>
            <w:shd w:val="clear" w:color="auto" w:fill="FFFFFF"/>
            <w:noWrap/>
            <w:tcMar>
              <w:top w:w="15" w:type="dxa"/>
              <w:left w:w="0" w:type="dxa"/>
              <w:bottom w:w="0" w:type="dxa"/>
              <w:right w:w="15" w:type="dxa"/>
            </w:tcMar>
            <w:vAlign w:val="bottom"/>
            <w:hideMark/>
          </w:tcPr>
          <w:p w14:paraId="2598BC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6F90DA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bottom w:val="single" w:sz="6" w:space="0" w:color="000000"/>
            </w:tcBorders>
            <w:shd w:val="clear" w:color="auto" w:fill="FFFFFF"/>
            <w:noWrap/>
            <w:tcMar>
              <w:top w:w="15" w:type="dxa"/>
              <w:left w:w="0" w:type="dxa"/>
              <w:bottom w:w="0" w:type="dxa"/>
              <w:right w:w="15" w:type="dxa"/>
            </w:tcMar>
            <w:vAlign w:val="bottom"/>
            <w:hideMark/>
          </w:tcPr>
          <w:p w14:paraId="2321C1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bottom w:val="single" w:sz="6" w:space="0" w:color="000000"/>
            </w:tcBorders>
            <w:shd w:val="clear" w:color="auto" w:fill="FFFFFF"/>
            <w:noWrap/>
            <w:tcMar>
              <w:top w:w="15" w:type="dxa"/>
              <w:left w:w="0" w:type="dxa"/>
              <w:bottom w:w="0" w:type="dxa"/>
              <w:right w:w="15" w:type="dxa"/>
            </w:tcMar>
            <w:vAlign w:val="bottom"/>
            <w:hideMark/>
          </w:tcPr>
          <w:p w14:paraId="60FC49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2" w:type="dxa"/>
            <w:shd w:val="clear" w:color="auto" w:fill="FFFFFF"/>
            <w:noWrap/>
            <w:tcMar>
              <w:top w:w="15" w:type="dxa"/>
              <w:left w:w="0" w:type="dxa"/>
              <w:bottom w:w="0" w:type="dxa"/>
              <w:right w:w="15" w:type="dxa"/>
            </w:tcMar>
            <w:vAlign w:val="bottom"/>
            <w:hideMark/>
          </w:tcPr>
          <w:p w14:paraId="499FFD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1E6E00B" w14:textId="77777777" w:rsidTr="00AC4931">
        <w:tc>
          <w:tcPr>
            <w:tcW w:w="6269" w:type="dxa"/>
            <w:shd w:val="clear" w:color="auto" w:fill="CFF0FC"/>
            <w:tcMar>
              <w:top w:w="15" w:type="dxa"/>
              <w:left w:w="0" w:type="dxa"/>
              <w:bottom w:w="0" w:type="dxa"/>
              <w:right w:w="15" w:type="dxa"/>
            </w:tcMar>
            <w:hideMark/>
          </w:tcPr>
          <w:p w14:paraId="3F28625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67" w:type="dxa"/>
            <w:shd w:val="clear" w:color="auto" w:fill="CFF0FC"/>
            <w:tcMar>
              <w:top w:w="15" w:type="dxa"/>
              <w:left w:w="0" w:type="dxa"/>
              <w:bottom w:w="0" w:type="dxa"/>
              <w:right w:w="15" w:type="dxa"/>
            </w:tcMar>
            <w:vAlign w:val="bottom"/>
            <w:hideMark/>
          </w:tcPr>
          <w:p w14:paraId="0B5275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55FA4C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39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141DC2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2,109.6</w:t>
            </w:r>
          </w:p>
        </w:tc>
        <w:tc>
          <w:tcPr>
            <w:tcW w:w="171" w:type="dxa"/>
            <w:shd w:val="clear" w:color="auto" w:fill="CFF0FC"/>
            <w:noWrap/>
            <w:tcMar>
              <w:top w:w="15" w:type="dxa"/>
              <w:left w:w="0" w:type="dxa"/>
              <w:bottom w:w="0" w:type="dxa"/>
              <w:right w:w="15" w:type="dxa"/>
            </w:tcMar>
            <w:vAlign w:val="bottom"/>
            <w:hideMark/>
          </w:tcPr>
          <w:p w14:paraId="06A6DCD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4A7311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B819C3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39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651A0C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2,236.9</w:t>
            </w:r>
          </w:p>
        </w:tc>
        <w:tc>
          <w:tcPr>
            <w:tcW w:w="171" w:type="dxa"/>
            <w:shd w:val="clear" w:color="auto" w:fill="CFF0FC"/>
            <w:noWrap/>
            <w:tcMar>
              <w:top w:w="15" w:type="dxa"/>
              <w:left w:w="0" w:type="dxa"/>
              <w:bottom w:w="0" w:type="dxa"/>
              <w:right w:w="15" w:type="dxa"/>
            </w:tcMar>
            <w:vAlign w:val="bottom"/>
            <w:hideMark/>
          </w:tcPr>
          <w:p w14:paraId="3492974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76C1C7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3120AE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39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638F1E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1,726.1</w:t>
            </w:r>
          </w:p>
        </w:tc>
        <w:tc>
          <w:tcPr>
            <w:tcW w:w="171" w:type="dxa"/>
            <w:shd w:val="clear" w:color="auto" w:fill="CFF0FC"/>
            <w:noWrap/>
            <w:tcMar>
              <w:top w:w="15" w:type="dxa"/>
              <w:left w:w="0" w:type="dxa"/>
              <w:bottom w:w="0" w:type="dxa"/>
              <w:right w:w="15" w:type="dxa"/>
            </w:tcMar>
            <w:vAlign w:val="bottom"/>
            <w:hideMark/>
          </w:tcPr>
          <w:p w14:paraId="31A4BDF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181809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2C18D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39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C0D03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1,799.7</w:t>
            </w:r>
          </w:p>
        </w:tc>
        <w:tc>
          <w:tcPr>
            <w:tcW w:w="172" w:type="dxa"/>
            <w:shd w:val="clear" w:color="auto" w:fill="CFF0FC"/>
            <w:noWrap/>
            <w:tcMar>
              <w:top w:w="15" w:type="dxa"/>
              <w:left w:w="0" w:type="dxa"/>
              <w:bottom w:w="0" w:type="dxa"/>
              <w:right w:w="15" w:type="dxa"/>
            </w:tcMar>
            <w:vAlign w:val="bottom"/>
            <w:hideMark/>
          </w:tcPr>
          <w:p w14:paraId="330069C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8738D4D" w14:textId="77777777" w:rsidTr="00AC4931">
        <w:tc>
          <w:tcPr>
            <w:tcW w:w="6269" w:type="dxa"/>
            <w:shd w:val="clear" w:color="auto" w:fill="FFFFFF"/>
            <w:tcMar>
              <w:top w:w="15" w:type="dxa"/>
              <w:left w:w="0" w:type="dxa"/>
              <w:bottom w:w="0" w:type="dxa"/>
              <w:right w:w="15" w:type="dxa"/>
            </w:tcMar>
            <w:hideMark/>
          </w:tcPr>
          <w:p w14:paraId="012DDD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578F2A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tcBorders>
            <w:shd w:val="clear" w:color="auto" w:fill="FFFFFF"/>
            <w:noWrap/>
            <w:tcMar>
              <w:top w:w="15" w:type="dxa"/>
              <w:left w:w="0" w:type="dxa"/>
              <w:bottom w:w="0" w:type="dxa"/>
              <w:right w:w="15" w:type="dxa"/>
            </w:tcMar>
            <w:vAlign w:val="bottom"/>
            <w:hideMark/>
          </w:tcPr>
          <w:p w14:paraId="2A6A39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top w:val="single" w:sz="6" w:space="0" w:color="000000"/>
            </w:tcBorders>
            <w:shd w:val="clear" w:color="auto" w:fill="FFFFFF"/>
            <w:noWrap/>
            <w:tcMar>
              <w:top w:w="15" w:type="dxa"/>
              <w:left w:w="0" w:type="dxa"/>
              <w:bottom w:w="0" w:type="dxa"/>
              <w:right w:w="15" w:type="dxa"/>
            </w:tcMar>
            <w:vAlign w:val="bottom"/>
            <w:hideMark/>
          </w:tcPr>
          <w:p w14:paraId="48312F5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21F258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6929BC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tcBorders>
            <w:shd w:val="clear" w:color="auto" w:fill="FFFFFF"/>
            <w:noWrap/>
            <w:tcMar>
              <w:top w:w="15" w:type="dxa"/>
              <w:left w:w="0" w:type="dxa"/>
              <w:bottom w:w="0" w:type="dxa"/>
              <w:right w:w="15" w:type="dxa"/>
            </w:tcMar>
            <w:vAlign w:val="bottom"/>
            <w:hideMark/>
          </w:tcPr>
          <w:p w14:paraId="01342D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top w:val="single" w:sz="6" w:space="0" w:color="000000"/>
            </w:tcBorders>
            <w:shd w:val="clear" w:color="auto" w:fill="FFFFFF"/>
            <w:noWrap/>
            <w:tcMar>
              <w:top w:w="15" w:type="dxa"/>
              <w:left w:w="0" w:type="dxa"/>
              <w:bottom w:w="0" w:type="dxa"/>
              <w:right w:w="15" w:type="dxa"/>
            </w:tcMar>
            <w:vAlign w:val="bottom"/>
            <w:hideMark/>
          </w:tcPr>
          <w:p w14:paraId="49D2540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24EE91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6F536B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tcBorders>
            <w:shd w:val="clear" w:color="auto" w:fill="FFFFFF"/>
            <w:noWrap/>
            <w:tcMar>
              <w:top w:w="15" w:type="dxa"/>
              <w:left w:w="0" w:type="dxa"/>
              <w:bottom w:w="0" w:type="dxa"/>
              <w:right w:w="15" w:type="dxa"/>
            </w:tcMar>
            <w:vAlign w:val="bottom"/>
            <w:hideMark/>
          </w:tcPr>
          <w:p w14:paraId="6E408E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top w:val="single" w:sz="6" w:space="0" w:color="000000"/>
            </w:tcBorders>
            <w:shd w:val="clear" w:color="auto" w:fill="FFFFFF"/>
            <w:noWrap/>
            <w:tcMar>
              <w:top w:w="15" w:type="dxa"/>
              <w:left w:w="0" w:type="dxa"/>
              <w:bottom w:w="0" w:type="dxa"/>
              <w:right w:w="15" w:type="dxa"/>
            </w:tcMar>
            <w:vAlign w:val="bottom"/>
            <w:hideMark/>
          </w:tcPr>
          <w:p w14:paraId="3DB502E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643D63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22251B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tcBorders>
            <w:shd w:val="clear" w:color="auto" w:fill="FFFFFF"/>
            <w:noWrap/>
            <w:tcMar>
              <w:top w:w="15" w:type="dxa"/>
              <w:left w:w="0" w:type="dxa"/>
              <w:bottom w:w="0" w:type="dxa"/>
              <w:right w:w="15" w:type="dxa"/>
            </w:tcMar>
            <w:vAlign w:val="bottom"/>
            <w:hideMark/>
          </w:tcPr>
          <w:p w14:paraId="048A53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top w:val="single" w:sz="6" w:space="0" w:color="000000"/>
            </w:tcBorders>
            <w:shd w:val="clear" w:color="auto" w:fill="FFFFFF"/>
            <w:noWrap/>
            <w:tcMar>
              <w:top w:w="15" w:type="dxa"/>
              <w:left w:w="0" w:type="dxa"/>
              <w:bottom w:w="0" w:type="dxa"/>
              <w:right w:w="15" w:type="dxa"/>
            </w:tcMar>
            <w:vAlign w:val="bottom"/>
            <w:hideMark/>
          </w:tcPr>
          <w:p w14:paraId="49AD6B6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2" w:type="dxa"/>
            <w:shd w:val="clear" w:color="auto" w:fill="FFFFFF"/>
            <w:noWrap/>
            <w:tcMar>
              <w:top w:w="15" w:type="dxa"/>
              <w:left w:w="0" w:type="dxa"/>
              <w:bottom w:w="0" w:type="dxa"/>
              <w:right w:w="15" w:type="dxa"/>
            </w:tcMar>
            <w:vAlign w:val="bottom"/>
            <w:hideMark/>
          </w:tcPr>
          <w:p w14:paraId="1CFF47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90630A5" w14:textId="77777777" w:rsidTr="00AC4931">
        <w:tc>
          <w:tcPr>
            <w:tcW w:w="6269" w:type="dxa"/>
            <w:shd w:val="clear" w:color="auto" w:fill="CFF0FC"/>
            <w:tcMar>
              <w:top w:w="15" w:type="dxa"/>
              <w:left w:w="0" w:type="dxa"/>
              <w:bottom w:w="0" w:type="dxa"/>
              <w:right w:w="15" w:type="dxa"/>
            </w:tcMar>
            <w:hideMark/>
          </w:tcPr>
          <w:p w14:paraId="54006B0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SHORT-TERM DEBT</w:t>
            </w:r>
          </w:p>
        </w:tc>
        <w:tc>
          <w:tcPr>
            <w:tcW w:w="267" w:type="dxa"/>
            <w:shd w:val="clear" w:color="auto" w:fill="CFF0FC"/>
            <w:tcMar>
              <w:top w:w="15" w:type="dxa"/>
              <w:left w:w="0" w:type="dxa"/>
              <w:bottom w:w="0" w:type="dxa"/>
              <w:right w:w="15" w:type="dxa"/>
            </w:tcMar>
            <w:vAlign w:val="bottom"/>
            <w:hideMark/>
          </w:tcPr>
          <w:p w14:paraId="2F17FF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46A294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6632C50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44BD67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313857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5988F1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75B8B5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4A18D9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365C0A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04110F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1D9D6CA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3B5D8C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0ED552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28BBD5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48FFA36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2" w:type="dxa"/>
            <w:shd w:val="clear" w:color="auto" w:fill="CFF0FC"/>
            <w:noWrap/>
            <w:tcMar>
              <w:top w:w="15" w:type="dxa"/>
              <w:left w:w="0" w:type="dxa"/>
              <w:bottom w:w="0" w:type="dxa"/>
              <w:right w:w="15" w:type="dxa"/>
            </w:tcMar>
            <w:vAlign w:val="bottom"/>
            <w:hideMark/>
          </w:tcPr>
          <w:p w14:paraId="122CBA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0F216A3" w14:textId="77777777" w:rsidTr="00AC4931">
        <w:tc>
          <w:tcPr>
            <w:tcW w:w="6269" w:type="dxa"/>
            <w:shd w:val="clear" w:color="auto" w:fill="FFFFFF"/>
            <w:tcMar>
              <w:top w:w="15" w:type="dxa"/>
              <w:left w:w="0" w:type="dxa"/>
              <w:bottom w:w="0" w:type="dxa"/>
              <w:right w:w="15" w:type="dxa"/>
            </w:tcMar>
            <w:hideMark/>
          </w:tcPr>
          <w:p w14:paraId="5D8507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Commercial paper</w:t>
            </w:r>
          </w:p>
        </w:tc>
        <w:tc>
          <w:tcPr>
            <w:tcW w:w="267" w:type="dxa"/>
            <w:shd w:val="clear" w:color="auto" w:fill="FFFFFF"/>
            <w:tcMar>
              <w:top w:w="15" w:type="dxa"/>
              <w:left w:w="0" w:type="dxa"/>
              <w:bottom w:w="0" w:type="dxa"/>
              <w:right w:w="15" w:type="dxa"/>
            </w:tcMar>
            <w:vAlign w:val="bottom"/>
            <w:hideMark/>
          </w:tcPr>
          <w:p w14:paraId="5375FB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70349D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99" w:type="dxa"/>
            <w:shd w:val="clear" w:color="auto" w:fill="FFFFFF"/>
            <w:noWrap/>
            <w:tcMar>
              <w:top w:w="15" w:type="dxa"/>
              <w:left w:w="0" w:type="dxa"/>
              <w:bottom w:w="0" w:type="dxa"/>
              <w:right w:w="15" w:type="dxa"/>
            </w:tcMar>
            <w:vAlign w:val="bottom"/>
            <w:hideMark/>
          </w:tcPr>
          <w:p w14:paraId="2D95480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1" w:type="dxa"/>
            <w:shd w:val="clear" w:color="auto" w:fill="FFFFFF"/>
            <w:noWrap/>
            <w:tcMar>
              <w:top w:w="15" w:type="dxa"/>
              <w:left w:w="0" w:type="dxa"/>
              <w:bottom w:w="0" w:type="dxa"/>
              <w:right w:w="15" w:type="dxa"/>
            </w:tcMar>
            <w:vAlign w:val="bottom"/>
            <w:hideMark/>
          </w:tcPr>
          <w:p w14:paraId="52F967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45007D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3EE097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99" w:type="dxa"/>
            <w:shd w:val="clear" w:color="auto" w:fill="FFFFFF"/>
            <w:noWrap/>
            <w:tcMar>
              <w:top w:w="15" w:type="dxa"/>
              <w:left w:w="0" w:type="dxa"/>
              <w:bottom w:w="0" w:type="dxa"/>
              <w:right w:w="15" w:type="dxa"/>
            </w:tcMar>
            <w:vAlign w:val="bottom"/>
            <w:hideMark/>
          </w:tcPr>
          <w:p w14:paraId="4931446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1" w:type="dxa"/>
            <w:shd w:val="clear" w:color="auto" w:fill="FFFFFF"/>
            <w:noWrap/>
            <w:tcMar>
              <w:top w:w="15" w:type="dxa"/>
              <w:left w:w="0" w:type="dxa"/>
              <w:bottom w:w="0" w:type="dxa"/>
              <w:right w:w="15" w:type="dxa"/>
            </w:tcMar>
            <w:vAlign w:val="bottom"/>
            <w:hideMark/>
          </w:tcPr>
          <w:p w14:paraId="0219ED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37A8BA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5F0AC7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99" w:type="dxa"/>
            <w:shd w:val="clear" w:color="auto" w:fill="FFFFFF"/>
            <w:noWrap/>
            <w:tcMar>
              <w:top w:w="15" w:type="dxa"/>
              <w:left w:w="0" w:type="dxa"/>
              <w:bottom w:w="0" w:type="dxa"/>
              <w:right w:w="15" w:type="dxa"/>
            </w:tcMar>
            <w:vAlign w:val="bottom"/>
            <w:hideMark/>
          </w:tcPr>
          <w:p w14:paraId="3B8D291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230.7</w:t>
            </w:r>
          </w:p>
        </w:tc>
        <w:tc>
          <w:tcPr>
            <w:tcW w:w="171" w:type="dxa"/>
            <w:shd w:val="clear" w:color="auto" w:fill="FFFFFF"/>
            <w:noWrap/>
            <w:tcMar>
              <w:top w:w="15" w:type="dxa"/>
              <w:left w:w="0" w:type="dxa"/>
              <w:bottom w:w="0" w:type="dxa"/>
              <w:right w:w="15" w:type="dxa"/>
            </w:tcMar>
            <w:vAlign w:val="bottom"/>
            <w:hideMark/>
          </w:tcPr>
          <w:p w14:paraId="316E60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726C6B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446E70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99" w:type="dxa"/>
            <w:shd w:val="clear" w:color="auto" w:fill="FFFFFF"/>
            <w:noWrap/>
            <w:tcMar>
              <w:top w:w="15" w:type="dxa"/>
              <w:left w:w="0" w:type="dxa"/>
              <w:bottom w:w="0" w:type="dxa"/>
              <w:right w:w="15" w:type="dxa"/>
            </w:tcMar>
            <w:vAlign w:val="bottom"/>
            <w:hideMark/>
          </w:tcPr>
          <w:p w14:paraId="5BE1B0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230.7</w:t>
            </w:r>
          </w:p>
        </w:tc>
        <w:tc>
          <w:tcPr>
            <w:tcW w:w="172" w:type="dxa"/>
            <w:shd w:val="clear" w:color="auto" w:fill="FFFFFF"/>
            <w:noWrap/>
            <w:tcMar>
              <w:top w:w="15" w:type="dxa"/>
              <w:left w:w="0" w:type="dxa"/>
              <w:bottom w:w="0" w:type="dxa"/>
              <w:right w:w="15" w:type="dxa"/>
            </w:tcMar>
            <w:vAlign w:val="bottom"/>
            <w:hideMark/>
          </w:tcPr>
          <w:p w14:paraId="7C4512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9564F46" w14:textId="77777777" w:rsidTr="00AC4931">
        <w:tc>
          <w:tcPr>
            <w:tcW w:w="6269" w:type="dxa"/>
            <w:shd w:val="clear" w:color="auto" w:fill="CFF0FC"/>
            <w:tcMar>
              <w:top w:w="15" w:type="dxa"/>
              <w:left w:w="0" w:type="dxa"/>
              <w:bottom w:w="0" w:type="dxa"/>
              <w:right w:w="15" w:type="dxa"/>
            </w:tcMar>
            <w:hideMark/>
          </w:tcPr>
          <w:p w14:paraId="625B17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Short-term portion of long-term debt</w:t>
            </w:r>
          </w:p>
        </w:tc>
        <w:tc>
          <w:tcPr>
            <w:tcW w:w="267" w:type="dxa"/>
            <w:shd w:val="clear" w:color="auto" w:fill="CFF0FC"/>
            <w:tcMar>
              <w:top w:w="15" w:type="dxa"/>
              <w:left w:w="0" w:type="dxa"/>
              <w:bottom w:w="0" w:type="dxa"/>
              <w:right w:w="15" w:type="dxa"/>
            </w:tcMar>
            <w:vAlign w:val="bottom"/>
            <w:hideMark/>
          </w:tcPr>
          <w:p w14:paraId="5B900B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40092D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3B21F4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275.0</w:t>
            </w:r>
          </w:p>
        </w:tc>
        <w:tc>
          <w:tcPr>
            <w:tcW w:w="171" w:type="dxa"/>
            <w:shd w:val="clear" w:color="auto" w:fill="CFF0FC"/>
            <w:noWrap/>
            <w:tcMar>
              <w:top w:w="15" w:type="dxa"/>
              <w:left w:w="0" w:type="dxa"/>
              <w:bottom w:w="0" w:type="dxa"/>
              <w:right w:w="15" w:type="dxa"/>
            </w:tcMar>
            <w:vAlign w:val="bottom"/>
            <w:hideMark/>
          </w:tcPr>
          <w:p w14:paraId="20B10D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436CA1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3979FF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1841677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278.5</w:t>
            </w:r>
          </w:p>
        </w:tc>
        <w:tc>
          <w:tcPr>
            <w:tcW w:w="171" w:type="dxa"/>
            <w:shd w:val="clear" w:color="auto" w:fill="CFF0FC"/>
            <w:noWrap/>
            <w:tcMar>
              <w:top w:w="15" w:type="dxa"/>
              <w:left w:w="0" w:type="dxa"/>
              <w:bottom w:w="0" w:type="dxa"/>
              <w:right w:w="15" w:type="dxa"/>
            </w:tcMar>
            <w:vAlign w:val="bottom"/>
            <w:hideMark/>
          </w:tcPr>
          <w:p w14:paraId="202AB1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20FB49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634CC4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1329A4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112.0</w:t>
            </w:r>
          </w:p>
        </w:tc>
        <w:tc>
          <w:tcPr>
            <w:tcW w:w="171" w:type="dxa"/>
            <w:shd w:val="clear" w:color="auto" w:fill="CFF0FC"/>
            <w:noWrap/>
            <w:tcMar>
              <w:top w:w="15" w:type="dxa"/>
              <w:left w:w="0" w:type="dxa"/>
              <w:bottom w:w="0" w:type="dxa"/>
              <w:right w:w="15" w:type="dxa"/>
            </w:tcMar>
            <w:vAlign w:val="bottom"/>
            <w:hideMark/>
          </w:tcPr>
          <w:p w14:paraId="3F9149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43CB4A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68FA9D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shd w:val="clear" w:color="auto" w:fill="CFF0FC"/>
            <w:noWrap/>
            <w:tcMar>
              <w:top w:w="15" w:type="dxa"/>
              <w:left w:w="0" w:type="dxa"/>
              <w:bottom w:w="0" w:type="dxa"/>
              <w:right w:w="15" w:type="dxa"/>
            </w:tcMar>
            <w:vAlign w:val="bottom"/>
            <w:hideMark/>
          </w:tcPr>
          <w:p w14:paraId="7177A0B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112.1</w:t>
            </w:r>
          </w:p>
        </w:tc>
        <w:tc>
          <w:tcPr>
            <w:tcW w:w="172" w:type="dxa"/>
            <w:shd w:val="clear" w:color="auto" w:fill="CFF0FC"/>
            <w:noWrap/>
            <w:tcMar>
              <w:top w:w="15" w:type="dxa"/>
              <w:left w:w="0" w:type="dxa"/>
              <w:bottom w:w="0" w:type="dxa"/>
              <w:right w:w="15" w:type="dxa"/>
            </w:tcMar>
            <w:vAlign w:val="bottom"/>
            <w:hideMark/>
          </w:tcPr>
          <w:p w14:paraId="155C84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6035D14" w14:textId="77777777" w:rsidTr="00AC4931">
        <w:tc>
          <w:tcPr>
            <w:tcW w:w="6269" w:type="dxa"/>
            <w:shd w:val="clear" w:color="auto" w:fill="FFFFFF"/>
            <w:tcMar>
              <w:top w:w="15" w:type="dxa"/>
              <w:left w:w="0" w:type="dxa"/>
              <w:bottom w:w="0" w:type="dxa"/>
              <w:right w:w="15" w:type="dxa"/>
            </w:tcMar>
            <w:hideMark/>
          </w:tcPr>
          <w:p w14:paraId="1F2BE4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Overdrafts and other short-term debt</w:t>
            </w:r>
          </w:p>
        </w:tc>
        <w:tc>
          <w:tcPr>
            <w:tcW w:w="267" w:type="dxa"/>
            <w:shd w:val="clear" w:color="auto" w:fill="FFFFFF"/>
            <w:tcMar>
              <w:top w:w="15" w:type="dxa"/>
              <w:left w:w="0" w:type="dxa"/>
              <w:bottom w:w="0" w:type="dxa"/>
              <w:right w:w="15" w:type="dxa"/>
            </w:tcMar>
            <w:vAlign w:val="bottom"/>
            <w:hideMark/>
          </w:tcPr>
          <w:p w14:paraId="71E72C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bottom w:val="single" w:sz="6" w:space="0" w:color="000000"/>
            </w:tcBorders>
            <w:shd w:val="clear" w:color="auto" w:fill="FFFFFF"/>
            <w:noWrap/>
            <w:tcMar>
              <w:top w:w="15" w:type="dxa"/>
              <w:left w:w="0" w:type="dxa"/>
              <w:bottom w:w="0" w:type="dxa"/>
              <w:right w:w="15" w:type="dxa"/>
            </w:tcMar>
            <w:vAlign w:val="bottom"/>
            <w:hideMark/>
          </w:tcPr>
          <w:p w14:paraId="4C91AB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bottom w:val="single" w:sz="6" w:space="0" w:color="000000"/>
            </w:tcBorders>
            <w:shd w:val="clear" w:color="auto" w:fill="FFFFFF"/>
            <w:noWrap/>
            <w:tcMar>
              <w:top w:w="15" w:type="dxa"/>
              <w:left w:w="0" w:type="dxa"/>
              <w:bottom w:w="0" w:type="dxa"/>
              <w:right w:w="15" w:type="dxa"/>
            </w:tcMar>
            <w:vAlign w:val="bottom"/>
            <w:hideMark/>
          </w:tcPr>
          <w:p w14:paraId="0B64208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26.8</w:t>
            </w:r>
          </w:p>
        </w:tc>
        <w:tc>
          <w:tcPr>
            <w:tcW w:w="171" w:type="dxa"/>
            <w:shd w:val="clear" w:color="auto" w:fill="FFFFFF"/>
            <w:noWrap/>
            <w:tcMar>
              <w:top w:w="15" w:type="dxa"/>
              <w:left w:w="0" w:type="dxa"/>
              <w:bottom w:w="0" w:type="dxa"/>
              <w:right w:w="15" w:type="dxa"/>
            </w:tcMar>
            <w:vAlign w:val="bottom"/>
            <w:hideMark/>
          </w:tcPr>
          <w:p w14:paraId="1B419A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3ED827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bottom w:val="single" w:sz="6" w:space="0" w:color="000000"/>
            </w:tcBorders>
            <w:shd w:val="clear" w:color="auto" w:fill="FFFFFF"/>
            <w:noWrap/>
            <w:tcMar>
              <w:top w:w="15" w:type="dxa"/>
              <w:left w:w="0" w:type="dxa"/>
              <w:bottom w:w="0" w:type="dxa"/>
              <w:right w:w="15" w:type="dxa"/>
            </w:tcMar>
            <w:vAlign w:val="bottom"/>
            <w:hideMark/>
          </w:tcPr>
          <w:p w14:paraId="05620A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bottom w:val="single" w:sz="6" w:space="0" w:color="000000"/>
            </w:tcBorders>
            <w:shd w:val="clear" w:color="auto" w:fill="FFFFFF"/>
            <w:noWrap/>
            <w:tcMar>
              <w:top w:w="15" w:type="dxa"/>
              <w:left w:w="0" w:type="dxa"/>
              <w:bottom w:w="0" w:type="dxa"/>
              <w:right w:w="15" w:type="dxa"/>
            </w:tcMar>
            <w:vAlign w:val="bottom"/>
            <w:hideMark/>
          </w:tcPr>
          <w:p w14:paraId="1D4C31E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26.8</w:t>
            </w:r>
          </w:p>
        </w:tc>
        <w:tc>
          <w:tcPr>
            <w:tcW w:w="171" w:type="dxa"/>
            <w:shd w:val="clear" w:color="auto" w:fill="FFFFFF"/>
            <w:noWrap/>
            <w:tcMar>
              <w:top w:w="15" w:type="dxa"/>
              <w:left w:w="0" w:type="dxa"/>
              <w:bottom w:w="0" w:type="dxa"/>
              <w:right w:w="15" w:type="dxa"/>
            </w:tcMar>
            <w:vAlign w:val="bottom"/>
            <w:hideMark/>
          </w:tcPr>
          <w:p w14:paraId="0F2321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51D8F4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bottom w:val="single" w:sz="6" w:space="0" w:color="000000"/>
            </w:tcBorders>
            <w:shd w:val="clear" w:color="auto" w:fill="FFFFFF"/>
            <w:noWrap/>
            <w:tcMar>
              <w:top w:w="15" w:type="dxa"/>
              <w:left w:w="0" w:type="dxa"/>
              <w:bottom w:w="0" w:type="dxa"/>
              <w:right w:w="15" w:type="dxa"/>
            </w:tcMar>
            <w:vAlign w:val="bottom"/>
            <w:hideMark/>
          </w:tcPr>
          <w:p w14:paraId="0B206C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bottom w:val="single" w:sz="6" w:space="0" w:color="000000"/>
            </w:tcBorders>
            <w:shd w:val="clear" w:color="auto" w:fill="FFFFFF"/>
            <w:noWrap/>
            <w:tcMar>
              <w:top w:w="15" w:type="dxa"/>
              <w:left w:w="0" w:type="dxa"/>
              <w:bottom w:w="0" w:type="dxa"/>
              <w:right w:w="15" w:type="dxa"/>
            </w:tcMar>
            <w:vAlign w:val="bottom"/>
            <w:hideMark/>
          </w:tcPr>
          <w:p w14:paraId="75DD751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25.4</w:t>
            </w:r>
          </w:p>
        </w:tc>
        <w:tc>
          <w:tcPr>
            <w:tcW w:w="171" w:type="dxa"/>
            <w:shd w:val="clear" w:color="auto" w:fill="FFFFFF"/>
            <w:noWrap/>
            <w:tcMar>
              <w:top w:w="15" w:type="dxa"/>
              <w:left w:w="0" w:type="dxa"/>
              <w:bottom w:w="0" w:type="dxa"/>
              <w:right w:w="15" w:type="dxa"/>
            </w:tcMar>
            <w:vAlign w:val="bottom"/>
            <w:hideMark/>
          </w:tcPr>
          <w:p w14:paraId="4BE24C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 w:type="dxa"/>
            <w:shd w:val="clear" w:color="auto" w:fill="FFFFFF"/>
            <w:tcMar>
              <w:top w:w="15" w:type="dxa"/>
              <w:left w:w="0" w:type="dxa"/>
              <w:bottom w:w="0" w:type="dxa"/>
              <w:right w:w="15" w:type="dxa"/>
            </w:tcMar>
            <w:vAlign w:val="bottom"/>
            <w:hideMark/>
          </w:tcPr>
          <w:p w14:paraId="439D8D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bottom w:val="single" w:sz="6" w:space="0" w:color="000000"/>
            </w:tcBorders>
            <w:shd w:val="clear" w:color="auto" w:fill="FFFFFF"/>
            <w:noWrap/>
            <w:tcMar>
              <w:top w:w="15" w:type="dxa"/>
              <w:left w:w="0" w:type="dxa"/>
              <w:bottom w:w="0" w:type="dxa"/>
              <w:right w:w="15" w:type="dxa"/>
            </w:tcMar>
            <w:vAlign w:val="bottom"/>
            <w:hideMark/>
          </w:tcPr>
          <w:p w14:paraId="0E4117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99" w:type="dxa"/>
            <w:tcBorders>
              <w:bottom w:val="single" w:sz="6" w:space="0" w:color="000000"/>
            </w:tcBorders>
            <w:shd w:val="clear" w:color="auto" w:fill="FFFFFF"/>
            <w:noWrap/>
            <w:tcMar>
              <w:top w:w="15" w:type="dxa"/>
              <w:left w:w="0" w:type="dxa"/>
              <w:bottom w:w="0" w:type="dxa"/>
              <w:right w:w="15" w:type="dxa"/>
            </w:tcMar>
            <w:vAlign w:val="bottom"/>
            <w:hideMark/>
          </w:tcPr>
          <w:p w14:paraId="722069D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25.3</w:t>
            </w:r>
          </w:p>
        </w:tc>
        <w:tc>
          <w:tcPr>
            <w:tcW w:w="172" w:type="dxa"/>
            <w:shd w:val="clear" w:color="auto" w:fill="FFFFFF"/>
            <w:noWrap/>
            <w:tcMar>
              <w:top w:w="15" w:type="dxa"/>
              <w:left w:w="0" w:type="dxa"/>
              <w:bottom w:w="0" w:type="dxa"/>
              <w:right w:w="15" w:type="dxa"/>
            </w:tcMar>
            <w:vAlign w:val="bottom"/>
            <w:hideMark/>
          </w:tcPr>
          <w:p w14:paraId="6089EA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8B212F8" w14:textId="77777777" w:rsidTr="00AC4931">
        <w:tc>
          <w:tcPr>
            <w:tcW w:w="6269" w:type="dxa"/>
            <w:shd w:val="clear" w:color="auto" w:fill="CFF0FC"/>
            <w:tcMar>
              <w:top w:w="15" w:type="dxa"/>
              <w:left w:w="0" w:type="dxa"/>
              <w:bottom w:w="0" w:type="dxa"/>
              <w:right w:w="15" w:type="dxa"/>
            </w:tcMar>
            <w:hideMark/>
          </w:tcPr>
          <w:p w14:paraId="6A167E5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67" w:type="dxa"/>
            <w:shd w:val="clear" w:color="auto" w:fill="CFF0FC"/>
            <w:tcMar>
              <w:top w:w="15" w:type="dxa"/>
              <w:left w:w="0" w:type="dxa"/>
              <w:bottom w:w="0" w:type="dxa"/>
              <w:right w:w="15" w:type="dxa"/>
            </w:tcMar>
            <w:vAlign w:val="bottom"/>
            <w:hideMark/>
          </w:tcPr>
          <w:p w14:paraId="7BFA95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739753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39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2530D6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301.8</w:t>
            </w:r>
          </w:p>
        </w:tc>
        <w:tc>
          <w:tcPr>
            <w:tcW w:w="171" w:type="dxa"/>
            <w:shd w:val="clear" w:color="auto" w:fill="CFF0FC"/>
            <w:noWrap/>
            <w:tcMar>
              <w:top w:w="15" w:type="dxa"/>
              <w:left w:w="0" w:type="dxa"/>
              <w:bottom w:w="0" w:type="dxa"/>
              <w:right w:w="15" w:type="dxa"/>
            </w:tcMar>
            <w:vAlign w:val="bottom"/>
            <w:hideMark/>
          </w:tcPr>
          <w:p w14:paraId="573638B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562B31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21BC33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39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E1C9A4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305.3</w:t>
            </w:r>
          </w:p>
        </w:tc>
        <w:tc>
          <w:tcPr>
            <w:tcW w:w="171" w:type="dxa"/>
            <w:shd w:val="clear" w:color="auto" w:fill="CFF0FC"/>
            <w:noWrap/>
            <w:tcMar>
              <w:top w:w="15" w:type="dxa"/>
              <w:left w:w="0" w:type="dxa"/>
              <w:bottom w:w="0" w:type="dxa"/>
              <w:right w:w="15" w:type="dxa"/>
            </w:tcMar>
            <w:vAlign w:val="bottom"/>
            <w:hideMark/>
          </w:tcPr>
          <w:p w14:paraId="7A5851D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294885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E26910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39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897ADC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368.1</w:t>
            </w:r>
          </w:p>
        </w:tc>
        <w:tc>
          <w:tcPr>
            <w:tcW w:w="171" w:type="dxa"/>
            <w:shd w:val="clear" w:color="auto" w:fill="CFF0FC"/>
            <w:noWrap/>
            <w:tcMar>
              <w:top w:w="15" w:type="dxa"/>
              <w:left w:w="0" w:type="dxa"/>
              <w:bottom w:w="0" w:type="dxa"/>
              <w:right w:w="15" w:type="dxa"/>
            </w:tcMar>
            <w:vAlign w:val="bottom"/>
            <w:hideMark/>
          </w:tcPr>
          <w:p w14:paraId="3DF2E0D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67" w:type="dxa"/>
            <w:shd w:val="clear" w:color="auto" w:fill="CFF0FC"/>
            <w:tcMar>
              <w:top w:w="15" w:type="dxa"/>
              <w:left w:w="0" w:type="dxa"/>
              <w:bottom w:w="0" w:type="dxa"/>
              <w:right w:w="15" w:type="dxa"/>
            </w:tcMar>
            <w:vAlign w:val="bottom"/>
            <w:hideMark/>
          </w:tcPr>
          <w:p w14:paraId="29A89C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49178B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39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BD1DD7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368.1</w:t>
            </w:r>
          </w:p>
        </w:tc>
        <w:tc>
          <w:tcPr>
            <w:tcW w:w="172" w:type="dxa"/>
            <w:shd w:val="clear" w:color="auto" w:fill="CFF0FC"/>
            <w:noWrap/>
            <w:tcMar>
              <w:top w:w="15" w:type="dxa"/>
              <w:left w:w="0" w:type="dxa"/>
              <w:bottom w:w="0" w:type="dxa"/>
              <w:right w:w="15" w:type="dxa"/>
            </w:tcMar>
            <w:vAlign w:val="bottom"/>
            <w:hideMark/>
          </w:tcPr>
          <w:p w14:paraId="5D29691B"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028E65A0"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03754330" w14:textId="77777777" w:rsidTr="00AC4931">
        <w:tc>
          <w:tcPr>
            <w:tcW w:w="919" w:type="dxa"/>
            <w:noWrap/>
            <w:hideMark/>
          </w:tcPr>
          <w:p w14:paraId="2BDD6113"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1)</w:t>
            </w:r>
          </w:p>
        </w:tc>
        <w:tc>
          <w:tcPr>
            <w:tcW w:w="0" w:type="auto"/>
            <w:hideMark/>
          </w:tcPr>
          <w:p w14:paraId="66E1E75A"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Debt as reported in balance sheet.</w:t>
            </w:r>
          </w:p>
        </w:tc>
      </w:tr>
    </w:tbl>
    <w:p w14:paraId="449F3399" w14:textId="77777777" w:rsidR="00AC4931" w:rsidRPr="00AC4931" w:rsidRDefault="00AC4931" w:rsidP="00AC4931">
      <w:pPr>
        <w:widowControl/>
        <w:ind w:left="919" w:hanging="546"/>
        <w:rPr>
          <w:rFonts w:ascii="宋体" w:eastAsia="宋体" w:hAnsi="宋体" w:cs="宋体"/>
          <w:kern w:val="0"/>
          <w:sz w:val="18"/>
          <w:szCs w:val="18"/>
        </w:rPr>
      </w:pPr>
      <w:r w:rsidRPr="00AC4931">
        <w:rPr>
          <w:rFonts w:ascii="宋体" w:eastAsia="宋体" w:hAnsi="宋体" w:cs="宋体"/>
          <w:kern w:val="0"/>
          <w:sz w:val="18"/>
          <w:szCs w:val="18"/>
        </w:rPr>
        <w:t> </w:t>
      </w:r>
    </w:p>
    <w:p w14:paraId="2A8B4009"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ASSETS AND LIABILITIES MEASURED AT FAIR VALUE ON A NON-RECURRING BASIS</w:t>
      </w:r>
    </w:p>
    <w:p w14:paraId="3B246FBD"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In addition to assets and liabilities that are measured at fair value on a recurring basis, the Company also has assets and liabilities in its balance sheet that are measured at fair value on a nonrecurring basis including certain long-lived assets, including equity method investments, goodwill and other intangible assets, typically as it relates to impairment.</w:t>
      </w:r>
    </w:p>
    <w:p w14:paraId="7FDF70A9"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has determined that the fair value measurements included in each of these assets and liabilities rely primarily on Company-specific inputs and the Company’s assumptions about the use of the assets and settlements of liabilities, as observable inputs are not available. The Company has determined that each of these fair value measurements reside within Level 3 of the fair value hierarchy. To determine the fair value of long-lived assets as of the reporting date, the Company utilizes the projected cash flows expected to be generated by the long-lived assets, then discounts the future cash flows over the expected life of the long-lived assets.</w:t>
      </w:r>
    </w:p>
    <w:p w14:paraId="39F1FCC7"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For the period 2018-2020, the Company did not record any material impairment charges on its long-lived assets for its continuing operations.</w:t>
      </w:r>
    </w:p>
    <w:p w14:paraId="137B4207"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7AA0B0F3" w14:textId="77777777" w:rsidR="00AC4931" w:rsidRPr="00AC4931" w:rsidRDefault="00AC4931" w:rsidP="00AC4931">
      <w:pPr>
        <w:widowControl/>
        <w:spacing w:before="160"/>
        <w:rPr>
          <w:rFonts w:ascii="Arial" w:eastAsia="宋体" w:hAnsi="Arial" w:cs="Arial"/>
          <w:b/>
          <w:bCs/>
          <w:kern w:val="0"/>
          <w:sz w:val="22"/>
        </w:rPr>
      </w:pPr>
      <w:r w:rsidRPr="00AC4931">
        <w:rPr>
          <w:rFonts w:ascii="Arial" w:eastAsia="宋体" w:hAnsi="Arial" w:cs="Arial"/>
          <w:b/>
          <w:bCs/>
          <w:kern w:val="0"/>
          <w:sz w:val="22"/>
        </w:rPr>
        <w:t>6. Income Taxes</w:t>
      </w:r>
    </w:p>
    <w:p w14:paraId="01B15324"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53"/>
        <w:gridCol w:w="247"/>
        <w:gridCol w:w="159"/>
        <w:gridCol w:w="1314"/>
        <w:gridCol w:w="159"/>
        <w:gridCol w:w="247"/>
        <w:gridCol w:w="159"/>
        <w:gridCol w:w="1314"/>
        <w:gridCol w:w="159"/>
        <w:gridCol w:w="247"/>
        <w:gridCol w:w="159"/>
        <w:gridCol w:w="1314"/>
        <w:gridCol w:w="160"/>
      </w:tblGrid>
      <w:tr w:rsidR="00AC4931" w:rsidRPr="00AC4931" w14:paraId="320E733A" w14:textId="77777777" w:rsidTr="00AC4931">
        <w:tc>
          <w:tcPr>
            <w:tcW w:w="10785" w:type="dxa"/>
            <w:shd w:val="clear" w:color="auto" w:fill="FFFFFF"/>
            <w:tcMar>
              <w:top w:w="15" w:type="dxa"/>
              <w:left w:w="0" w:type="dxa"/>
              <w:bottom w:w="0" w:type="dxa"/>
              <w:right w:w="15" w:type="dxa"/>
            </w:tcMar>
            <w:vAlign w:val="bottom"/>
            <w:hideMark/>
          </w:tcPr>
          <w:p w14:paraId="0ACF3F1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lastRenderedPageBreak/>
              <w:t>INCOME BEFORE INCOME TAXES</w:t>
            </w:r>
          </w:p>
        </w:tc>
        <w:tc>
          <w:tcPr>
            <w:tcW w:w="245" w:type="dxa"/>
            <w:shd w:val="clear" w:color="auto" w:fill="FFFFFF"/>
            <w:tcMar>
              <w:top w:w="15" w:type="dxa"/>
              <w:left w:w="0" w:type="dxa"/>
              <w:bottom w:w="0" w:type="dxa"/>
              <w:right w:w="15" w:type="dxa"/>
            </w:tcMar>
            <w:vAlign w:val="bottom"/>
            <w:hideMark/>
          </w:tcPr>
          <w:p w14:paraId="4BB4BD0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6FC4E50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6F92A47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67BB62B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1AC79E7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7717F33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6CDB05C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2978CFE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1ACC7E1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DBE352E" w14:textId="77777777" w:rsidTr="00AC4931">
        <w:tc>
          <w:tcPr>
            <w:tcW w:w="10785" w:type="dxa"/>
            <w:shd w:val="clear" w:color="auto" w:fill="CFF0FC"/>
            <w:tcMar>
              <w:top w:w="15" w:type="dxa"/>
              <w:left w:w="0" w:type="dxa"/>
              <w:bottom w:w="0" w:type="dxa"/>
              <w:right w:w="15" w:type="dxa"/>
            </w:tcMar>
            <w:hideMark/>
          </w:tcPr>
          <w:p w14:paraId="6F6752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U.S.</w:t>
            </w:r>
          </w:p>
        </w:tc>
        <w:tc>
          <w:tcPr>
            <w:tcW w:w="245" w:type="dxa"/>
            <w:shd w:val="clear" w:color="auto" w:fill="CFF0FC"/>
            <w:tcMar>
              <w:top w:w="15" w:type="dxa"/>
              <w:left w:w="0" w:type="dxa"/>
              <w:bottom w:w="0" w:type="dxa"/>
              <w:right w:w="15" w:type="dxa"/>
            </w:tcMar>
            <w:vAlign w:val="bottom"/>
            <w:hideMark/>
          </w:tcPr>
          <w:p w14:paraId="69CF68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54EA5D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3E04BE5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(101.5</w:t>
            </w:r>
          </w:p>
        </w:tc>
        <w:tc>
          <w:tcPr>
            <w:tcW w:w="150" w:type="dxa"/>
            <w:shd w:val="clear" w:color="auto" w:fill="CFF0FC"/>
            <w:noWrap/>
            <w:tcMar>
              <w:top w:w="15" w:type="dxa"/>
              <w:left w:w="0" w:type="dxa"/>
              <w:bottom w:w="0" w:type="dxa"/>
              <w:right w:w="15" w:type="dxa"/>
            </w:tcMar>
            <w:vAlign w:val="bottom"/>
            <w:hideMark/>
          </w:tcPr>
          <w:p w14:paraId="5707F9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67ED77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C00D8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678EDA0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66.5</w:t>
            </w:r>
          </w:p>
        </w:tc>
        <w:tc>
          <w:tcPr>
            <w:tcW w:w="150" w:type="dxa"/>
            <w:shd w:val="clear" w:color="auto" w:fill="CFF0FC"/>
            <w:noWrap/>
            <w:tcMar>
              <w:top w:w="15" w:type="dxa"/>
              <w:left w:w="0" w:type="dxa"/>
              <w:bottom w:w="0" w:type="dxa"/>
              <w:right w:w="15" w:type="dxa"/>
            </w:tcMar>
            <w:vAlign w:val="bottom"/>
            <w:hideMark/>
          </w:tcPr>
          <w:p w14:paraId="6E5042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181D76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D5024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4692CC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47.0</w:t>
            </w:r>
          </w:p>
        </w:tc>
        <w:tc>
          <w:tcPr>
            <w:tcW w:w="151" w:type="dxa"/>
            <w:shd w:val="clear" w:color="auto" w:fill="CFF0FC"/>
            <w:noWrap/>
            <w:tcMar>
              <w:top w:w="15" w:type="dxa"/>
              <w:left w:w="0" w:type="dxa"/>
              <w:bottom w:w="0" w:type="dxa"/>
              <w:right w:w="15" w:type="dxa"/>
            </w:tcMar>
            <w:vAlign w:val="bottom"/>
            <w:hideMark/>
          </w:tcPr>
          <w:p w14:paraId="08CCA4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8F7B31D" w14:textId="77777777" w:rsidTr="00AC4931">
        <w:tc>
          <w:tcPr>
            <w:tcW w:w="10785" w:type="dxa"/>
            <w:shd w:val="clear" w:color="auto" w:fill="FFFFFF"/>
            <w:tcMar>
              <w:top w:w="15" w:type="dxa"/>
              <w:left w:w="0" w:type="dxa"/>
              <w:bottom w:w="0" w:type="dxa"/>
              <w:right w:w="15" w:type="dxa"/>
            </w:tcMar>
            <w:hideMark/>
          </w:tcPr>
          <w:p w14:paraId="750AF0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Non-U.S.</w:t>
            </w:r>
          </w:p>
        </w:tc>
        <w:tc>
          <w:tcPr>
            <w:tcW w:w="245" w:type="dxa"/>
            <w:shd w:val="clear" w:color="auto" w:fill="FFFFFF"/>
            <w:tcMar>
              <w:top w:w="15" w:type="dxa"/>
              <w:left w:w="0" w:type="dxa"/>
              <w:bottom w:w="0" w:type="dxa"/>
              <w:right w:w="15" w:type="dxa"/>
            </w:tcMar>
            <w:vAlign w:val="bottom"/>
            <w:hideMark/>
          </w:tcPr>
          <w:p w14:paraId="3FC72F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576C39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6DD9B95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392.7</w:t>
            </w:r>
          </w:p>
        </w:tc>
        <w:tc>
          <w:tcPr>
            <w:tcW w:w="150" w:type="dxa"/>
            <w:shd w:val="clear" w:color="auto" w:fill="FFFFFF"/>
            <w:noWrap/>
            <w:tcMar>
              <w:top w:w="15" w:type="dxa"/>
              <w:left w:w="0" w:type="dxa"/>
              <w:bottom w:w="0" w:type="dxa"/>
              <w:right w:w="15" w:type="dxa"/>
            </w:tcMar>
            <w:vAlign w:val="bottom"/>
            <w:hideMark/>
          </w:tcPr>
          <w:p w14:paraId="54A89B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63597D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7B2AFD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3B4631C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581.9</w:t>
            </w:r>
          </w:p>
        </w:tc>
        <w:tc>
          <w:tcPr>
            <w:tcW w:w="150" w:type="dxa"/>
            <w:shd w:val="clear" w:color="auto" w:fill="FFFFFF"/>
            <w:noWrap/>
            <w:tcMar>
              <w:top w:w="15" w:type="dxa"/>
              <w:left w:w="0" w:type="dxa"/>
              <w:bottom w:w="0" w:type="dxa"/>
              <w:right w:w="15" w:type="dxa"/>
            </w:tcMar>
            <w:vAlign w:val="bottom"/>
            <w:hideMark/>
          </w:tcPr>
          <w:p w14:paraId="0EEF54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0E8258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398745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158FD0D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565.4</w:t>
            </w:r>
          </w:p>
        </w:tc>
        <w:tc>
          <w:tcPr>
            <w:tcW w:w="151" w:type="dxa"/>
            <w:shd w:val="clear" w:color="auto" w:fill="FFFFFF"/>
            <w:noWrap/>
            <w:tcMar>
              <w:top w:w="15" w:type="dxa"/>
              <w:left w:w="0" w:type="dxa"/>
              <w:bottom w:w="0" w:type="dxa"/>
              <w:right w:w="15" w:type="dxa"/>
            </w:tcMar>
            <w:vAlign w:val="bottom"/>
            <w:hideMark/>
          </w:tcPr>
          <w:p w14:paraId="494C23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9771B0F" w14:textId="77777777" w:rsidTr="00AC4931">
        <w:tc>
          <w:tcPr>
            <w:tcW w:w="10785" w:type="dxa"/>
            <w:shd w:val="clear" w:color="auto" w:fill="CFF0FC"/>
            <w:tcMar>
              <w:top w:w="15" w:type="dxa"/>
              <w:left w:w="0" w:type="dxa"/>
              <w:bottom w:w="0" w:type="dxa"/>
              <w:right w:w="15" w:type="dxa"/>
            </w:tcMar>
            <w:hideMark/>
          </w:tcPr>
          <w:p w14:paraId="219F20F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45" w:type="dxa"/>
            <w:shd w:val="clear" w:color="auto" w:fill="CFF0FC"/>
            <w:tcMar>
              <w:top w:w="15" w:type="dxa"/>
              <w:left w:w="0" w:type="dxa"/>
              <w:bottom w:w="0" w:type="dxa"/>
              <w:right w:w="15" w:type="dxa"/>
            </w:tcMar>
            <w:vAlign w:val="bottom"/>
            <w:hideMark/>
          </w:tcPr>
          <w:p w14:paraId="70BFD3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A29A0E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A0E387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291.2</w:t>
            </w:r>
          </w:p>
        </w:tc>
        <w:tc>
          <w:tcPr>
            <w:tcW w:w="150" w:type="dxa"/>
            <w:shd w:val="clear" w:color="auto" w:fill="CFF0FC"/>
            <w:noWrap/>
            <w:tcMar>
              <w:top w:w="15" w:type="dxa"/>
              <w:left w:w="0" w:type="dxa"/>
              <w:bottom w:w="0" w:type="dxa"/>
              <w:right w:w="15" w:type="dxa"/>
            </w:tcMar>
            <w:vAlign w:val="bottom"/>
            <w:hideMark/>
          </w:tcPr>
          <w:p w14:paraId="0E9863A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0733C9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8C3003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BEBF88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648.4</w:t>
            </w:r>
          </w:p>
        </w:tc>
        <w:tc>
          <w:tcPr>
            <w:tcW w:w="150" w:type="dxa"/>
            <w:shd w:val="clear" w:color="auto" w:fill="CFF0FC"/>
            <w:noWrap/>
            <w:tcMar>
              <w:top w:w="15" w:type="dxa"/>
              <w:left w:w="0" w:type="dxa"/>
              <w:bottom w:w="0" w:type="dxa"/>
              <w:right w:w="15" w:type="dxa"/>
            </w:tcMar>
            <w:vAlign w:val="bottom"/>
            <w:hideMark/>
          </w:tcPr>
          <w:p w14:paraId="46A91B0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607E64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E0CDF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A4996E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612.4</w:t>
            </w:r>
          </w:p>
        </w:tc>
        <w:tc>
          <w:tcPr>
            <w:tcW w:w="151" w:type="dxa"/>
            <w:shd w:val="clear" w:color="auto" w:fill="CFF0FC"/>
            <w:noWrap/>
            <w:tcMar>
              <w:top w:w="15" w:type="dxa"/>
              <w:left w:w="0" w:type="dxa"/>
              <w:bottom w:w="0" w:type="dxa"/>
              <w:right w:w="15" w:type="dxa"/>
            </w:tcMar>
            <w:vAlign w:val="bottom"/>
            <w:hideMark/>
          </w:tcPr>
          <w:p w14:paraId="642EFB99"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6955FFAA"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53"/>
        <w:gridCol w:w="247"/>
        <w:gridCol w:w="159"/>
        <w:gridCol w:w="1314"/>
        <w:gridCol w:w="159"/>
        <w:gridCol w:w="247"/>
        <w:gridCol w:w="159"/>
        <w:gridCol w:w="1314"/>
        <w:gridCol w:w="159"/>
        <w:gridCol w:w="247"/>
        <w:gridCol w:w="159"/>
        <w:gridCol w:w="1314"/>
        <w:gridCol w:w="160"/>
      </w:tblGrid>
      <w:tr w:rsidR="00AC4931" w:rsidRPr="00AC4931" w14:paraId="0F4EB80B" w14:textId="77777777" w:rsidTr="00AC4931">
        <w:tc>
          <w:tcPr>
            <w:tcW w:w="10785" w:type="dxa"/>
            <w:shd w:val="clear" w:color="auto" w:fill="FFFFFF"/>
            <w:tcMar>
              <w:top w:w="15" w:type="dxa"/>
              <w:left w:w="0" w:type="dxa"/>
              <w:bottom w:w="0" w:type="dxa"/>
              <w:right w:w="15" w:type="dxa"/>
            </w:tcMar>
            <w:vAlign w:val="bottom"/>
            <w:hideMark/>
          </w:tcPr>
          <w:p w14:paraId="233E084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PROVISION FOR INCOME TAXES</w:t>
            </w:r>
          </w:p>
        </w:tc>
        <w:tc>
          <w:tcPr>
            <w:tcW w:w="245" w:type="dxa"/>
            <w:shd w:val="clear" w:color="auto" w:fill="FFFFFF"/>
            <w:tcMar>
              <w:top w:w="15" w:type="dxa"/>
              <w:left w:w="0" w:type="dxa"/>
              <w:bottom w:w="0" w:type="dxa"/>
              <w:right w:w="15" w:type="dxa"/>
            </w:tcMar>
            <w:vAlign w:val="bottom"/>
            <w:hideMark/>
          </w:tcPr>
          <w:p w14:paraId="1DD07EB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629ABE3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657F847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6808BBB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32154A9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75DA91A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5D1208C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17E8CAF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58BE159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60544B5" w14:textId="77777777" w:rsidTr="00AC4931">
        <w:tc>
          <w:tcPr>
            <w:tcW w:w="10785" w:type="dxa"/>
            <w:shd w:val="clear" w:color="auto" w:fill="CFF0FC"/>
            <w:tcMar>
              <w:top w:w="15" w:type="dxa"/>
              <w:left w:w="0" w:type="dxa"/>
              <w:bottom w:w="0" w:type="dxa"/>
              <w:right w:w="15" w:type="dxa"/>
            </w:tcMar>
            <w:hideMark/>
          </w:tcPr>
          <w:p w14:paraId="59F7395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Current</w:t>
            </w:r>
          </w:p>
        </w:tc>
        <w:tc>
          <w:tcPr>
            <w:tcW w:w="245" w:type="dxa"/>
            <w:shd w:val="clear" w:color="auto" w:fill="CFF0FC"/>
            <w:tcMar>
              <w:top w:w="15" w:type="dxa"/>
              <w:left w:w="0" w:type="dxa"/>
              <w:bottom w:w="0" w:type="dxa"/>
              <w:right w:w="15" w:type="dxa"/>
            </w:tcMar>
            <w:vAlign w:val="bottom"/>
            <w:hideMark/>
          </w:tcPr>
          <w:p w14:paraId="7C5F93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799928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03AFA06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3A977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1748C2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5D6807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7AF77F3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3D797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00DAF5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B1AEB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02DBE1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 w:type="dxa"/>
            <w:shd w:val="clear" w:color="auto" w:fill="CFF0FC"/>
            <w:noWrap/>
            <w:tcMar>
              <w:top w:w="15" w:type="dxa"/>
              <w:left w:w="0" w:type="dxa"/>
              <w:bottom w:w="0" w:type="dxa"/>
              <w:right w:w="15" w:type="dxa"/>
            </w:tcMar>
            <w:vAlign w:val="bottom"/>
            <w:hideMark/>
          </w:tcPr>
          <w:p w14:paraId="48692D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13308A2" w14:textId="77777777" w:rsidTr="00AC4931">
        <w:tc>
          <w:tcPr>
            <w:tcW w:w="10785" w:type="dxa"/>
            <w:shd w:val="clear" w:color="auto" w:fill="FFFFFF"/>
            <w:tcMar>
              <w:top w:w="15" w:type="dxa"/>
              <w:left w:w="0" w:type="dxa"/>
              <w:bottom w:w="0" w:type="dxa"/>
              <w:right w:w="15" w:type="dxa"/>
            </w:tcMar>
            <w:hideMark/>
          </w:tcPr>
          <w:p w14:paraId="13298D01"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U.S. federal</w:t>
            </w:r>
          </w:p>
        </w:tc>
        <w:tc>
          <w:tcPr>
            <w:tcW w:w="245" w:type="dxa"/>
            <w:shd w:val="clear" w:color="auto" w:fill="FFFFFF"/>
            <w:tcMar>
              <w:top w:w="15" w:type="dxa"/>
              <w:left w:w="0" w:type="dxa"/>
              <w:bottom w:w="0" w:type="dxa"/>
              <w:right w:w="15" w:type="dxa"/>
            </w:tcMar>
            <w:vAlign w:val="bottom"/>
            <w:hideMark/>
          </w:tcPr>
          <w:p w14:paraId="3C130A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17922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5F38175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(40.6</w:t>
            </w:r>
          </w:p>
        </w:tc>
        <w:tc>
          <w:tcPr>
            <w:tcW w:w="150" w:type="dxa"/>
            <w:shd w:val="clear" w:color="auto" w:fill="FFFFFF"/>
            <w:noWrap/>
            <w:tcMar>
              <w:top w:w="15" w:type="dxa"/>
              <w:left w:w="0" w:type="dxa"/>
              <w:bottom w:w="0" w:type="dxa"/>
              <w:right w:w="15" w:type="dxa"/>
            </w:tcMar>
            <w:vAlign w:val="bottom"/>
            <w:hideMark/>
          </w:tcPr>
          <w:p w14:paraId="05E53A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45F99A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3A5F8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614A7D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18.6</w:t>
            </w:r>
          </w:p>
        </w:tc>
        <w:tc>
          <w:tcPr>
            <w:tcW w:w="150" w:type="dxa"/>
            <w:shd w:val="clear" w:color="auto" w:fill="FFFFFF"/>
            <w:noWrap/>
            <w:tcMar>
              <w:top w:w="15" w:type="dxa"/>
              <w:left w:w="0" w:type="dxa"/>
              <w:bottom w:w="0" w:type="dxa"/>
              <w:right w:w="15" w:type="dxa"/>
            </w:tcMar>
            <w:vAlign w:val="bottom"/>
            <w:hideMark/>
          </w:tcPr>
          <w:p w14:paraId="01B6B6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5995E5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68288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38BBDC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31.6</w:t>
            </w:r>
          </w:p>
        </w:tc>
        <w:tc>
          <w:tcPr>
            <w:tcW w:w="151" w:type="dxa"/>
            <w:shd w:val="clear" w:color="auto" w:fill="FFFFFF"/>
            <w:noWrap/>
            <w:tcMar>
              <w:top w:w="15" w:type="dxa"/>
              <w:left w:w="0" w:type="dxa"/>
              <w:bottom w:w="0" w:type="dxa"/>
              <w:right w:w="15" w:type="dxa"/>
            </w:tcMar>
            <w:vAlign w:val="bottom"/>
            <w:hideMark/>
          </w:tcPr>
          <w:p w14:paraId="19FFB0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421BD8D" w14:textId="77777777" w:rsidTr="00AC4931">
        <w:tc>
          <w:tcPr>
            <w:tcW w:w="10785" w:type="dxa"/>
            <w:shd w:val="clear" w:color="auto" w:fill="CFF0FC"/>
            <w:tcMar>
              <w:top w:w="15" w:type="dxa"/>
              <w:left w:w="0" w:type="dxa"/>
              <w:bottom w:w="0" w:type="dxa"/>
              <w:right w:w="15" w:type="dxa"/>
            </w:tcMar>
            <w:hideMark/>
          </w:tcPr>
          <w:p w14:paraId="1DDED97D"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Non-U.S.</w:t>
            </w:r>
          </w:p>
        </w:tc>
        <w:tc>
          <w:tcPr>
            <w:tcW w:w="245" w:type="dxa"/>
            <w:shd w:val="clear" w:color="auto" w:fill="CFF0FC"/>
            <w:tcMar>
              <w:top w:w="15" w:type="dxa"/>
              <w:left w:w="0" w:type="dxa"/>
              <w:bottom w:w="0" w:type="dxa"/>
              <w:right w:w="15" w:type="dxa"/>
            </w:tcMar>
            <w:vAlign w:val="bottom"/>
            <w:hideMark/>
          </w:tcPr>
          <w:p w14:paraId="094A51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32381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04218B7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168.8</w:t>
            </w:r>
          </w:p>
        </w:tc>
        <w:tc>
          <w:tcPr>
            <w:tcW w:w="150" w:type="dxa"/>
            <w:shd w:val="clear" w:color="auto" w:fill="CFF0FC"/>
            <w:noWrap/>
            <w:tcMar>
              <w:top w:w="15" w:type="dxa"/>
              <w:left w:w="0" w:type="dxa"/>
              <w:bottom w:w="0" w:type="dxa"/>
              <w:right w:w="15" w:type="dxa"/>
            </w:tcMar>
            <w:vAlign w:val="bottom"/>
            <w:hideMark/>
          </w:tcPr>
          <w:p w14:paraId="15F019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372083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5720F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33D09EB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178.2</w:t>
            </w:r>
          </w:p>
        </w:tc>
        <w:tc>
          <w:tcPr>
            <w:tcW w:w="150" w:type="dxa"/>
            <w:shd w:val="clear" w:color="auto" w:fill="CFF0FC"/>
            <w:noWrap/>
            <w:tcMar>
              <w:top w:w="15" w:type="dxa"/>
              <w:left w:w="0" w:type="dxa"/>
              <w:bottom w:w="0" w:type="dxa"/>
              <w:right w:w="15" w:type="dxa"/>
            </w:tcMar>
            <w:vAlign w:val="bottom"/>
            <w:hideMark/>
          </w:tcPr>
          <w:p w14:paraId="6564B8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64013C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E7C97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2CC394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192.7</w:t>
            </w:r>
          </w:p>
        </w:tc>
        <w:tc>
          <w:tcPr>
            <w:tcW w:w="151" w:type="dxa"/>
            <w:shd w:val="clear" w:color="auto" w:fill="CFF0FC"/>
            <w:noWrap/>
            <w:tcMar>
              <w:top w:w="15" w:type="dxa"/>
              <w:left w:w="0" w:type="dxa"/>
              <w:bottom w:w="0" w:type="dxa"/>
              <w:right w:w="15" w:type="dxa"/>
            </w:tcMar>
            <w:vAlign w:val="bottom"/>
            <w:hideMark/>
          </w:tcPr>
          <w:p w14:paraId="6637C2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06A3FD7" w14:textId="77777777" w:rsidTr="00AC4931">
        <w:tc>
          <w:tcPr>
            <w:tcW w:w="10785" w:type="dxa"/>
            <w:shd w:val="clear" w:color="auto" w:fill="FFFFFF"/>
            <w:tcMar>
              <w:top w:w="15" w:type="dxa"/>
              <w:left w:w="0" w:type="dxa"/>
              <w:bottom w:w="0" w:type="dxa"/>
              <w:right w:w="15" w:type="dxa"/>
            </w:tcMar>
            <w:hideMark/>
          </w:tcPr>
          <w:p w14:paraId="1D718558"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U.S. state and local</w:t>
            </w:r>
          </w:p>
        </w:tc>
        <w:tc>
          <w:tcPr>
            <w:tcW w:w="245" w:type="dxa"/>
            <w:shd w:val="clear" w:color="auto" w:fill="FFFFFF"/>
            <w:tcMar>
              <w:top w:w="15" w:type="dxa"/>
              <w:left w:w="0" w:type="dxa"/>
              <w:bottom w:w="0" w:type="dxa"/>
              <w:right w:w="15" w:type="dxa"/>
            </w:tcMar>
            <w:vAlign w:val="bottom"/>
            <w:hideMark/>
          </w:tcPr>
          <w:p w14:paraId="271540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55896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62897CC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w:t>
            </w:r>
          </w:p>
        </w:tc>
        <w:tc>
          <w:tcPr>
            <w:tcW w:w="150" w:type="dxa"/>
            <w:shd w:val="clear" w:color="auto" w:fill="FFFFFF"/>
            <w:noWrap/>
            <w:tcMar>
              <w:top w:w="15" w:type="dxa"/>
              <w:left w:w="0" w:type="dxa"/>
              <w:bottom w:w="0" w:type="dxa"/>
              <w:right w:w="15" w:type="dxa"/>
            </w:tcMar>
            <w:vAlign w:val="bottom"/>
            <w:hideMark/>
          </w:tcPr>
          <w:p w14:paraId="4F84C2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332B2F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ADA22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3D6140A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w:t>
            </w:r>
          </w:p>
        </w:tc>
        <w:tc>
          <w:tcPr>
            <w:tcW w:w="150" w:type="dxa"/>
            <w:shd w:val="clear" w:color="auto" w:fill="FFFFFF"/>
            <w:noWrap/>
            <w:tcMar>
              <w:top w:w="15" w:type="dxa"/>
              <w:left w:w="0" w:type="dxa"/>
              <w:bottom w:w="0" w:type="dxa"/>
              <w:right w:w="15" w:type="dxa"/>
            </w:tcMar>
            <w:vAlign w:val="bottom"/>
            <w:hideMark/>
          </w:tcPr>
          <w:p w14:paraId="56FA18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537BFB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667B9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6438576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10.1</w:t>
            </w:r>
          </w:p>
        </w:tc>
        <w:tc>
          <w:tcPr>
            <w:tcW w:w="151" w:type="dxa"/>
            <w:shd w:val="clear" w:color="auto" w:fill="FFFFFF"/>
            <w:noWrap/>
            <w:tcMar>
              <w:top w:w="15" w:type="dxa"/>
              <w:left w:w="0" w:type="dxa"/>
              <w:bottom w:w="0" w:type="dxa"/>
              <w:right w:w="15" w:type="dxa"/>
            </w:tcMar>
            <w:vAlign w:val="bottom"/>
            <w:hideMark/>
          </w:tcPr>
          <w:p w14:paraId="607EED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CAB3F13" w14:textId="77777777" w:rsidTr="00AC4931">
        <w:tc>
          <w:tcPr>
            <w:tcW w:w="10785" w:type="dxa"/>
            <w:shd w:val="clear" w:color="auto" w:fill="CFF0FC"/>
            <w:tcMar>
              <w:top w:w="15" w:type="dxa"/>
              <w:left w:w="0" w:type="dxa"/>
              <w:bottom w:w="0" w:type="dxa"/>
              <w:right w:w="15" w:type="dxa"/>
            </w:tcMar>
            <w:hideMark/>
          </w:tcPr>
          <w:p w14:paraId="071FC3A5"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68A14E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F5468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34332B1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A0903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36DCC4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E71F9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057D05A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84FB2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148B9D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B3152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3E361B7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 w:type="dxa"/>
            <w:shd w:val="clear" w:color="auto" w:fill="CFF0FC"/>
            <w:noWrap/>
            <w:tcMar>
              <w:top w:w="15" w:type="dxa"/>
              <w:left w:w="0" w:type="dxa"/>
              <w:bottom w:w="0" w:type="dxa"/>
              <w:right w:w="15" w:type="dxa"/>
            </w:tcMar>
            <w:vAlign w:val="bottom"/>
            <w:hideMark/>
          </w:tcPr>
          <w:p w14:paraId="3CC780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FDF2341" w14:textId="77777777" w:rsidTr="00AC4931">
        <w:tc>
          <w:tcPr>
            <w:tcW w:w="10785" w:type="dxa"/>
            <w:shd w:val="clear" w:color="auto" w:fill="FFFFFF"/>
            <w:tcMar>
              <w:top w:w="15" w:type="dxa"/>
              <w:left w:w="0" w:type="dxa"/>
              <w:bottom w:w="0" w:type="dxa"/>
              <w:right w:w="15" w:type="dxa"/>
            </w:tcMar>
            <w:hideMark/>
          </w:tcPr>
          <w:p w14:paraId="609F905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Deferred</w:t>
            </w:r>
          </w:p>
        </w:tc>
        <w:tc>
          <w:tcPr>
            <w:tcW w:w="245" w:type="dxa"/>
            <w:shd w:val="clear" w:color="auto" w:fill="FFFFFF"/>
            <w:tcMar>
              <w:top w:w="15" w:type="dxa"/>
              <w:left w:w="0" w:type="dxa"/>
              <w:bottom w:w="0" w:type="dxa"/>
              <w:right w:w="15" w:type="dxa"/>
            </w:tcMar>
            <w:vAlign w:val="bottom"/>
            <w:hideMark/>
          </w:tcPr>
          <w:p w14:paraId="647175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FA29C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4C6B09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1606E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2B724C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AF2FC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36D4758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FAD9F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12CBC0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D9A07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0917D2F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 w:type="dxa"/>
            <w:shd w:val="clear" w:color="auto" w:fill="FFFFFF"/>
            <w:noWrap/>
            <w:tcMar>
              <w:top w:w="15" w:type="dxa"/>
              <w:left w:w="0" w:type="dxa"/>
              <w:bottom w:w="0" w:type="dxa"/>
              <w:right w:w="15" w:type="dxa"/>
            </w:tcMar>
            <w:vAlign w:val="bottom"/>
            <w:hideMark/>
          </w:tcPr>
          <w:p w14:paraId="720549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B2F679B" w14:textId="77777777" w:rsidTr="00AC4931">
        <w:tc>
          <w:tcPr>
            <w:tcW w:w="10785" w:type="dxa"/>
            <w:shd w:val="clear" w:color="auto" w:fill="CFF0FC"/>
            <w:tcMar>
              <w:top w:w="15" w:type="dxa"/>
              <w:left w:w="0" w:type="dxa"/>
              <w:bottom w:w="0" w:type="dxa"/>
              <w:right w:w="15" w:type="dxa"/>
            </w:tcMar>
            <w:hideMark/>
          </w:tcPr>
          <w:p w14:paraId="3E585F3D"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U.S. federal</w:t>
            </w:r>
          </w:p>
        </w:tc>
        <w:tc>
          <w:tcPr>
            <w:tcW w:w="245" w:type="dxa"/>
            <w:shd w:val="clear" w:color="auto" w:fill="CFF0FC"/>
            <w:tcMar>
              <w:top w:w="15" w:type="dxa"/>
              <w:left w:w="0" w:type="dxa"/>
              <w:bottom w:w="0" w:type="dxa"/>
              <w:right w:w="15" w:type="dxa"/>
            </w:tcMar>
            <w:vAlign w:val="bottom"/>
            <w:hideMark/>
          </w:tcPr>
          <w:p w14:paraId="5F4A6C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53E71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0793914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(5.5</w:t>
            </w:r>
          </w:p>
        </w:tc>
        <w:tc>
          <w:tcPr>
            <w:tcW w:w="150" w:type="dxa"/>
            <w:shd w:val="clear" w:color="auto" w:fill="CFF0FC"/>
            <w:noWrap/>
            <w:tcMar>
              <w:top w:w="15" w:type="dxa"/>
              <w:left w:w="0" w:type="dxa"/>
              <w:bottom w:w="0" w:type="dxa"/>
              <w:right w:w="15" w:type="dxa"/>
            </w:tcMar>
            <w:vAlign w:val="bottom"/>
            <w:hideMark/>
          </w:tcPr>
          <w:p w14:paraId="43397A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0F0C51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69D14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331BB7B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w:t>
            </w:r>
          </w:p>
        </w:tc>
        <w:tc>
          <w:tcPr>
            <w:tcW w:w="150" w:type="dxa"/>
            <w:shd w:val="clear" w:color="auto" w:fill="CFF0FC"/>
            <w:noWrap/>
            <w:tcMar>
              <w:top w:w="15" w:type="dxa"/>
              <w:left w:w="0" w:type="dxa"/>
              <w:bottom w:w="0" w:type="dxa"/>
              <w:right w:w="15" w:type="dxa"/>
            </w:tcMar>
            <w:vAlign w:val="bottom"/>
            <w:hideMark/>
          </w:tcPr>
          <w:p w14:paraId="49630E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78206D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F2175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11B0AD4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w:t>
            </w:r>
          </w:p>
        </w:tc>
        <w:tc>
          <w:tcPr>
            <w:tcW w:w="151" w:type="dxa"/>
            <w:shd w:val="clear" w:color="auto" w:fill="CFF0FC"/>
            <w:noWrap/>
            <w:tcMar>
              <w:top w:w="15" w:type="dxa"/>
              <w:left w:w="0" w:type="dxa"/>
              <w:bottom w:w="0" w:type="dxa"/>
              <w:right w:w="15" w:type="dxa"/>
            </w:tcMar>
            <w:vAlign w:val="bottom"/>
            <w:hideMark/>
          </w:tcPr>
          <w:p w14:paraId="41F3A5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5C33E5F" w14:textId="77777777" w:rsidTr="00AC4931">
        <w:tc>
          <w:tcPr>
            <w:tcW w:w="10785" w:type="dxa"/>
            <w:shd w:val="clear" w:color="auto" w:fill="FFFFFF"/>
            <w:tcMar>
              <w:top w:w="15" w:type="dxa"/>
              <w:left w:w="0" w:type="dxa"/>
              <w:bottom w:w="0" w:type="dxa"/>
              <w:right w:w="15" w:type="dxa"/>
            </w:tcMar>
            <w:hideMark/>
          </w:tcPr>
          <w:p w14:paraId="24A667FF"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Non-U.S.</w:t>
            </w:r>
          </w:p>
        </w:tc>
        <w:tc>
          <w:tcPr>
            <w:tcW w:w="245" w:type="dxa"/>
            <w:shd w:val="clear" w:color="auto" w:fill="FFFFFF"/>
            <w:tcMar>
              <w:top w:w="15" w:type="dxa"/>
              <w:left w:w="0" w:type="dxa"/>
              <w:bottom w:w="0" w:type="dxa"/>
              <w:right w:w="15" w:type="dxa"/>
            </w:tcMar>
            <w:vAlign w:val="bottom"/>
            <w:hideMark/>
          </w:tcPr>
          <w:p w14:paraId="1EF06E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8C99F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39F898B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(16.5</w:t>
            </w:r>
          </w:p>
        </w:tc>
        <w:tc>
          <w:tcPr>
            <w:tcW w:w="150" w:type="dxa"/>
            <w:shd w:val="clear" w:color="auto" w:fill="FFFFFF"/>
            <w:noWrap/>
            <w:tcMar>
              <w:top w:w="15" w:type="dxa"/>
              <w:left w:w="0" w:type="dxa"/>
              <w:bottom w:w="0" w:type="dxa"/>
              <w:right w:w="15" w:type="dxa"/>
            </w:tcMar>
            <w:vAlign w:val="bottom"/>
            <w:hideMark/>
          </w:tcPr>
          <w:p w14:paraId="110671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3F44D1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E1663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4BE99C4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(12.6</w:t>
            </w:r>
          </w:p>
        </w:tc>
        <w:tc>
          <w:tcPr>
            <w:tcW w:w="150" w:type="dxa"/>
            <w:shd w:val="clear" w:color="auto" w:fill="FFFFFF"/>
            <w:noWrap/>
            <w:tcMar>
              <w:top w:w="15" w:type="dxa"/>
              <w:left w:w="0" w:type="dxa"/>
              <w:bottom w:w="0" w:type="dxa"/>
              <w:right w:w="15" w:type="dxa"/>
            </w:tcMar>
            <w:vAlign w:val="bottom"/>
            <w:hideMark/>
          </w:tcPr>
          <w:p w14:paraId="5C1D6B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6FBD2B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73414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34043EC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51" w:type="dxa"/>
            <w:shd w:val="clear" w:color="auto" w:fill="FFFFFF"/>
            <w:noWrap/>
            <w:tcMar>
              <w:top w:w="15" w:type="dxa"/>
              <w:left w:w="0" w:type="dxa"/>
              <w:bottom w:w="0" w:type="dxa"/>
              <w:right w:w="15" w:type="dxa"/>
            </w:tcMar>
            <w:vAlign w:val="bottom"/>
            <w:hideMark/>
          </w:tcPr>
          <w:p w14:paraId="21EA54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4D45147" w14:textId="77777777" w:rsidTr="00AC4931">
        <w:tc>
          <w:tcPr>
            <w:tcW w:w="10785" w:type="dxa"/>
            <w:shd w:val="clear" w:color="auto" w:fill="CFF0FC"/>
            <w:tcMar>
              <w:top w:w="15" w:type="dxa"/>
              <w:left w:w="0" w:type="dxa"/>
              <w:bottom w:w="0" w:type="dxa"/>
              <w:right w:w="15" w:type="dxa"/>
            </w:tcMar>
            <w:hideMark/>
          </w:tcPr>
          <w:p w14:paraId="1E3C8174"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U.S. state and local</w:t>
            </w:r>
          </w:p>
        </w:tc>
        <w:tc>
          <w:tcPr>
            <w:tcW w:w="245" w:type="dxa"/>
            <w:shd w:val="clear" w:color="auto" w:fill="CFF0FC"/>
            <w:tcMar>
              <w:top w:w="15" w:type="dxa"/>
              <w:left w:w="0" w:type="dxa"/>
              <w:bottom w:w="0" w:type="dxa"/>
              <w:right w:w="15" w:type="dxa"/>
            </w:tcMar>
            <w:vAlign w:val="bottom"/>
            <w:hideMark/>
          </w:tcPr>
          <w:p w14:paraId="123F08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174142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3DAC20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w:t>
            </w:r>
          </w:p>
        </w:tc>
        <w:tc>
          <w:tcPr>
            <w:tcW w:w="150" w:type="dxa"/>
            <w:shd w:val="clear" w:color="auto" w:fill="CFF0FC"/>
            <w:noWrap/>
            <w:tcMar>
              <w:top w:w="15" w:type="dxa"/>
              <w:left w:w="0" w:type="dxa"/>
              <w:bottom w:w="0" w:type="dxa"/>
              <w:right w:w="15" w:type="dxa"/>
            </w:tcMar>
            <w:vAlign w:val="bottom"/>
            <w:hideMark/>
          </w:tcPr>
          <w:p w14:paraId="0F6A24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760EF8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376FF5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5D2D478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50" w:type="dxa"/>
            <w:shd w:val="clear" w:color="auto" w:fill="CFF0FC"/>
            <w:noWrap/>
            <w:tcMar>
              <w:top w:w="15" w:type="dxa"/>
              <w:left w:w="0" w:type="dxa"/>
              <w:bottom w:w="0" w:type="dxa"/>
              <w:right w:w="15" w:type="dxa"/>
            </w:tcMar>
            <w:vAlign w:val="bottom"/>
            <w:hideMark/>
          </w:tcPr>
          <w:p w14:paraId="2D1E87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073B31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04EFA8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7931603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51" w:type="dxa"/>
            <w:shd w:val="clear" w:color="auto" w:fill="CFF0FC"/>
            <w:noWrap/>
            <w:tcMar>
              <w:top w:w="15" w:type="dxa"/>
              <w:left w:w="0" w:type="dxa"/>
              <w:bottom w:w="0" w:type="dxa"/>
              <w:right w:w="15" w:type="dxa"/>
            </w:tcMar>
            <w:vAlign w:val="bottom"/>
            <w:hideMark/>
          </w:tcPr>
          <w:p w14:paraId="764449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F089A1E" w14:textId="77777777" w:rsidTr="00AC4931">
        <w:tc>
          <w:tcPr>
            <w:tcW w:w="10785" w:type="dxa"/>
            <w:shd w:val="clear" w:color="auto" w:fill="FFFFFF"/>
            <w:tcMar>
              <w:top w:w="15" w:type="dxa"/>
              <w:left w:w="0" w:type="dxa"/>
              <w:bottom w:w="0" w:type="dxa"/>
              <w:right w:w="15" w:type="dxa"/>
            </w:tcMar>
            <w:hideMark/>
          </w:tcPr>
          <w:p w14:paraId="503EDE5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income tax expense</w:t>
            </w:r>
          </w:p>
        </w:tc>
        <w:tc>
          <w:tcPr>
            <w:tcW w:w="245" w:type="dxa"/>
            <w:shd w:val="clear" w:color="auto" w:fill="FFFFFF"/>
            <w:tcMar>
              <w:top w:w="15" w:type="dxa"/>
              <w:left w:w="0" w:type="dxa"/>
              <w:bottom w:w="0" w:type="dxa"/>
              <w:right w:w="15" w:type="dxa"/>
            </w:tcMar>
            <w:vAlign w:val="bottom"/>
            <w:hideMark/>
          </w:tcPr>
          <w:p w14:paraId="16E4AF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E368A0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D58FF8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102.9</w:t>
            </w:r>
          </w:p>
        </w:tc>
        <w:tc>
          <w:tcPr>
            <w:tcW w:w="150" w:type="dxa"/>
            <w:shd w:val="clear" w:color="auto" w:fill="FFFFFF"/>
            <w:noWrap/>
            <w:tcMar>
              <w:top w:w="15" w:type="dxa"/>
              <w:left w:w="0" w:type="dxa"/>
              <w:bottom w:w="0" w:type="dxa"/>
              <w:right w:w="15" w:type="dxa"/>
            </w:tcMar>
            <w:vAlign w:val="bottom"/>
            <w:hideMark/>
          </w:tcPr>
          <w:p w14:paraId="0A4F127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168348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7D589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4BD0D3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185.6</w:t>
            </w:r>
          </w:p>
        </w:tc>
        <w:tc>
          <w:tcPr>
            <w:tcW w:w="150" w:type="dxa"/>
            <w:shd w:val="clear" w:color="auto" w:fill="FFFFFF"/>
            <w:noWrap/>
            <w:tcMar>
              <w:top w:w="15" w:type="dxa"/>
              <w:left w:w="0" w:type="dxa"/>
              <w:bottom w:w="0" w:type="dxa"/>
              <w:right w:w="15" w:type="dxa"/>
            </w:tcMar>
            <w:vAlign w:val="bottom"/>
            <w:hideMark/>
          </w:tcPr>
          <w:p w14:paraId="13B01DA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666EEF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8DA8B2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31A4AE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234.9</w:t>
            </w:r>
          </w:p>
        </w:tc>
        <w:tc>
          <w:tcPr>
            <w:tcW w:w="151" w:type="dxa"/>
            <w:shd w:val="clear" w:color="auto" w:fill="FFFFFF"/>
            <w:noWrap/>
            <w:tcMar>
              <w:top w:w="15" w:type="dxa"/>
              <w:left w:w="0" w:type="dxa"/>
              <w:bottom w:w="0" w:type="dxa"/>
              <w:right w:w="15" w:type="dxa"/>
            </w:tcMar>
            <w:vAlign w:val="bottom"/>
            <w:hideMark/>
          </w:tcPr>
          <w:p w14:paraId="22B7C4E0"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080D7274"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69</w:t>
      </w:r>
    </w:p>
    <w:p w14:paraId="06EC81D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A3EDE31"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8DECEA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6AA8FC5"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42AB2D09">
          <v:rect id="_x0000_i1096" style="width:0;height:1.5pt" o:hralign="center" o:hrstd="t" o:hrnoshade="t" o:hr="t" fillcolor="black" stroked="f"/>
        </w:pict>
      </w:r>
    </w:p>
    <w:p w14:paraId="485A4DC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B65F97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220635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F8EAB0F" w14:textId="77777777" w:rsidR="00AC4931" w:rsidRPr="00AC4931" w:rsidRDefault="00AC4931" w:rsidP="00AC4931">
      <w:pPr>
        <w:widowControl/>
        <w:jc w:val="left"/>
        <w:rPr>
          <w:rFonts w:ascii="Times New Roman" w:eastAsia="宋体" w:hAnsi="Times New Roman" w:cs="Times New Roman" w:hint="eastAsia"/>
          <w:kern w:val="0"/>
          <w:sz w:val="22"/>
        </w:rPr>
      </w:pPr>
      <w:r w:rsidRPr="00AC4931">
        <w:rPr>
          <w:rFonts w:ascii="Times New Roman" w:eastAsia="宋体" w:hAnsi="Times New Roman" w:cs="Times New Roman"/>
          <w:kern w:val="0"/>
          <w:sz w:val="22"/>
        </w:rPr>
        <w:t> </w:t>
      </w:r>
    </w:p>
    <w:p w14:paraId="2F4544BA"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693"/>
        <w:gridCol w:w="244"/>
        <w:gridCol w:w="159"/>
        <w:gridCol w:w="1289"/>
        <w:gridCol w:w="159"/>
        <w:gridCol w:w="244"/>
        <w:gridCol w:w="159"/>
        <w:gridCol w:w="1289"/>
        <w:gridCol w:w="159"/>
        <w:gridCol w:w="244"/>
        <w:gridCol w:w="159"/>
        <w:gridCol w:w="1289"/>
        <w:gridCol w:w="159"/>
        <w:gridCol w:w="245"/>
      </w:tblGrid>
      <w:tr w:rsidR="00AC4931" w:rsidRPr="00AC4931" w14:paraId="432BA1FD" w14:textId="77777777" w:rsidTr="00AC4931">
        <w:tc>
          <w:tcPr>
            <w:tcW w:w="10617" w:type="dxa"/>
            <w:shd w:val="clear" w:color="auto" w:fill="FFFFFF"/>
            <w:tcMar>
              <w:top w:w="15" w:type="dxa"/>
              <w:left w:w="0" w:type="dxa"/>
              <w:bottom w:w="0" w:type="dxa"/>
              <w:right w:w="15" w:type="dxa"/>
            </w:tcMar>
            <w:vAlign w:val="bottom"/>
            <w:hideMark/>
          </w:tcPr>
          <w:p w14:paraId="0F6A6B1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EFFECTIVE INCOME TAX RATE</w:t>
            </w:r>
          </w:p>
        </w:tc>
        <w:tc>
          <w:tcPr>
            <w:tcW w:w="242" w:type="dxa"/>
            <w:shd w:val="clear" w:color="auto" w:fill="FFFFFF"/>
            <w:tcMar>
              <w:top w:w="15" w:type="dxa"/>
              <w:left w:w="0" w:type="dxa"/>
              <w:bottom w:w="0" w:type="dxa"/>
              <w:right w:w="15" w:type="dxa"/>
            </w:tcMar>
            <w:vAlign w:val="bottom"/>
            <w:hideMark/>
          </w:tcPr>
          <w:p w14:paraId="009B0AD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30" w:type="dxa"/>
            <w:gridSpan w:val="2"/>
            <w:tcBorders>
              <w:bottom w:val="single" w:sz="6" w:space="0" w:color="000000"/>
            </w:tcBorders>
            <w:shd w:val="clear" w:color="auto" w:fill="FFFFFF"/>
            <w:tcMar>
              <w:top w:w="15" w:type="dxa"/>
              <w:left w:w="0" w:type="dxa"/>
              <w:bottom w:w="0" w:type="dxa"/>
              <w:right w:w="15" w:type="dxa"/>
            </w:tcMar>
            <w:vAlign w:val="bottom"/>
            <w:hideMark/>
          </w:tcPr>
          <w:p w14:paraId="56FB26B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7C08B05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2" w:type="dxa"/>
            <w:shd w:val="clear" w:color="auto" w:fill="FFFFFF"/>
            <w:tcMar>
              <w:top w:w="15" w:type="dxa"/>
              <w:left w:w="0" w:type="dxa"/>
              <w:bottom w:w="0" w:type="dxa"/>
              <w:right w:w="15" w:type="dxa"/>
            </w:tcMar>
            <w:vAlign w:val="bottom"/>
            <w:hideMark/>
          </w:tcPr>
          <w:p w14:paraId="7462D77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30" w:type="dxa"/>
            <w:gridSpan w:val="2"/>
            <w:tcBorders>
              <w:bottom w:val="single" w:sz="6" w:space="0" w:color="000000"/>
            </w:tcBorders>
            <w:shd w:val="clear" w:color="auto" w:fill="FFFFFF"/>
            <w:tcMar>
              <w:top w:w="15" w:type="dxa"/>
              <w:left w:w="0" w:type="dxa"/>
              <w:bottom w:w="0" w:type="dxa"/>
              <w:right w:w="15" w:type="dxa"/>
            </w:tcMar>
            <w:vAlign w:val="bottom"/>
            <w:hideMark/>
          </w:tcPr>
          <w:p w14:paraId="0EF00D6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2A3EEBE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2" w:type="dxa"/>
            <w:shd w:val="clear" w:color="auto" w:fill="FFFFFF"/>
            <w:tcMar>
              <w:top w:w="15" w:type="dxa"/>
              <w:left w:w="0" w:type="dxa"/>
              <w:bottom w:w="0" w:type="dxa"/>
              <w:right w:w="15" w:type="dxa"/>
            </w:tcMar>
            <w:vAlign w:val="bottom"/>
            <w:hideMark/>
          </w:tcPr>
          <w:p w14:paraId="4AEDD63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30" w:type="dxa"/>
            <w:gridSpan w:val="2"/>
            <w:tcBorders>
              <w:bottom w:val="single" w:sz="6" w:space="0" w:color="000000"/>
            </w:tcBorders>
            <w:shd w:val="clear" w:color="auto" w:fill="FFFFFF"/>
            <w:tcMar>
              <w:top w:w="15" w:type="dxa"/>
              <w:left w:w="0" w:type="dxa"/>
              <w:bottom w:w="0" w:type="dxa"/>
              <w:right w:w="15" w:type="dxa"/>
            </w:tcMar>
            <w:vAlign w:val="bottom"/>
            <w:hideMark/>
          </w:tcPr>
          <w:p w14:paraId="213EC94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0" w:type="dxa"/>
            <w:shd w:val="clear" w:color="auto" w:fill="FFFFFF"/>
            <w:noWrap/>
            <w:tcMar>
              <w:top w:w="15" w:type="dxa"/>
              <w:left w:w="0" w:type="dxa"/>
              <w:bottom w:w="0" w:type="dxa"/>
              <w:right w:w="15" w:type="dxa"/>
            </w:tcMar>
            <w:vAlign w:val="bottom"/>
            <w:hideMark/>
          </w:tcPr>
          <w:p w14:paraId="00BC7A7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3" w:type="dxa"/>
            <w:shd w:val="clear" w:color="auto" w:fill="FFFFFF"/>
            <w:tcMar>
              <w:top w:w="15" w:type="dxa"/>
              <w:left w:w="0" w:type="dxa"/>
              <w:bottom w:w="0" w:type="dxa"/>
              <w:right w:w="15" w:type="dxa"/>
            </w:tcMar>
            <w:vAlign w:val="bottom"/>
            <w:hideMark/>
          </w:tcPr>
          <w:p w14:paraId="59B3009E" w14:textId="77777777" w:rsidR="00AC4931" w:rsidRPr="00AC4931" w:rsidRDefault="00AC4931" w:rsidP="00AC4931">
            <w:pPr>
              <w:widowControl/>
              <w:jc w:val="center"/>
              <w:rPr>
                <w:rFonts w:ascii="Calibri" w:eastAsia="宋体" w:hAnsi="Calibri" w:cs="Calibri"/>
                <w:b/>
                <w:bCs/>
                <w:color w:val="000000"/>
                <w:kern w:val="0"/>
                <w:sz w:val="16"/>
                <w:szCs w:val="16"/>
              </w:rPr>
            </w:pPr>
            <w:r w:rsidRPr="00AC4931">
              <w:rPr>
                <w:rFonts w:ascii="Calibri" w:eastAsia="宋体" w:hAnsi="Calibri" w:cs="Calibri"/>
                <w:b/>
                <w:bCs/>
                <w:color w:val="000000"/>
                <w:kern w:val="0"/>
                <w:sz w:val="16"/>
                <w:szCs w:val="16"/>
              </w:rPr>
              <w:t> </w:t>
            </w:r>
          </w:p>
        </w:tc>
      </w:tr>
      <w:tr w:rsidR="00AC4931" w:rsidRPr="00AC4931" w14:paraId="521B0D4F" w14:textId="77777777" w:rsidTr="00AC4931">
        <w:tc>
          <w:tcPr>
            <w:tcW w:w="10617" w:type="dxa"/>
            <w:shd w:val="clear" w:color="auto" w:fill="CFF0FC"/>
            <w:tcMar>
              <w:top w:w="15" w:type="dxa"/>
              <w:left w:w="0" w:type="dxa"/>
              <w:bottom w:w="0" w:type="dxa"/>
              <w:right w:w="15" w:type="dxa"/>
            </w:tcMar>
            <w:hideMark/>
          </w:tcPr>
          <w:p w14:paraId="7BF23E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U.S. federal income tax rate</w:t>
            </w:r>
          </w:p>
        </w:tc>
        <w:tc>
          <w:tcPr>
            <w:tcW w:w="242" w:type="dxa"/>
            <w:shd w:val="clear" w:color="auto" w:fill="CFF0FC"/>
            <w:tcMar>
              <w:top w:w="15" w:type="dxa"/>
              <w:left w:w="0" w:type="dxa"/>
              <w:bottom w:w="0" w:type="dxa"/>
              <w:right w:w="15" w:type="dxa"/>
            </w:tcMar>
            <w:vAlign w:val="bottom"/>
            <w:hideMark/>
          </w:tcPr>
          <w:p w14:paraId="17463B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7C76A9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tcBorders>
              <w:top w:val="single" w:sz="6" w:space="0" w:color="000000"/>
            </w:tcBorders>
            <w:shd w:val="clear" w:color="auto" w:fill="CFF0FC"/>
            <w:noWrap/>
            <w:tcMar>
              <w:top w:w="15" w:type="dxa"/>
              <w:left w:w="0" w:type="dxa"/>
              <w:bottom w:w="0" w:type="dxa"/>
              <w:right w:w="15" w:type="dxa"/>
            </w:tcMar>
            <w:vAlign w:val="bottom"/>
            <w:hideMark/>
          </w:tcPr>
          <w:p w14:paraId="6F52681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21.0</w:t>
            </w:r>
          </w:p>
        </w:tc>
        <w:tc>
          <w:tcPr>
            <w:tcW w:w="150" w:type="dxa"/>
            <w:shd w:val="clear" w:color="auto" w:fill="CFF0FC"/>
            <w:noWrap/>
            <w:tcMar>
              <w:top w:w="15" w:type="dxa"/>
              <w:left w:w="0" w:type="dxa"/>
              <w:bottom w:w="0" w:type="dxa"/>
              <w:right w:w="15" w:type="dxa"/>
            </w:tcMar>
            <w:vAlign w:val="bottom"/>
            <w:hideMark/>
          </w:tcPr>
          <w:p w14:paraId="477163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6405D1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E31A0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tcBorders>
              <w:top w:val="single" w:sz="6" w:space="0" w:color="000000"/>
            </w:tcBorders>
            <w:shd w:val="clear" w:color="auto" w:fill="CFF0FC"/>
            <w:noWrap/>
            <w:tcMar>
              <w:top w:w="15" w:type="dxa"/>
              <w:left w:w="0" w:type="dxa"/>
              <w:bottom w:w="0" w:type="dxa"/>
              <w:right w:w="15" w:type="dxa"/>
            </w:tcMar>
            <w:vAlign w:val="bottom"/>
            <w:hideMark/>
          </w:tcPr>
          <w:p w14:paraId="60EB660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21.0</w:t>
            </w:r>
          </w:p>
        </w:tc>
        <w:tc>
          <w:tcPr>
            <w:tcW w:w="150" w:type="dxa"/>
            <w:shd w:val="clear" w:color="auto" w:fill="CFF0FC"/>
            <w:noWrap/>
            <w:tcMar>
              <w:top w:w="15" w:type="dxa"/>
              <w:left w:w="0" w:type="dxa"/>
              <w:bottom w:w="0" w:type="dxa"/>
              <w:right w:w="15" w:type="dxa"/>
            </w:tcMar>
            <w:vAlign w:val="bottom"/>
            <w:hideMark/>
          </w:tcPr>
          <w:p w14:paraId="41B6D1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1D8A07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535D97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tcBorders>
              <w:top w:val="single" w:sz="6" w:space="0" w:color="000000"/>
            </w:tcBorders>
            <w:shd w:val="clear" w:color="auto" w:fill="CFF0FC"/>
            <w:noWrap/>
            <w:tcMar>
              <w:top w:w="15" w:type="dxa"/>
              <w:left w:w="0" w:type="dxa"/>
              <w:bottom w:w="0" w:type="dxa"/>
              <w:right w:w="15" w:type="dxa"/>
            </w:tcMar>
            <w:vAlign w:val="bottom"/>
            <w:hideMark/>
          </w:tcPr>
          <w:p w14:paraId="4885777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21.0</w:t>
            </w:r>
          </w:p>
        </w:tc>
        <w:tc>
          <w:tcPr>
            <w:tcW w:w="150" w:type="dxa"/>
            <w:shd w:val="clear" w:color="auto" w:fill="CFF0FC"/>
            <w:noWrap/>
            <w:tcMar>
              <w:top w:w="15" w:type="dxa"/>
              <w:left w:w="0" w:type="dxa"/>
              <w:bottom w:w="0" w:type="dxa"/>
              <w:right w:w="15" w:type="dxa"/>
            </w:tcMar>
            <w:vAlign w:val="bottom"/>
            <w:hideMark/>
          </w:tcPr>
          <w:p w14:paraId="434533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3" w:type="dxa"/>
            <w:shd w:val="clear" w:color="auto" w:fill="CFF0FC"/>
            <w:tcMar>
              <w:top w:w="15" w:type="dxa"/>
              <w:left w:w="0" w:type="dxa"/>
              <w:bottom w:w="0" w:type="dxa"/>
              <w:right w:w="15" w:type="dxa"/>
            </w:tcMar>
            <w:vAlign w:val="bottom"/>
            <w:hideMark/>
          </w:tcPr>
          <w:p w14:paraId="50E3E6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0F540A1" w14:textId="77777777" w:rsidTr="00AC4931">
        <w:tc>
          <w:tcPr>
            <w:tcW w:w="10617" w:type="dxa"/>
            <w:shd w:val="clear" w:color="auto" w:fill="FFFFFF"/>
            <w:tcMar>
              <w:top w:w="15" w:type="dxa"/>
              <w:left w:w="0" w:type="dxa"/>
              <w:bottom w:w="0" w:type="dxa"/>
              <w:right w:w="15" w:type="dxa"/>
            </w:tcMar>
            <w:hideMark/>
          </w:tcPr>
          <w:p w14:paraId="72DA75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Non-Deductible Expenses</w:t>
            </w:r>
          </w:p>
        </w:tc>
        <w:tc>
          <w:tcPr>
            <w:tcW w:w="242" w:type="dxa"/>
            <w:shd w:val="clear" w:color="auto" w:fill="FFFFFF"/>
            <w:tcMar>
              <w:top w:w="15" w:type="dxa"/>
              <w:left w:w="0" w:type="dxa"/>
              <w:bottom w:w="0" w:type="dxa"/>
              <w:right w:w="15" w:type="dxa"/>
            </w:tcMar>
            <w:vAlign w:val="bottom"/>
            <w:hideMark/>
          </w:tcPr>
          <w:p w14:paraId="41E14F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BC14E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41EDDC2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w:t>
            </w:r>
          </w:p>
        </w:tc>
        <w:tc>
          <w:tcPr>
            <w:tcW w:w="150" w:type="dxa"/>
            <w:shd w:val="clear" w:color="auto" w:fill="FFFFFF"/>
            <w:noWrap/>
            <w:tcMar>
              <w:top w:w="15" w:type="dxa"/>
              <w:left w:w="0" w:type="dxa"/>
              <w:bottom w:w="0" w:type="dxa"/>
              <w:right w:w="15" w:type="dxa"/>
            </w:tcMar>
            <w:vAlign w:val="bottom"/>
            <w:hideMark/>
          </w:tcPr>
          <w:p w14:paraId="5D2348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2D9918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547E3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11F079A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50" w:type="dxa"/>
            <w:shd w:val="clear" w:color="auto" w:fill="FFFFFF"/>
            <w:noWrap/>
            <w:tcMar>
              <w:top w:w="15" w:type="dxa"/>
              <w:left w:w="0" w:type="dxa"/>
              <w:bottom w:w="0" w:type="dxa"/>
              <w:right w:w="15" w:type="dxa"/>
            </w:tcMar>
            <w:vAlign w:val="bottom"/>
            <w:hideMark/>
          </w:tcPr>
          <w:p w14:paraId="5178AE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1DBFB7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EFE65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6092018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w:t>
            </w:r>
          </w:p>
        </w:tc>
        <w:tc>
          <w:tcPr>
            <w:tcW w:w="150" w:type="dxa"/>
            <w:shd w:val="clear" w:color="auto" w:fill="FFFFFF"/>
            <w:noWrap/>
            <w:tcMar>
              <w:top w:w="15" w:type="dxa"/>
              <w:left w:w="0" w:type="dxa"/>
              <w:bottom w:w="0" w:type="dxa"/>
              <w:right w:w="15" w:type="dxa"/>
            </w:tcMar>
            <w:vAlign w:val="bottom"/>
            <w:hideMark/>
          </w:tcPr>
          <w:p w14:paraId="5C51EA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3" w:type="dxa"/>
            <w:shd w:val="clear" w:color="auto" w:fill="FFFFFF"/>
            <w:tcMar>
              <w:top w:w="15" w:type="dxa"/>
              <w:left w:w="0" w:type="dxa"/>
              <w:bottom w:w="0" w:type="dxa"/>
              <w:right w:w="15" w:type="dxa"/>
            </w:tcMar>
            <w:vAlign w:val="bottom"/>
            <w:hideMark/>
          </w:tcPr>
          <w:p w14:paraId="4DAFEB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4D83913" w14:textId="77777777" w:rsidTr="00AC4931">
        <w:tc>
          <w:tcPr>
            <w:tcW w:w="10617" w:type="dxa"/>
            <w:shd w:val="clear" w:color="auto" w:fill="CFF0FC"/>
            <w:tcMar>
              <w:top w:w="15" w:type="dxa"/>
              <w:left w:w="0" w:type="dxa"/>
              <w:bottom w:w="0" w:type="dxa"/>
              <w:right w:w="15" w:type="dxa"/>
            </w:tcMar>
            <w:hideMark/>
          </w:tcPr>
          <w:p w14:paraId="0BBD4C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Foreign tax rate variances</w:t>
            </w:r>
          </w:p>
        </w:tc>
        <w:tc>
          <w:tcPr>
            <w:tcW w:w="242" w:type="dxa"/>
            <w:shd w:val="clear" w:color="auto" w:fill="CFF0FC"/>
            <w:tcMar>
              <w:top w:w="15" w:type="dxa"/>
              <w:left w:w="0" w:type="dxa"/>
              <w:bottom w:w="0" w:type="dxa"/>
              <w:right w:w="15" w:type="dxa"/>
            </w:tcMar>
            <w:vAlign w:val="bottom"/>
            <w:hideMark/>
          </w:tcPr>
          <w:p w14:paraId="7833BA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386B4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11B5C11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8.4</w:t>
            </w:r>
          </w:p>
        </w:tc>
        <w:tc>
          <w:tcPr>
            <w:tcW w:w="150" w:type="dxa"/>
            <w:shd w:val="clear" w:color="auto" w:fill="CFF0FC"/>
            <w:noWrap/>
            <w:tcMar>
              <w:top w:w="15" w:type="dxa"/>
              <w:left w:w="0" w:type="dxa"/>
              <w:bottom w:w="0" w:type="dxa"/>
              <w:right w:w="15" w:type="dxa"/>
            </w:tcMar>
            <w:vAlign w:val="bottom"/>
            <w:hideMark/>
          </w:tcPr>
          <w:p w14:paraId="04BC96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51E660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E10EA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3A045F6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4.1</w:t>
            </w:r>
          </w:p>
        </w:tc>
        <w:tc>
          <w:tcPr>
            <w:tcW w:w="150" w:type="dxa"/>
            <w:shd w:val="clear" w:color="auto" w:fill="CFF0FC"/>
            <w:noWrap/>
            <w:tcMar>
              <w:top w:w="15" w:type="dxa"/>
              <w:left w:w="0" w:type="dxa"/>
              <w:bottom w:w="0" w:type="dxa"/>
              <w:right w:w="15" w:type="dxa"/>
            </w:tcMar>
            <w:vAlign w:val="bottom"/>
            <w:hideMark/>
          </w:tcPr>
          <w:p w14:paraId="54CC9C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48AC23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ED63B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4BC0C8B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5.5</w:t>
            </w:r>
          </w:p>
        </w:tc>
        <w:tc>
          <w:tcPr>
            <w:tcW w:w="150" w:type="dxa"/>
            <w:shd w:val="clear" w:color="auto" w:fill="CFF0FC"/>
            <w:noWrap/>
            <w:tcMar>
              <w:top w:w="15" w:type="dxa"/>
              <w:left w:w="0" w:type="dxa"/>
              <w:bottom w:w="0" w:type="dxa"/>
              <w:right w:w="15" w:type="dxa"/>
            </w:tcMar>
            <w:vAlign w:val="bottom"/>
            <w:hideMark/>
          </w:tcPr>
          <w:p w14:paraId="3DE1ED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3" w:type="dxa"/>
            <w:shd w:val="clear" w:color="auto" w:fill="CFF0FC"/>
            <w:tcMar>
              <w:top w:w="15" w:type="dxa"/>
              <w:left w:w="0" w:type="dxa"/>
              <w:bottom w:w="0" w:type="dxa"/>
              <w:right w:w="15" w:type="dxa"/>
            </w:tcMar>
            <w:vAlign w:val="bottom"/>
            <w:hideMark/>
          </w:tcPr>
          <w:p w14:paraId="1F5C59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D96F2EC" w14:textId="77777777" w:rsidTr="00AC4931">
        <w:tc>
          <w:tcPr>
            <w:tcW w:w="10617" w:type="dxa"/>
            <w:shd w:val="clear" w:color="auto" w:fill="FFFFFF"/>
            <w:tcMar>
              <w:top w:w="15" w:type="dxa"/>
              <w:left w:w="0" w:type="dxa"/>
              <w:bottom w:w="0" w:type="dxa"/>
              <w:right w:w="15" w:type="dxa"/>
            </w:tcMar>
            <w:hideMark/>
          </w:tcPr>
          <w:p w14:paraId="661265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Tax credits</w:t>
            </w:r>
          </w:p>
        </w:tc>
        <w:tc>
          <w:tcPr>
            <w:tcW w:w="242" w:type="dxa"/>
            <w:shd w:val="clear" w:color="auto" w:fill="FFFFFF"/>
            <w:tcMar>
              <w:top w:w="15" w:type="dxa"/>
              <w:left w:w="0" w:type="dxa"/>
              <w:bottom w:w="0" w:type="dxa"/>
              <w:right w:w="15" w:type="dxa"/>
            </w:tcMar>
            <w:vAlign w:val="bottom"/>
            <w:hideMark/>
          </w:tcPr>
          <w:p w14:paraId="6AC999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31A74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38F1FC2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w:t>
            </w:r>
          </w:p>
        </w:tc>
        <w:tc>
          <w:tcPr>
            <w:tcW w:w="150" w:type="dxa"/>
            <w:shd w:val="clear" w:color="auto" w:fill="FFFFFF"/>
            <w:noWrap/>
            <w:tcMar>
              <w:top w:w="15" w:type="dxa"/>
              <w:left w:w="0" w:type="dxa"/>
              <w:bottom w:w="0" w:type="dxa"/>
              <w:right w:w="15" w:type="dxa"/>
            </w:tcMar>
            <w:vAlign w:val="bottom"/>
            <w:hideMark/>
          </w:tcPr>
          <w:p w14:paraId="36641E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2" w:type="dxa"/>
            <w:shd w:val="clear" w:color="auto" w:fill="FFFFFF"/>
            <w:tcMar>
              <w:top w:w="15" w:type="dxa"/>
              <w:left w:w="0" w:type="dxa"/>
              <w:bottom w:w="0" w:type="dxa"/>
              <w:right w:w="15" w:type="dxa"/>
            </w:tcMar>
            <w:vAlign w:val="bottom"/>
            <w:hideMark/>
          </w:tcPr>
          <w:p w14:paraId="39E441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4B4E5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2AD2101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w:t>
            </w:r>
          </w:p>
        </w:tc>
        <w:tc>
          <w:tcPr>
            <w:tcW w:w="150" w:type="dxa"/>
            <w:shd w:val="clear" w:color="auto" w:fill="FFFFFF"/>
            <w:noWrap/>
            <w:tcMar>
              <w:top w:w="15" w:type="dxa"/>
              <w:left w:w="0" w:type="dxa"/>
              <w:bottom w:w="0" w:type="dxa"/>
              <w:right w:w="15" w:type="dxa"/>
            </w:tcMar>
            <w:vAlign w:val="bottom"/>
            <w:hideMark/>
          </w:tcPr>
          <w:p w14:paraId="57C104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2" w:type="dxa"/>
            <w:shd w:val="clear" w:color="auto" w:fill="FFFFFF"/>
            <w:tcMar>
              <w:top w:w="15" w:type="dxa"/>
              <w:left w:w="0" w:type="dxa"/>
              <w:bottom w:w="0" w:type="dxa"/>
              <w:right w:w="15" w:type="dxa"/>
            </w:tcMar>
            <w:vAlign w:val="bottom"/>
            <w:hideMark/>
          </w:tcPr>
          <w:p w14:paraId="22E98A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460C4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3F5C3E9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w:t>
            </w:r>
          </w:p>
        </w:tc>
        <w:tc>
          <w:tcPr>
            <w:tcW w:w="150" w:type="dxa"/>
            <w:shd w:val="clear" w:color="auto" w:fill="FFFFFF"/>
            <w:noWrap/>
            <w:tcMar>
              <w:top w:w="15" w:type="dxa"/>
              <w:left w:w="0" w:type="dxa"/>
              <w:bottom w:w="0" w:type="dxa"/>
              <w:right w:w="15" w:type="dxa"/>
            </w:tcMar>
            <w:vAlign w:val="bottom"/>
            <w:hideMark/>
          </w:tcPr>
          <w:p w14:paraId="50D951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3" w:type="dxa"/>
            <w:shd w:val="clear" w:color="auto" w:fill="FFFFFF"/>
            <w:tcMar>
              <w:top w:w="15" w:type="dxa"/>
              <w:left w:w="0" w:type="dxa"/>
              <w:bottom w:w="0" w:type="dxa"/>
              <w:right w:w="15" w:type="dxa"/>
            </w:tcMar>
            <w:vAlign w:val="bottom"/>
            <w:hideMark/>
          </w:tcPr>
          <w:p w14:paraId="3C07AD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C05A632" w14:textId="77777777" w:rsidTr="00AC4931">
        <w:tc>
          <w:tcPr>
            <w:tcW w:w="10617" w:type="dxa"/>
            <w:shd w:val="clear" w:color="auto" w:fill="CFF0FC"/>
            <w:tcMar>
              <w:top w:w="15" w:type="dxa"/>
              <w:left w:w="0" w:type="dxa"/>
              <w:bottom w:w="0" w:type="dxa"/>
              <w:right w:w="15" w:type="dxa"/>
            </w:tcMar>
            <w:hideMark/>
          </w:tcPr>
          <w:p w14:paraId="72F1F3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Change in Valuation Allowances</w:t>
            </w:r>
          </w:p>
        </w:tc>
        <w:tc>
          <w:tcPr>
            <w:tcW w:w="242" w:type="dxa"/>
            <w:shd w:val="clear" w:color="auto" w:fill="CFF0FC"/>
            <w:tcMar>
              <w:top w:w="15" w:type="dxa"/>
              <w:left w:w="0" w:type="dxa"/>
              <w:bottom w:w="0" w:type="dxa"/>
              <w:right w:w="15" w:type="dxa"/>
            </w:tcMar>
            <w:vAlign w:val="bottom"/>
            <w:hideMark/>
          </w:tcPr>
          <w:p w14:paraId="472285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258B5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702B2F7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43C840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74519E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A3BD8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64EC403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566983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28F35F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B95BC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5A7F6E9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w:t>
            </w:r>
          </w:p>
        </w:tc>
        <w:tc>
          <w:tcPr>
            <w:tcW w:w="150" w:type="dxa"/>
            <w:shd w:val="clear" w:color="auto" w:fill="CFF0FC"/>
            <w:noWrap/>
            <w:tcMar>
              <w:top w:w="15" w:type="dxa"/>
              <w:left w:w="0" w:type="dxa"/>
              <w:bottom w:w="0" w:type="dxa"/>
              <w:right w:w="15" w:type="dxa"/>
            </w:tcMar>
            <w:vAlign w:val="bottom"/>
            <w:hideMark/>
          </w:tcPr>
          <w:p w14:paraId="65C200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3" w:type="dxa"/>
            <w:shd w:val="clear" w:color="auto" w:fill="CFF0FC"/>
            <w:tcMar>
              <w:top w:w="15" w:type="dxa"/>
              <w:left w:w="0" w:type="dxa"/>
              <w:bottom w:w="0" w:type="dxa"/>
              <w:right w:w="15" w:type="dxa"/>
            </w:tcMar>
            <w:vAlign w:val="bottom"/>
            <w:hideMark/>
          </w:tcPr>
          <w:p w14:paraId="5E9DEF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869F351" w14:textId="77777777" w:rsidTr="00AC4931">
        <w:tc>
          <w:tcPr>
            <w:tcW w:w="10617" w:type="dxa"/>
            <w:shd w:val="clear" w:color="auto" w:fill="FFFFFF"/>
            <w:tcMar>
              <w:top w:w="15" w:type="dxa"/>
              <w:left w:w="0" w:type="dxa"/>
              <w:bottom w:w="0" w:type="dxa"/>
              <w:right w:w="15" w:type="dxa"/>
            </w:tcMar>
            <w:hideMark/>
          </w:tcPr>
          <w:p w14:paraId="2FC5CF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Current year losses with no benefit</w:t>
            </w:r>
          </w:p>
        </w:tc>
        <w:tc>
          <w:tcPr>
            <w:tcW w:w="242" w:type="dxa"/>
            <w:shd w:val="clear" w:color="auto" w:fill="FFFFFF"/>
            <w:tcMar>
              <w:top w:w="15" w:type="dxa"/>
              <w:left w:w="0" w:type="dxa"/>
              <w:bottom w:w="0" w:type="dxa"/>
              <w:right w:w="15" w:type="dxa"/>
            </w:tcMar>
            <w:vAlign w:val="bottom"/>
            <w:hideMark/>
          </w:tcPr>
          <w:p w14:paraId="52BF5E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28605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3A97C29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7.1</w:t>
            </w:r>
          </w:p>
        </w:tc>
        <w:tc>
          <w:tcPr>
            <w:tcW w:w="150" w:type="dxa"/>
            <w:shd w:val="clear" w:color="auto" w:fill="FFFFFF"/>
            <w:noWrap/>
            <w:tcMar>
              <w:top w:w="15" w:type="dxa"/>
              <w:left w:w="0" w:type="dxa"/>
              <w:bottom w:w="0" w:type="dxa"/>
              <w:right w:w="15" w:type="dxa"/>
            </w:tcMar>
            <w:vAlign w:val="bottom"/>
            <w:hideMark/>
          </w:tcPr>
          <w:p w14:paraId="6B0FD5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596CF2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3AC24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3DFF388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50" w:type="dxa"/>
            <w:shd w:val="clear" w:color="auto" w:fill="FFFFFF"/>
            <w:noWrap/>
            <w:tcMar>
              <w:top w:w="15" w:type="dxa"/>
              <w:left w:w="0" w:type="dxa"/>
              <w:bottom w:w="0" w:type="dxa"/>
              <w:right w:w="15" w:type="dxa"/>
            </w:tcMar>
            <w:vAlign w:val="bottom"/>
            <w:hideMark/>
          </w:tcPr>
          <w:p w14:paraId="03286A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408430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A38D4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612B5C1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w:t>
            </w:r>
          </w:p>
        </w:tc>
        <w:tc>
          <w:tcPr>
            <w:tcW w:w="150" w:type="dxa"/>
            <w:shd w:val="clear" w:color="auto" w:fill="FFFFFF"/>
            <w:noWrap/>
            <w:tcMar>
              <w:top w:w="15" w:type="dxa"/>
              <w:left w:w="0" w:type="dxa"/>
              <w:bottom w:w="0" w:type="dxa"/>
              <w:right w:w="15" w:type="dxa"/>
            </w:tcMar>
            <w:vAlign w:val="bottom"/>
            <w:hideMark/>
          </w:tcPr>
          <w:p w14:paraId="5779FE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3" w:type="dxa"/>
            <w:shd w:val="clear" w:color="auto" w:fill="FFFFFF"/>
            <w:tcMar>
              <w:top w:w="15" w:type="dxa"/>
              <w:left w:w="0" w:type="dxa"/>
              <w:bottom w:w="0" w:type="dxa"/>
              <w:right w:w="15" w:type="dxa"/>
            </w:tcMar>
            <w:vAlign w:val="bottom"/>
            <w:hideMark/>
          </w:tcPr>
          <w:p w14:paraId="7E36D3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81C4292" w14:textId="77777777" w:rsidTr="00AC4931">
        <w:tc>
          <w:tcPr>
            <w:tcW w:w="10617" w:type="dxa"/>
            <w:shd w:val="clear" w:color="auto" w:fill="CFF0FC"/>
            <w:tcMar>
              <w:top w:w="15" w:type="dxa"/>
              <w:left w:w="0" w:type="dxa"/>
              <w:bottom w:w="0" w:type="dxa"/>
              <w:right w:w="15" w:type="dxa"/>
            </w:tcMar>
            <w:hideMark/>
          </w:tcPr>
          <w:p w14:paraId="33A828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operating loss carry-forwards</w:t>
            </w:r>
          </w:p>
        </w:tc>
        <w:tc>
          <w:tcPr>
            <w:tcW w:w="242" w:type="dxa"/>
            <w:shd w:val="clear" w:color="auto" w:fill="CFF0FC"/>
            <w:tcMar>
              <w:top w:w="15" w:type="dxa"/>
              <w:left w:w="0" w:type="dxa"/>
              <w:bottom w:w="0" w:type="dxa"/>
              <w:right w:w="15" w:type="dxa"/>
            </w:tcMar>
            <w:vAlign w:val="bottom"/>
            <w:hideMark/>
          </w:tcPr>
          <w:p w14:paraId="553965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5F5CA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1155A72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1DF92B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7B15F6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48BBA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4F84E30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50" w:type="dxa"/>
            <w:shd w:val="clear" w:color="auto" w:fill="CFF0FC"/>
            <w:noWrap/>
            <w:tcMar>
              <w:top w:w="15" w:type="dxa"/>
              <w:left w:w="0" w:type="dxa"/>
              <w:bottom w:w="0" w:type="dxa"/>
              <w:right w:w="15" w:type="dxa"/>
            </w:tcMar>
            <w:vAlign w:val="bottom"/>
            <w:hideMark/>
          </w:tcPr>
          <w:p w14:paraId="380734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2" w:type="dxa"/>
            <w:shd w:val="clear" w:color="auto" w:fill="CFF0FC"/>
            <w:tcMar>
              <w:top w:w="15" w:type="dxa"/>
              <w:left w:w="0" w:type="dxa"/>
              <w:bottom w:w="0" w:type="dxa"/>
              <w:right w:w="15" w:type="dxa"/>
            </w:tcMar>
            <w:vAlign w:val="bottom"/>
            <w:hideMark/>
          </w:tcPr>
          <w:p w14:paraId="077BB6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01D98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7A77B50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50" w:type="dxa"/>
            <w:shd w:val="clear" w:color="auto" w:fill="CFF0FC"/>
            <w:noWrap/>
            <w:tcMar>
              <w:top w:w="15" w:type="dxa"/>
              <w:left w:w="0" w:type="dxa"/>
              <w:bottom w:w="0" w:type="dxa"/>
              <w:right w:w="15" w:type="dxa"/>
            </w:tcMar>
            <w:vAlign w:val="bottom"/>
            <w:hideMark/>
          </w:tcPr>
          <w:p w14:paraId="5D69FC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3" w:type="dxa"/>
            <w:shd w:val="clear" w:color="auto" w:fill="CFF0FC"/>
            <w:tcMar>
              <w:top w:w="15" w:type="dxa"/>
              <w:left w:w="0" w:type="dxa"/>
              <w:bottom w:w="0" w:type="dxa"/>
              <w:right w:w="15" w:type="dxa"/>
            </w:tcMar>
            <w:vAlign w:val="bottom"/>
            <w:hideMark/>
          </w:tcPr>
          <w:p w14:paraId="46153E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A2D53DE" w14:textId="77777777" w:rsidTr="00AC4931">
        <w:tc>
          <w:tcPr>
            <w:tcW w:w="10617" w:type="dxa"/>
            <w:shd w:val="clear" w:color="auto" w:fill="FFFFFF"/>
            <w:tcMar>
              <w:top w:w="15" w:type="dxa"/>
              <w:left w:w="0" w:type="dxa"/>
              <w:bottom w:w="0" w:type="dxa"/>
              <w:right w:w="15" w:type="dxa"/>
            </w:tcMar>
            <w:hideMark/>
          </w:tcPr>
          <w:p w14:paraId="2F32BC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Changes in tax reserves</w:t>
            </w:r>
          </w:p>
        </w:tc>
        <w:tc>
          <w:tcPr>
            <w:tcW w:w="242" w:type="dxa"/>
            <w:shd w:val="clear" w:color="auto" w:fill="FFFFFF"/>
            <w:tcMar>
              <w:top w:w="15" w:type="dxa"/>
              <w:left w:w="0" w:type="dxa"/>
              <w:bottom w:w="0" w:type="dxa"/>
              <w:right w:w="15" w:type="dxa"/>
            </w:tcMar>
            <w:vAlign w:val="bottom"/>
            <w:hideMark/>
          </w:tcPr>
          <w:p w14:paraId="487720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D1BDF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515580A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w:t>
            </w:r>
          </w:p>
        </w:tc>
        <w:tc>
          <w:tcPr>
            <w:tcW w:w="150" w:type="dxa"/>
            <w:shd w:val="clear" w:color="auto" w:fill="FFFFFF"/>
            <w:noWrap/>
            <w:tcMar>
              <w:top w:w="15" w:type="dxa"/>
              <w:left w:w="0" w:type="dxa"/>
              <w:bottom w:w="0" w:type="dxa"/>
              <w:right w:w="15" w:type="dxa"/>
            </w:tcMar>
            <w:vAlign w:val="bottom"/>
            <w:hideMark/>
          </w:tcPr>
          <w:p w14:paraId="583651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36CF4D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9E711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40A959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w:t>
            </w:r>
          </w:p>
        </w:tc>
        <w:tc>
          <w:tcPr>
            <w:tcW w:w="150" w:type="dxa"/>
            <w:shd w:val="clear" w:color="auto" w:fill="FFFFFF"/>
            <w:noWrap/>
            <w:tcMar>
              <w:top w:w="15" w:type="dxa"/>
              <w:left w:w="0" w:type="dxa"/>
              <w:bottom w:w="0" w:type="dxa"/>
              <w:right w:w="15" w:type="dxa"/>
            </w:tcMar>
            <w:vAlign w:val="bottom"/>
            <w:hideMark/>
          </w:tcPr>
          <w:p w14:paraId="3BC8ED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2644B7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52E84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54A7813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w:t>
            </w:r>
          </w:p>
        </w:tc>
        <w:tc>
          <w:tcPr>
            <w:tcW w:w="150" w:type="dxa"/>
            <w:shd w:val="clear" w:color="auto" w:fill="FFFFFF"/>
            <w:noWrap/>
            <w:tcMar>
              <w:top w:w="15" w:type="dxa"/>
              <w:left w:w="0" w:type="dxa"/>
              <w:bottom w:w="0" w:type="dxa"/>
              <w:right w:w="15" w:type="dxa"/>
            </w:tcMar>
            <w:vAlign w:val="bottom"/>
            <w:hideMark/>
          </w:tcPr>
          <w:p w14:paraId="391599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3" w:type="dxa"/>
            <w:shd w:val="clear" w:color="auto" w:fill="FFFFFF"/>
            <w:tcMar>
              <w:top w:w="15" w:type="dxa"/>
              <w:left w:w="0" w:type="dxa"/>
              <w:bottom w:w="0" w:type="dxa"/>
              <w:right w:w="15" w:type="dxa"/>
            </w:tcMar>
            <w:vAlign w:val="bottom"/>
            <w:hideMark/>
          </w:tcPr>
          <w:p w14:paraId="0CA392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986FBF5" w14:textId="77777777" w:rsidTr="00AC4931">
        <w:tc>
          <w:tcPr>
            <w:tcW w:w="10617" w:type="dxa"/>
            <w:shd w:val="clear" w:color="auto" w:fill="CFF0FC"/>
            <w:tcMar>
              <w:top w:w="15" w:type="dxa"/>
              <w:left w:w="0" w:type="dxa"/>
              <w:bottom w:w="0" w:type="dxa"/>
              <w:right w:w="15" w:type="dxa"/>
            </w:tcMar>
            <w:hideMark/>
          </w:tcPr>
          <w:p w14:paraId="37F770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Provision to Return</w:t>
            </w:r>
          </w:p>
        </w:tc>
        <w:tc>
          <w:tcPr>
            <w:tcW w:w="242" w:type="dxa"/>
            <w:shd w:val="clear" w:color="auto" w:fill="CFF0FC"/>
            <w:tcMar>
              <w:top w:w="15" w:type="dxa"/>
              <w:left w:w="0" w:type="dxa"/>
              <w:bottom w:w="0" w:type="dxa"/>
              <w:right w:w="15" w:type="dxa"/>
            </w:tcMar>
            <w:vAlign w:val="bottom"/>
            <w:hideMark/>
          </w:tcPr>
          <w:p w14:paraId="2AA673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EB7FB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0347376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(8.8</w:t>
            </w:r>
          </w:p>
        </w:tc>
        <w:tc>
          <w:tcPr>
            <w:tcW w:w="150" w:type="dxa"/>
            <w:shd w:val="clear" w:color="auto" w:fill="CFF0FC"/>
            <w:noWrap/>
            <w:tcMar>
              <w:top w:w="15" w:type="dxa"/>
              <w:left w:w="0" w:type="dxa"/>
              <w:bottom w:w="0" w:type="dxa"/>
              <w:right w:w="15" w:type="dxa"/>
            </w:tcMar>
            <w:vAlign w:val="bottom"/>
            <w:hideMark/>
          </w:tcPr>
          <w:p w14:paraId="5E25B2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2" w:type="dxa"/>
            <w:shd w:val="clear" w:color="auto" w:fill="CFF0FC"/>
            <w:tcMar>
              <w:top w:w="15" w:type="dxa"/>
              <w:left w:w="0" w:type="dxa"/>
              <w:bottom w:w="0" w:type="dxa"/>
              <w:right w:w="15" w:type="dxa"/>
            </w:tcMar>
            <w:vAlign w:val="bottom"/>
            <w:hideMark/>
          </w:tcPr>
          <w:p w14:paraId="67370B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5C797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14FBD30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50" w:type="dxa"/>
            <w:shd w:val="clear" w:color="auto" w:fill="CFF0FC"/>
            <w:noWrap/>
            <w:tcMar>
              <w:top w:w="15" w:type="dxa"/>
              <w:left w:w="0" w:type="dxa"/>
              <w:bottom w:w="0" w:type="dxa"/>
              <w:right w:w="15" w:type="dxa"/>
            </w:tcMar>
            <w:vAlign w:val="bottom"/>
            <w:hideMark/>
          </w:tcPr>
          <w:p w14:paraId="1BDC6C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2" w:type="dxa"/>
            <w:shd w:val="clear" w:color="auto" w:fill="CFF0FC"/>
            <w:tcMar>
              <w:top w:w="15" w:type="dxa"/>
              <w:left w:w="0" w:type="dxa"/>
              <w:bottom w:w="0" w:type="dxa"/>
              <w:right w:w="15" w:type="dxa"/>
            </w:tcMar>
            <w:vAlign w:val="bottom"/>
            <w:hideMark/>
          </w:tcPr>
          <w:p w14:paraId="722AB9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C2B3B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51A4A93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50" w:type="dxa"/>
            <w:shd w:val="clear" w:color="auto" w:fill="CFF0FC"/>
            <w:noWrap/>
            <w:tcMar>
              <w:top w:w="15" w:type="dxa"/>
              <w:left w:w="0" w:type="dxa"/>
              <w:bottom w:w="0" w:type="dxa"/>
              <w:right w:w="15" w:type="dxa"/>
            </w:tcMar>
            <w:vAlign w:val="bottom"/>
            <w:hideMark/>
          </w:tcPr>
          <w:p w14:paraId="34FC56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3" w:type="dxa"/>
            <w:shd w:val="clear" w:color="auto" w:fill="CFF0FC"/>
            <w:tcMar>
              <w:top w:w="15" w:type="dxa"/>
              <w:left w:w="0" w:type="dxa"/>
              <w:bottom w:w="0" w:type="dxa"/>
              <w:right w:w="15" w:type="dxa"/>
            </w:tcMar>
            <w:vAlign w:val="bottom"/>
            <w:hideMark/>
          </w:tcPr>
          <w:p w14:paraId="4F87D8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88C16D8" w14:textId="77777777" w:rsidTr="00AC4931">
        <w:tc>
          <w:tcPr>
            <w:tcW w:w="10617" w:type="dxa"/>
            <w:shd w:val="clear" w:color="auto" w:fill="FFFFFF"/>
            <w:tcMar>
              <w:top w:w="15" w:type="dxa"/>
              <w:left w:w="0" w:type="dxa"/>
              <w:bottom w:w="0" w:type="dxa"/>
              <w:right w:w="15" w:type="dxa"/>
            </w:tcMar>
            <w:hideMark/>
          </w:tcPr>
          <w:p w14:paraId="3A7CB3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Earnings of equity investments</w:t>
            </w:r>
          </w:p>
        </w:tc>
        <w:tc>
          <w:tcPr>
            <w:tcW w:w="242" w:type="dxa"/>
            <w:shd w:val="clear" w:color="auto" w:fill="FFFFFF"/>
            <w:tcMar>
              <w:top w:w="15" w:type="dxa"/>
              <w:left w:w="0" w:type="dxa"/>
              <w:bottom w:w="0" w:type="dxa"/>
              <w:right w:w="15" w:type="dxa"/>
            </w:tcMar>
            <w:vAlign w:val="bottom"/>
            <w:hideMark/>
          </w:tcPr>
          <w:p w14:paraId="5CFE48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22F65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0F56095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50" w:type="dxa"/>
            <w:shd w:val="clear" w:color="auto" w:fill="FFFFFF"/>
            <w:noWrap/>
            <w:tcMar>
              <w:top w:w="15" w:type="dxa"/>
              <w:left w:w="0" w:type="dxa"/>
              <w:bottom w:w="0" w:type="dxa"/>
              <w:right w:w="15" w:type="dxa"/>
            </w:tcMar>
            <w:vAlign w:val="bottom"/>
            <w:hideMark/>
          </w:tcPr>
          <w:p w14:paraId="72B206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2" w:type="dxa"/>
            <w:shd w:val="clear" w:color="auto" w:fill="FFFFFF"/>
            <w:tcMar>
              <w:top w:w="15" w:type="dxa"/>
              <w:left w:w="0" w:type="dxa"/>
              <w:bottom w:w="0" w:type="dxa"/>
              <w:right w:w="15" w:type="dxa"/>
            </w:tcMar>
            <w:vAlign w:val="bottom"/>
            <w:hideMark/>
          </w:tcPr>
          <w:p w14:paraId="32A310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4B96A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4847FDA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50" w:type="dxa"/>
            <w:shd w:val="clear" w:color="auto" w:fill="FFFFFF"/>
            <w:noWrap/>
            <w:tcMar>
              <w:top w:w="15" w:type="dxa"/>
              <w:left w:w="0" w:type="dxa"/>
              <w:bottom w:w="0" w:type="dxa"/>
              <w:right w:w="15" w:type="dxa"/>
            </w:tcMar>
            <w:vAlign w:val="bottom"/>
            <w:hideMark/>
          </w:tcPr>
          <w:p w14:paraId="0CDBF8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2" w:type="dxa"/>
            <w:shd w:val="clear" w:color="auto" w:fill="FFFFFF"/>
            <w:tcMar>
              <w:top w:w="15" w:type="dxa"/>
              <w:left w:w="0" w:type="dxa"/>
              <w:bottom w:w="0" w:type="dxa"/>
              <w:right w:w="15" w:type="dxa"/>
            </w:tcMar>
            <w:vAlign w:val="bottom"/>
            <w:hideMark/>
          </w:tcPr>
          <w:p w14:paraId="6DD9C6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6B07B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4B89AF3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50" w:type="dxa"/>
            <w:shd w:val="clear" w:color="auto" w:fill="FFFFFF"/>
            <w:noWrap/>
            <w:tcMar>
              <w:top w:w="15" w:type="dxa"/>
              <w:left w:w="0" w:type="dxa"/>
              <w:bottom w:w="0" w:type="dxa"/>
              <w:right w:w="15" w:type="dxa"/>
            </w:tcMar>
            <w:vAlign w:val="bottom"/>
            <w:hideMark/>
          </w:tcPr>
          <w:p w14:paraId="7C1327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3" w:type="dxa"/>
            <w:shd w:val="clear" w:color="auto" w:fill="FFFFFF"/>
            <w:tcMar>
              <w:top w:w="15" w:type="dxa"/>
              <w:left w:w="0" w:type="dxa"/>
              <w:bottom w:w="0" w:type="dxa"/>
              <w:right w:w="15" w:type="dxa"/>
            </w:tcMar>
            <w:vAlign w:val="bottom"/>
            <w:hideMark/>
          </w:tcPr>
          <w:p w14:paraId="05EF4D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54DD70F" w14:textId="77777777" w:rsidTr="00AC4931">
        <w:tc>
          <w:tcPr>
            <w:tcW w:w="10617" w:type="dxa"/>
            <w:shd w:val="clear" w:color="auto" w:fill="CFF0FC"/>
            <w:tcMar>
              <w:top w:w="15" w:type="dxa"/>
              <w:left w:w="0" w:type="dxa"/>
              <w:bottom w:w="0" w:type="dxa"/>
              <w:right w:w="15" w:type="dxa"/>
            </w:tcMar>
            <w:hideMark/>
          </w:tcPr>
          <w:p w14:paraId="41552F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Withholding taxes</w:t>
            </w:r>
          </w:p>
        </w:tc>
        <w:tc>
          <w:tcPr>
            <w:tcW w:w="242" w:type="dxa"/>
            <w:shd w:val="clear" w:color="auto" w:fill="CFF0FC"/>
            <w:tcMar>
              <w:top w:w="15" w:type="dxa"/>
              <w:left w:w="0" w:type="dxa"/>
              <w:bottom w:w="0" w:type="dxa"/>
              <w:right w:w="15" w:type="dxa"/>
            </w:tcMar>
            <w:vAlign w:val="bottom"/>
            <w:hideMark/>
          </w:tcPr>
          <w:p w14:paraId="7C05F2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B310C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73A8E04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8.5</w:t>
            </w:r>
          </w:p>
        </w:tc>
        <w:tc>
          <w:tcPr>
            <w:tcW w:w="150" w:type="dxa"/>
            <w:shd w:val="clear" w:color="auto" w:fill="CFF0FC"/>
            <w:noWrap/>
            <w:tcMar>
              <w:top w:w="15" w:type="dxa"/>
              <w:left w:w="0" w:type="dxa"/>
              <w:bottom w:w="0" w:type="dxa"/>
              <w:right w:w="15" w:type="dxa"/>
            </w:tcMar>
            <w:vAlign w:val="bottom"/>
            <w:hideMark/>
          </w:tcPr>
          <w:p w14:paraId="30B130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18ACF1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DCC77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680B04D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w:t>
            </w:r>
          </w:p>
        </w:tc>
        <w:tc>
          <w:tcPr>
            <w:tcW w:w="150" w:type="dxa"/>
            <w:shd w:val="clear" w:color="auto" w:fill="CFF0FC"/>
            <w:noWrap/>
            <w:tcMar>
              <w:top w:w="15" w:type="dxa"/>
              <w:left w:w="0" w:type="dxa"/>
              <w:bottom w:w="0" w:type="dxa"/>
              <w:right w:w="15" w:type="dxa"/>
            </w:tcMar>
            <w:vAlign w:val="bottom"/>
            <w:hideMark/>
          </w:tcPr>
          <w:p w14:paraId="09C4B9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5B0627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630BE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67084F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w:t>
            </w:r>
          </w:p>
        </w:tc>
        <w:tc>
          <w:tcPr>
            <w:tcW w:w="150" w:type="dxa"/>
            <w:shd w:val="clear" w:color="auto" w:fill="CFF0FC"/>
            <w:noWrap/>
            <w:tcMar>
              <w:top w:w="15" w:type="dxa"/>
              <w:left w:w="0" w:type="dxa"/>
              <w:bottom w:w="0" w:type="dxa"/>
              <w:right w:w="15" w:type="dxa"/>
            </w:tcMar>
            <w:vAlign w:val="bottom"/>
            <w:hideMark/>
          </w:tcPr>
          <w:p w14:paraId="44E17A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3" w:type="dxa"/>
            <w:shd w:val="clear" w:color="auto" w:fill="CFF0FC"/>
            <w:tcMar>
              <w:top w:w="15" w:type="dxa"/>
              <w:left w:w="0" w:type="dxa"/>
              <w:bottom w:w="0" w:type="dxa"/>
              <w:right w:w="15" w:type="dxa"/>
            </w:tcMar>
            <w:vAlign w:val="bottom"/>
            <w:hideMark/>
          </w:tcPr>
          <w:p w14:paraId="1926EC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8A3273B" w14:textId="77777777" w:rsidTr="00AC4931">
        <w:tc>
          <w:tcPr>
            <w:tcW w:w="10617" w:type="dxa"/>
            <w:shd w:val="clear" w:color="auto" w:fill="FFFFFF"/>
            <w:tcMar>
              <w:top w:w="15" w:type="dxa"/>
              <w:left w:w="0" w:type="dxa"/>
              <w:bottom w:w="0" w:type="dxa"/>
              <w:right w:w="15" w:type="dxa"/>
            </w:tcMar>
            <w:hideMark/>
          </w:tcPr>
          <w:p w14:paraId="16401B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State taxes, net of federal benefit</w:t>
            </w:r>
          </w:p>
        </w:tc>
        <w:tc>
          <w:tcPr>
            <w:tcW w:w="242" w:type="dxa"/>
            <w:shd w:val="clear" w:color="auto" w:fill="FFFFFF"/>
            <w:tcMar>
              <w:top w:w="15" w:type="dxa"/>
              <w:left w:w="0" w:type="dxa"/>
              <w:bottom w:w="0" w:type="dxa"/>
              <w:right w:w="15" w:type="dxa"/>
            </w:tcMar>
            <w:vAlign w:val="bottom"/>
            <w:hideMark/>
          </w:tcPr>
          <w:p w14:paraId="3462B7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A3015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31B56D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(0.7</w:t>
            </w:r>
          </w:p>
        </w:tc>
        <w:tc>
          <w:tcPr>
            <w:tcW w:w="150" w:type="dxa"/>
            <w:shd w:val="clear" w:color="auto" w:fill="FFFFFF"/>
            <w:noWrap/>
            <w:tcMar>
              <w:top w:w="15" w:type="dxa"/>
              <w:left w:w="0" w:type="dxa"/>
              <w:bottom w:w="0" w:type="dxa"/>
              <w:right w:w="15" w:type="dxa"/>
            </w:tcMar>
            <w:vAlign w:val="bottom"/>
            <w:hideMark/>
          </w:tcPr>
          <w:p w14:paraId="182FC7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2" w:type="dxa"/>
            <w:shd w:val="clear" w:color="auto" w:fill="FFFFFF"/>
            <w:tcMar>
              <w:top w:w="15" w:type="dxa"/>
              <w:left w:w="0" w:type="dxa"/>
              <w:bottom w:w="0" w:type="dxa"/>
              <w:right w:w="15" w:type="dxa"/>
            </w:tcMar>
            <w:vAlign w:val="bottom"/>
            <w:hideMark/>
          </w:tcPr>
          <w:p w14:paraId="7C136A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FF38F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0DE3B1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w:t>
            </w:r>
          </w:p>
        </w:tc>
        <w:tc>
          <w:tcPr>
            <w:tcW w:w="150" w:type="dxa"/>
            <w:shd w:val="clear" w:color="auto" w:fill="FFFFFF"/>
            <w:noWrap/>
            <w:tcMar>
              <w:top w:w="15" w:type="dxa"/>
              <w:left w:w="0" w:type="dxa"/>
              <w:bottom w:w="0" w:type="dxa"/>
              <w:right w:w="15" w:type="dxa"/>
            </w:tcMar>
            <w:vAlign w:val="bottom"/>
            <w:hideMark/>
          </w:tcPr>
          <w:p w14:paraId="731326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40B36F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ED92B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2C635F5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w:t>
            </w:r>
          </w:p>
        </w:tc>
        <w:tc>
          <w:tcPr>
            <w:tcW w:w="150" w:type="dxa"/>
            <w:shd w:val="clear" w:color="auto" w:fill="FFFFFF"/>
            <w:noWrap/>
            <w:tcMar>
              <w:top w:w="15" w:type="dxa"/>
              <w:left w:w="0" w:type="dxa"/>
              <w:bottom w:w="0" w:type="dxa"/>
              <w:right w:w="15" w:type="dxa"/>
            </w:tcMar>
            <w:vAlign w:val="bottom"/>
            <w:hideMark/>
          </w:tcPr>
          <w:p w14:paraId="7B4C90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3" w:type="dxa"/>
            <w:shd w:val="clear" w:color="auto" w:fill="FFFFFF"/>
            <w:tcMar>
              <w:top w:w="15" w:type="dxa"/>
              <w:left w:w="0" w:type="dxa"/>
              <w:bottom w:w="0" w:type="dxa"/>
              <w:right w:w="15" w:type="dxa"/>
            </w:tcMar>
            <w:vAlign w:val="bottom"/>
            <w:hideMark/>
          </w:tcPr>
          <w:p w14:paraId="4342E6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BE2AD8A" w14:textId="77777777" w:rsidTr="00AC4931">
        <w:tc>
          <w:tcPr>
            <w:tcW w:w="10617" w:type="dxa"/>
            <w:shd w:val="clear" w:color="auto" w:fill="CFF0FC"/>
            <w:tcMar>
              <w:top w:w="15" w:type="dxa"/>
              <w:left w:w="0" w:type="dxa"/>
              <w:bottom w:w="0" w:type="dxa"/>
              <w:right w:w="15" w:type="dxa"/>
            </w:tcMar>
            <w:hideMark/>
          </w:tcPr>
          <w:p w14:paraId="262507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Antitrust settlement</w:t>
            </w:r>
          </w:p>
        </w:tc>
        <w:tc>
          <w:tcPr>
            <w:tcW w:w="242" w:type="dxa"/>
            <w:shd w:val="clear" w:color="auto" w:fill="CFF0FC"/>
            <w:tcMar>
              <w:top w:w="15" w:type="dxa"/>
              <w:left w:w="0" w:type="dxa"/>
              <w:bottom w:w="0" w:type="dxa"/>
              <w:right w:w="15" w:type="dxa"/>
            </w:tcMar>
            <w:vAlign w:val="bottom"/>
            <w:hideMark/>
          </w:tcPr>
          <w:p w14:paraId="75A390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EE66C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08D4724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5931C8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65EB1F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8172A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7BCF22A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5471F9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336C36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96716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62DC778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9.9</w:t>
            </w:r>
          </w:p>
        </w:tc>
        <w:tc>
          <w:tcPr>
            <w:tcW w:w="150" w:type="dxa"/>
            <w:shd w:val="clear" w:color="auto" w:fill="CFF0FC"/>
            <w:noWrap/>
            <w:tcMar>
              <w:top w:w="15" w:type="dxa"/>
              <w:left w:w="0" w:type="dxa"/>
              <w:bottom w:w="0" w:type="dxa"/>
              <w:right w:w="15" w:type="dxa"/>
            </w:tcMar>
            <w:vAlign w:val="bottom"/>
            <w:hideMark/>
          </w:tcPr>
          <w:p w14:paraId="3EE364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3" w:type="dxa"/>
            <w:shd w:val="clear" w:color="auto" w:fill="CFF0FC"/>
            <w:tcMar>
              <w:top w:w="15" w:type="dxa"/>
              <w:left w:w="0" w:type="dxa"/>
              <w:bottom w:w="0" w:type="dxa"/>
              <w:right w:w="15" w:type="dxa"/>
            </w:tcMar>
            <w:vAlign w:val="bottom"/>
            <w:hideMark/>
          </w:tcPr>
          <w:p w14:paraId="3496E5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7832098" w14:textId="77777777" w:rsidTr="00AC4931">
        <w:tc>
          <w:tcPr>
            <w:tcW w:w="10617" w:type="dxa"/>
            <w:shd w:val="clear" w:color="auto" w:fill="FFFFFF"/>
            <w:tcMar>
              <w:top w:w="15" w:type="dxa"/>
              <w:left w:w="0" w:type="dxa"/>
              <w:bottom w:w="0" w:type="dxa"/>
              <w:right w:w="15" w:type="dxa"/>
            </w:tcMar>
            <w:hideMark/>
          </w:tcPr>
          <w:p w14:paraId="622857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U.S. FDII Deduction</w:t>
            </w:r>
          </w:p>
        </w:tc>
        <w:tc>
          <w:tcPr>
            <w:tcW w:w="242" w:type="dxa"/>
            <w:shd w:val="clear" w:color="auto" w:fill="FFFFFF"/>
            <w:tcMar>
              <w:top w:w="15" w:type="dxa"/>
              <w:left w:w="0" w:type="dxa"/>
              <w:bottom w:w="0" w:type="dxa"/>
              <w:right w:w="15" w:type="dxa"/>
            </w:tcMar>
            <w:vAlign w:val="bottom"/>
            <w:hideMark/>
          </w:tcPr>
          <w:p w14:paraId="40BE51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0590E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53966FB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4D4905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0576B4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6083D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7534903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w:t>
            </w:r>
          </w:p>
        </w:tc>
        <w:tc>
          <w:tcPr>
            <w:tcW w:w="150" w:type="dxa"/>
            <w:shd w:val="clear" w:color="auto" w:fill="FFFFFF"/>
            <w:noWrap/>
            <w:tcMar>
              <w:top w:w="15" w:type="dxa"/>
              <w:left w:w="0" w:type="dxa"/>
              <w:bottom w:w="0" w:type="dxa"/>
              <w:right w:w="15" w:type="dxa"/>
            </w:tcMar>
            <w:vAlign w:val="bottom"/>
            <w:hideMark/>
          </w:tcPr>
          <w:p w14:paraId="7C8D55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2" w:type="dxa"/>
            <w:shd w:val="clear" w:color="auto" w:fill="FFFFFF"/>
            <w:tcMar>
              <w:top w:w="15" w:type="dxa"/>
              <w:left w:w="0" w:type="dxa"/>
              <w:bottom w:w="0" w:type="dxa"/>
              <w:right w:w="15" w:type="dxa"/>
            </w:tcMar>
            <w:vAlign w:val="bottom"/>
            <w:hideMark/>
          </w:tcPr>
          <w:p w14:paraId="551D14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7A1E1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FFFFFF"/>
            <w:noWrap/>
            <w:tcMar>
              <w:top w:w="15" w:type="dxa"/>
              <w:left w:w="0" w:type="dxa"/>
              <w:bottom w:w="0" w:type="dxa"/>
              <w:right w:w="15" w:type="dxa"/>
            </w:tcMar>
            <w:vAlign w:val="bottom"/>
            <w:hideMark/>
          </w:tcPr>
          <w:p w14:paraId="7847CB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7552B1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3" w:type="dxa"/>
            <w:shd w:val="clear" w:color="auto" w:fill="FFFFFF"/>
            <w:tcMar>
              <w:top w:w="15" w:type="dxa"/>
              <w:left w:w="0" w:type="dxa"/>
              <w:bottom w:w="0" w:type="dxa"/>
              <w:right w:w="15" w:type="dxa"/>
            </w:tcMar>
            <w:vAlign w:val="bottom"/>
            <w:hideMark/>
          </w:tcPr>
          <w:p w14:paraId="008132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0A4312C" w14:textId="77777777" w:rsidTr="00AC4931">
        <w:tc>
          <w:tcPr>
            <w:tcW w:w="10617" w:type="dxa"/>
            <w:shd w:val="clear" w:color="auto" w:fill="CFF0FC"/>
            <w:tcMar>
              <w:top w:w="15" w:type="dxa"/>
              <w:left w:w="0" w:type="dxa"/>
              <w:bottom w:w="0" w:type="dxa"/>
              <w:right w:w="15" w:type="dxa"/>
            </w:tcMar>
            <w:hideMark/>
          </w:tcPr>
          <w:p w14:paraId="7C8655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U.S. GILI Tax</w:t>
            </w:r>
          </w:p>
        </w:tc>
        <w:tc>
          <w:tcPr>
            <w:tcW w:w="242" w:type="dxa"/>
            <w:shd w:val="clear" w:color="auto" w:fill="CFF0FC"/>
            <w:tcMar>
              <w:top w:w="15" w:type="dxa"/>
              <w:left w:w="0" w:type="dxa"/>
              <w:bottom w:w="0" w:type="dxa"/>
              <w:right w:w="15" w:type="dxa"/>
            </w:tcMar>
            <w:vAlign w:val="bottom"/>
            <w:hideMark/>
          </w:tcPr>
          <w:p w14:paraId="487A37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3A1D1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41F3721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336BBD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4754DA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D6012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09C259C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w:t>
            </w:r>
          </w:p>
        </w:tc>
        <w:tc>
          <w:tcPr>
            <w:tcW w:w="150" w:type="dxa"/>
            <w:shd w:val="clear" w:color="auto" w:fill="CFF0FC"/>
            <w:noWrap/>
            <w:tcMar>
              <w:top w:w="15" w:type="dxa"/>
              <w:left w:w="0" w:type="dxa"/>
              <w:bottom w:w="0" w:type="dxa"/>
              <w:right w:w="15" w:type="dxa"/>
            </w:tcMar>
            <w:vAlign w:val="bottom"/>
            <w:hideMark/>
          </w:tcPr>
          <w:p w14:paraId="7FFBC9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79622D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680F2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shd w:val="clear" w:color="auto" w:fill="CFF0FC"/>
            <w:noWrap/>
            <w:tcMar>
              <w:top w:w="15" w:type="dxa"/>
              <w:left w:w="0" w:type="dxa"/>
              <w:bottom w:w="0" w:type="dxa"/>
              <w:right w:w="15" w:type="dxa"/>
            </w:tcMar>
            <w:vAlign w:val="bottom"/>
            <w:hideMark/>
          </w:tcPr>
          <w:p w14:paraId="5BE94EB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w:t>
            </w:r>
          </w:p>
        </w:tc>
        <w:tc>
          <w:tcPr>
            <w:tcW w:w="150" w:type="dxa"/>
            <w:shd w:val="clear" w:color="auto" w:fill="CFF0FC"/>
            <w:noWrap/>
            <w:tcMar>
              <w:top w:w="15" w:type="dxa"/>
              <w:left w:w="0" w:type="dxa"/>
              <w:bottom w:w="0" w:type="dxa"/>
              <w:right w:w="15" w:type="dxa"/>
            </w:tcMar>
            <w:vAlign w:val="bottom"/>
            <w:hideMark/>
          </w:tcPr>
          <w:p w14:paraId="207E04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3" w:type="dxa"/>
            <w:shd w:val="clear" w:color="auto" w:fill="CFF0FC"/>
            <w:tcMar>
              <w:top w:w="15" w:type="dxa"/>
              <w:left w:w="0" w:type="dxa"/>
              <w:bottom w:w="0" w:type="dxa"/>
              <w:right w:w="15" w:type="dxa"/>
            </w:tcMar>
            <w:vAlign w:val="bottom"/>
            <w:hideMark/>
          </w:tcPr>
          <w:p w14:paraId="1D8133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E572981" w14:textId="77777777" w:rsidTr="00AC4931">
        <w:tc>
          <w:tcPr>
            <w:tcW w:w="10617" w:type="dxa"/>
            <w:shd w:val="clear" w:color="auto" w:fill="FFFFFF"/>
            <w:tcMar>
              <w:top w:w="15" w:type="dxa"/>
              <w:left w:w="0" w:type="dxa"/>
              <w:bottom w:w="0" w:type="dxa"/>
              <w:right w:w="15" w:type="dxa"/>
            </w:tcMar>
            <w:hideMark/>
          </w:tcPr>
          <w:p w14:paraId="35FF23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Other, net</w:t>
            </w:r>
          </w:p>
        </w:tc>
        <w:tc>
          <w:tcPr>
            <w:tcW w:w="242" w:type="dxa"/>
            <w:shd w:val="clear" w:color="auto" w:fill="FFFFFF"/>
            <w:tcMar>
              <w:top w:w="15" w:type="dxa"/>
              <w:left w:w="0" w:type="dxa"/>
              <w:bottom w:w="0" w:type="dxa"/>
              <w:right w:w="15" w:type="dxa"/>
            </w:tcMar>
            <w:vAlign w:val="bottom"/>
            <w:hideMark/>
          </w:tcPr>
          <w:p w14:paraId="17F825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25D37B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tcBorders>
              <w:bottom w:val="single" w:sz="6" w:space="0" w:color="000000"/>
            </w:tcBorders>
            <w:shd w:val="clear" w:color="auto" w:fill="FFFFFF"/>
            <w:noWrap/>
            <w:tcMar>
              <w:top w:w="15" w:type="dxa"/>
              <w:left w:w="0" w:type="dxa"/>
              <w:bottom w:w="0" w:type="dxa"/>
              <w:right w:w="15" w:type="dxa"/>
            </w:tcMar>
            <w:vAlign w:val="bottom"/>
            <w:hideMark/>
          </w:tcPr>
          <w:p w14:paraId="3D2BCF5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w:t>
            </w:r>
          </w:p>
        </w:tc>
        <w:tc>
          <w:tcPr>
            <w:tcW w:w="150" w:type="dxa"/>
            <w:shd w:val="clear" w:color="auto" w:fill="FFFFFF"/>
            <w:noWrap/>
            <w:tcMar>
              <w:top w:w="15" w:type="dxa"/>
              <w:left w:w="0" w:type="dxa"/>
              <w:bottom w:w="0" w:type="dxa"/>
              <w:right w:w="15" w:type="dxa"/>
            </w:tcMar>
            <w:vAlign w:val="bottom"/>
            <w:hideMark/>
          </w:tcPr>
          <w:p w14:paraId="54BD2F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2" w:type="dxa"/>
            <w:shd w:val="clear" w:color="auto" w:fill="FFFFFF"/>
            <w:tcMar>
              <w:top w:w="15" w:type="dxa"/>
              <w:left w:w="0" w:type="dxa"/>
              <w:bottom w:w="0" w:type="dxa"/>
              <w:right w:w="15" w:type="dxa"/>
            </w:tcMar>
            <w:vAlign w:val="bottom"/>
            <w:hideMark/>
          </w:tcPr>
          <w:p w14:paraId="78D1D3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24B719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tcBorders>
              <w:bottom w:val="single" w:sz="6" w:space="0" w:color="000000"/>
            </w:tcBorders>
            <w:shd w:val="clear" w:color="auto" w:fill="FFFFFF"/>
            <w:noWrap/>
            <w:tcMar>
              <w:top w:w="15" w:type="dxa"/>
              <w:left w:w="0" w:type="dxa"/>
              <w:bottom w:w="0" w:type="dxa"/>
              <w:right w:w="15" w:type="dxa"/>
            </w:tcMar>
            <w:vAlign w:val="bottom"/>
            <w:hideMark/>
          </w:tcPr>
          <w:p w14:paraId="1F58DAD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w:t>
            </w:r>
          </w:p>
        </w:tc>
        <w:tc>
          <w:tcPr>
            <w:tcW w:w="150" w:type="dxa"/>
            <w:shd w:val="clear" w:color="auto" w:fill="FFFFFF"/>
            <w:noWrap/>
            <w:tcMar>
              <w:top w:w="15" w:type="dxa"/>
              <w:left w:w="0" w:type="dxa"/>
              <w:bottom w:w="0" w:type="dxa"/>
              <w:right w:w="15" w:type="dxa"/>
            </w:tcMar>
            <w:vAlign w:val="bottom"/>
            <w:hideMark/>
          </w:tcPr>
          <w:p w14:paraId="2ED090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125387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298C5D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65" w:type="dxa"/>
            <w:tcBorders>
              <w:bottom w:val="single" w:sz="6" w:space="0" w:color="000000"/>
            </w:tcBorders>
            <w:shd w:val="clear" w:color="auto" w:fill="FFFFFF"/>
            <w:noWrap/>
            <w:tcMar>
              <w:top w:w="15" w:type="dxa"/>
              <w:left w:w="0" w:type="dxa"/>
              <w:bottom w:w="0" w:type="dxa"/>
              <w:right w:w="15" w:type="dxa"/>
            </w:tcMar>
            <w:vAlign w:val="bottom"/>
            <w:hideMark/>
          </w:tcPr>
          <w:p w14:paraId="08EF5F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50" w:type="dxa"/>
            <w:shd w:val="clear" w:color="auto" w:fill="FFFFFF"/>
            <w:noWrap/>
            <w:tcMar>
              <w:top w:w="15" w:type="dxa"/>
              <w:left w:w="0" w:type="dxa"/>
              <w:bottom w:w="0" w:type="dxa"/>
              <w:right w:w="15" w:type="dxa"/>
            </w:tcMar>
            <w:vAlign w:val="bottom"/>
            <w:hideMark/>
          </w:tcPr>
          <w:p w14:paraId="623225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3" w:type="dxa"/>
            <w:shd w:val="clear" w:color="auto" w:fill="FFFFFF"/>
            <w:tcMar>
              <w:top w:w="15" w:type="dxa"/>
              <w:left w:w="0" w:type="dxa"/>
              <w:bottom w:w="0" w:type="dxa"/>
              <w:right w:w="15" w:type="dxa"/>
            </w:tcMar>
            <w:vAlign w:val="bottom"/>
            <w:hideMark/>
          </w:tcPr>
          <w:p w14:paraId="38CAFC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286D416" w14:textId="77777777" w:rsidTr="00AC4931">
        <w:tc>
          <w:tcPr>
            <w:tcW w:w="10617" w:type="dxa"/>
            <w:shd w:val="clear" w:color="auto" w:fill="CFF0FC"/>
            <w:tcMar>
              <w:top w:w="15" w:type="dxa"/>
              <w:left w:w="0" w:type="dxa"/>
              <w:bottom w:w="0" w:type="dxa"/>
              <w:right w:w="15" w:type="dxa"/>
            </w:tcMar>
            <w:hideMark/>
          </w:tcPr>
          <w:p w14:paraId="50E0264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Effective income tax rate</w:t>
            </w:r>
          </w:p>
        </w:tc>
        <w:tc>
          <w:tcPr>
            <w:tcW w:w="242" w:type="dxa"/>
            <w:shd w:val="clear" w:color="auto" w:fill="CFF0FC"/>
            <w:tcMar>
              <w:top w:w="15" w:type="dxa"/>
              <w:left w:w="0" w:type="dxa"/>
              <w:bottom w:w="0" w:type="dxa"/>
              <w:right w:w="15" w:type="dxa"/>
            </w:tcMar>
            <w:vAlign w:val="bottom"/>
            <w:hideMark/>
          </w:tcPr>
          <w:p w14:paraId="422991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FD27E1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265" w:type="dxa"/>
            <w:tcBorders>
              <w:top w:val="single" w:sz="6" w:space="0" w:color="000000"/>
            </w:tcBorders>
            <w:shd w:val="clear" w:color="auto" w:fill="CFF0FC"/>
            <w:noWrap/>
            <w:tcMar>
              <w:top w:w="15" w:type="dxa"/>
              <w:left w:w="0" w:type="dxa"/>
              <w:bottom w:w="0" w:type="dxa"/>
              <w:right w:w="15" w:type="dxa"/>
            </w:tcMar>
            <w:vAlign w:val="bottom"/>
            <w:hideMark/>
          </w:tcPr>
          <w:p w14:paraId="593BF06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35.3</w:t>
            </w:r>
          </w:p>
        </w:tc>
        <w:tc>
          <w:tcPr>
            <w:tcW w:w="150" w:type="dxa"/>
            <w:shd w:val="clear" w:color="auto" w:fill="CFF0FC"/>
            <w:noWrap/>
            <w:tcMar>
              <w:top w:w="15" w:type="dxa"/>
              <w:left w:w="0" w:type="dxa"/>
              <w:bottom w:w="0" w:type="dxa"/>
              <w:right w:w="15" w:type="dxa"/>
            </w:tcMar>
            <w:vAlign w:val="bottom"/>
            <w:hideMark/>
          </w:tcPr>
          <w:p w14:paraId="6B82742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06AF337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A555B4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265" w:type="dxa"/>
            <w:tcBorders>
              <w:top w:val="single" w:sz="6" w:space="0" w:color="000000"/>
            </w:tcBorders>
            <w:shd w:val="clear" w:color="auto" w:fill="CFF0FC"/>
            <w:noWrap/>
            <w:tcMar>
              <w:top w:w="15" w:type="dxa"/>
              <w:left w:w="0" w:type="dxa"/>
              <w:bottom w:w="0" w:type="dxa"/>
              <w:right w:w="15" w:type="dxa"/>
            </w:tcMar>
            <w:vAlign w:val="bottom"/>
            <w:hideMark/>
          </w:tcPr>
          <w:p w14:paraId="079B9BD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28.6</w:t>
            </w:r>
          </w:p>
        </w:tc>
        <w:tc>
          <w:tcPr>
            <w:tcW w:w="150" w:type="dxa"/>
            <w:shd w:val="clear" w:color="auto" w:fill="CFF0FC"/>
            <w:noWrap/>
            <w:tcMar>
              <w:top w:w="15" w:type="dxa"/>
              <w:left w:w="0" w:type="dxa"/>
              <w:bottom w:w="0" w:type="dxa"/>
              <w:right w:w="15" w:type="dxa"/>
            </w:tcMar>
            <w:vAlign w:val="bottom"/>
            <w:hideMark/>
          </w:tcPr>
          <w:p w14:paraId="77B67A4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2E7D89E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11F23E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265" w:type="dxa"/>
            <w:tcBorders>
              <w:top w:val="single" w:sz="6" w:space="0" w:color="000000"/>
            </w:tcBorders>
            <w:shd w:val="clear" w:color="auto" w:fill="CFF0FC"/>
            <w:noWrap/>
            <w:tcMar>
              <w:top w:w="15" w:type="dxa"/>
              <w:left w:w="0" w:type="dxa"/>
              <w:bottom w:w="0" w:type="dxa"/>
              <w:right w:w="15" w:type="dxa"/>
            </w:tcMar>
            <w:vAlign w:val="bottom"/>
            <w:hideMark/>
          </w:tcPr>
          <w:p w14:paraId="42B214D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38.4</w:t>
            </w:r>
          </w:p>
        </w:tc>
        <w:tc>
          <w:tcPr>
            <w:tcW w:w="150" w:type="dxa"/>
            <w:shd w:val="clear" w:color="auto" w:fill="CFF0FC"/>
            <w:noWrap/>
            <w:tcMar>
              <w:top w:w="15" w:type="dxa"/>
              <w:left w:w="0" w:type="dxa"/>
              <w:bottom w:w="0" w:type="dxa"/>
              <w:right w:w="15" w:type="dxa"/>
            </w:tcMar>
            <w:vAlign w:val="bottom"/>
            <w:hideMark/>
          </w:tcPr>
          <w:p w14:paraId="44D72CF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3" w:type="dxa"/>
            <w:shd w:val="clear" w:color="auto" w:fill="CFF0FC"/>
            <w:tcMar>
              <w:top w:w="15" w:type="dxa"/>
              <w:left w:w="0" w:type="dxa"/>
              <w:bottom w:w="0" w:type="dxa"/>
              <w:right w:w="15" w:type="dxa"/>
            </w:tcMar>
            <w:vAlign w:val="bottom"/>
            <w:hideMark/>
          </w:tcPr>
          <w:p w14:paraId="0DE5C36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bl>
    <w:p w14:paraId="49831F44"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46535449"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Deferred income taxes reflect the net tax effects of temporary differences between the carrying amounts of assets and liabilities for financial reporting purposes and the amounts used for income tax purposes. On December 31, 2020, the Company had net operating loss carryforwards (NOL’s) of approximately $328 million, of which approximately $321 million have no expiration date. The remaining losses expire on various dates through 2025. The Company also has $25 million of U.S. Foreign Tax Credit carry forwards, which begin to expire in 2026.</w:t>
      </w:r>
    </w:p>
    <w:p w14:paraId="05D55388"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Valuation allowances have been established which partially offset the related deferred assets. Such allowances are primarily provided against NOL’s of companies that have perennially incurred losses, as well as the NOL’s of companies that are start-up operations and have not established a pattern of profitability. The Company assesses all available evidence, both positive and negative, to determine the amount of any required valuation allowance.</w:t>
      </w:r>
    </w:p>
    <w:p w14:paraId="63F2482B"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foreign tax rate variance reflects the fact that approximately two-thirds of the Company’s non-U.S. pre-tax income is generated by business operations located in tax jurisdictions where the tax rate is between 20-30%. The tax rate from quarter to quarter and from year to year is also impacted by the mix of earnings and tax rates in various jurisdictions compared to the same periods or prior years.</w:t>
      </w:r>
    </w:p>
    <w:p w14:paraId="60C78990"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has reserves for income taxes that may become payable in future periods as a result of tax audits. These reserves represent the Company’s best estimate of the potential liability for tax exposures. Inherent uncertainties exist in estimates of tax exposures due to changes in tax law, both legislated and concluded through the various jurisdictions’ court systems. The Company files income tax returns in the United States federal jurisdiction, and various states and non-U.S. jurisdictions.</w:t>
      </w:r>
    </w:p>
    <w:p w14:paraId="61F54163"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At any given time, the Company is undergoing tax audits in several tax jurisdictions, covering multiple years. The Company is no longer subject to income tax examination by the U.S. Federal tax authorities for years prior to 2015. With few exceptions, the Company is no longer subject to income tax examination by U.S. state or local tax authorities or by non-U.S. tax authorities for years before 2010. The Company is undergoing tax audits in several non-U.S. jurisdictions and several U.S. state jurisdictions, covering multiple years. As of December 31, 2020, as a result of those tax examinations, the Company is not aware of any proposed income tax adjustments that would have a material impact on the Company’s financial statements, however, other audits could result in additional increases or decreases to the unrecognized tax benefits in some future period or periods.</w:t>
      </w:r>
    </w:p>
    <w:p w14:paraId="18DA5845"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recognizes interest and potential penalties accrued related to unrecognized tax benefits in tax expense. As of December 31, 2019, the Company had recorded $65.4 million for unrecognized tax benefits related to prior years, including $8.2 million of accrued interest and penalties. During 2020, the Company recorded a net increase of $0.5 million to income tax reserves for unrecognized tax benefits related to tax positions taken in prior years and reclassified $24.0 million to contra-deferred tax asset to offset excess foreign tax credit carryforwards.. Also during 2020, the Company recorded a net increase of $4.2 million to income tax reserves for unrecognized tax benefits based on tax positions taken in the current year.</w:t>
      </w:r>
    </w:p>
    <w:p w14:paraId="0B7918B9"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70</w:t>
      </w:r>
    </w:p>
    <w:p w14:paraId="3FB639E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CD79AA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6549C5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6FE5466"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BEB82AB">
          <v:rect id="_x0000_i1097" style="width:0;height:1.5pt" o:hralign="center" o:hrstd="t" o:hrnoshade="t" o:hr="t" fillcolor="black" stroked="f"/>
        </w:pict>
      </w:r>
    </w:p>
    <w:p w14:paraId="15F8BFF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2EA65B1"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54BF8C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E942DC8" w14:textId="77777777" w:rsidR="00AC4931" w:rsidRPr="00AC4931" w:rsidRDefault="00AC4931" w:rsidP="00AC4931">
      <w:pPr>
        <w:widowControl/>
        <w:spacing w:before="240"/>
        <w:rPr>
          <w:rFonts w:ascii="Arial" w:eastAsia="宋体" w:hAnsi="Arial" w:cs="Arial" w:hint="eastAsia"/>
          <w:kern w:val="0"/>
          <w:sz w:val="18"/>
          <w:szCs w:val="18"/>
        </w:rPr>
      </w:pPr>
      <w:r w:rsidRPr="00AC4931">
        <w:rPr>
          <w:rFonts w:ascii="Arial" w:eastAsia="宋体" w:hAnsi="Arial" w:cs="Arial"/>
          <w:kern w:val="0"/>
          <w:sz w:val="18"/>
          <w:szCs w:val="18"/>
        </w:rPr>
        <w:t>The Company had $10.2 million accrued for the payment of interest and penalties as of December 31, 2020. Of the total unrecognized tax benefits of $46.1 million recorded at December 31, 2020, $3.1 million is classified as current income tax payable, and $43.0 million is classified as non-current tax payable included in Other Non-Current Liabilities on the Consolidated Balance Sheets. Substantially all of these reserves would impact the effective tax rate if released into income. The following table summarizes the activity related to the Company’s unrecognized tax benefits:</w:t>
      </w:r>
    </w:p>
    <w:p w14:paraId="15AD3EAE"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53"/>
        <w:gridCol w:w="247"/>
        <w:gridCol w:w="159"/>
        <w:gridCol w:w="1314"/>
        <w:gridCol w:w="159"/>
        <w:gridCol w:w="247"/>
        <w:gridCol w:w="159"/>
        <w:gridCol w:w="1314"/>
        <w:gridCol w:w="159"/>
        <w:gridCol w:w="247"/>
        <w:gridCol w:w="159"/>
        <w:gridCol w:w="1314"/>
        <w:gridCol w:w="160"/>
      </w:tblGrid>
      <w:tr w:rsidR="00AC4931" w:rsidRPr="00AC4931" w14:paraId="061743F0" w14:textId="77777777" w:rsidTr="00AC4931">
        <w:tc>
          <w:tcPr>
            <w:tcW w:w="10785" w:type="dxa"/>
            <w:shd w:val="clear" w:color="auto" w:fill="FFFFFF"/>
            <w:tcMar>
              <w:top w:w="15" w:type="dxa"/>
              <w:left w:w="0" w:type="dxa"/>
              <w:bottom w:w="0" w:type="dxa"/>
              <w:right w:w="15" w:type="dxa"/>
            </w:tcMar>
            <w:vAlign w:val="bottom"/>
            <w:hideMark/>
          </w:tcPr>
          <w:p w14:paraId="324A57C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UNRECOGNIZED TAX BENEFITS</w:t>
            </w:r>
          </w:p>
        </w:tc>
        <w:tc>
          <w:tcPr>
            <w:tcW w:w="245" w:type="dxa"/>
            <w:shd w:val="clear" w:color="auto" w:fill="FFFFFF"/>
            <w:tcMar>
              <w:top w:w="15" w:type="dxa"/>
              <w:left w:w="0" w:type="dxa"/>
              <w:bottom w:w="0" w:type="dxa"/>
              <w:right w:w="15" w:type="dxa"/>
            </w:tcMar>
            <w:vAlign w:val="bottom"/>
            <w:hideMark/>
          </w:tcPr>
          <w:p w14:paraId="69163A7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14CDEAE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3AB8990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56D43CF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2734E21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32D29C4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54C2C07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4E5E593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14907CF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DA0E95B" w14:textId="77777777" w:rsidTr="00AC4931">
        <w:tc>
          <w:tcPr>
            <w:tcW w:w="10785" w:type="dxa"/>
            <w:shd w:val="clear" w:color="auto" w:fill="CFF0FC"/>
            <w:tcMar>
              <w:top w:w="15" w:type="dxa"/>
              <w:left w:w="0" w:type="dxa"/>
              <w:bottom w:w="0" w:type="dxa"/>
              <w:right w:w="15" w:type="dxa"/>
            </w:tcMar>
            <w:hideMark/>
          </w:tcPr>
          <w:p w14:paraId="4595FBB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Unrecognized tax benefits at beginning of year</w:t>
            </w:r>
          </w:p>
        </w:tc>
        <w:tc>
          <w:tcPr>
            <w:tcW w:w="245" w:type="dxa"/>
            <w:shd w:val="clear" w:color="auto" w:fill="CFF0FC"/>
            <w:tcMar>
              <w:top w:w="15" w:type="dxa"/>
              <w:left w:w="0" w:type="dxa"/>
              <w:bottom w:w="0" w:type="dxa"/>
              <w:right w:w="15" w:type="dxa"/>
            </w:tcMar>
            <w:vAlign w:val="bottom"/>
            <w:hideMark/>
          </w:tcPr>
          <w:p w14:paraId="25E792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FF1AFF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35F953E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59.0</w:t>
            </w:r>
          </w:p>
        </w:tc>
        <w:tc>
          <w:tcPr>
            <w:tcW w:w="150" w:type="dxa"/>
            <w:shd w:val="clear" w:color="auto" w:fill="CFF0FC"/>
            <w:noWrap/>
            <w:tcMar>
              <w:top w:w="15" w:type="dxa"/>
              <w:left w:w="0" w:type="dxa"/>
              <w:bottom w:w="0" w:type="dxa"/>
              <w:right w:w="15" w:type="dxa"/>
            </w:tcMar>
            <w:vAlign w:val="bottom"/>
            <w:hideMark/>
          </w:tcPr>
          <w:p w14:paraId="39149A5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6671B1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2BE05A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3EEB696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49.6</w:t>
            </w:r>
          </w:p>
        </w:tc>
        <w:tc>
          <w:tcPr>
            <w:tcW w:w="150" w:type="dxa"/>
            <w:shd w:val="clear" w:color="auto" w:fill="CFF0FC"/>
            <w:noWrap/>
            <w:tcMar>
              <w:top w:w="15" w:type="dxa"/>
              <w:left w:w="0" w:type="dxa"/>
              <w:bottom w:w="0" w:type="dxa"/>
              <w:right w:w="15" w:type="dxa"/>
            </w:tcMar>
            <w:vAlign w:val="bottom"/>
            <w:hideMark/>
          </w:tcPr>
          <w:p w14:paraId="6838564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5453FB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4D5E01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0C0236D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29.6</w:t>
            </w:r>
          </w:p>
        </w:tc>
        <w:tc>
          <w:tcPr>
            <w:tcW w:w="151" w:type="dxa"/>
            <w:shd w:val="clear" w:color="auto" w:fill="CFF0FC"/>
            <w:noWrap/>
            <w:tcMar>
              <w:top w:w="15" w:type="dxa"/>
              <w:left w:w="0" w:type="dxa"/>
              <w:bottom w:w="0" w:type="dxa"/>
              <w:right w:w="15" w:type="dxa"/>
            </w:tcMar>
            <w:vAlign w:val="bottom"/>
            <w:hideMark/>
          </w:tcPr>
          <w:p w14:paraId="4BFF565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14F955E" w14:textId="77777777" w:rsidTr="00AC4931">
        <w:tc>
          <w:tcPr>
            <w:tcW w:w="10785" w:type="dxa"/>
            <w:shd w:val="clear" w:color="auto" w:fill="FFFFFF"/>
            <w:tcMar>
              <w:top w:w="15" w:type="dxa"/>
              <w:left w:w="0" w:type="dxa"/>
              <w:bottom w:w="0" w:type="dxa"/>
              <w:right w:w="15" w:type="dxa"/>
            </w:tcMar>
            <w:hideMark/>
          </w:tcPr>
          <w:p w14:paraId="41250B0B"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Increases as a result of tax positions taken during a prior</w:t>
            </w:r>
          </w:p>
          <w:p w14:paraId="45258DAC"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period</w:t>
            </w:r>
          </w:p>
        </w:tc>
        <w:tc>
          <w:tcPr>
            <w:tcW w:w="245" w:type="dxa"/>
            <w:shd w:val="clear" w:color="auto" w:fill="FFFFFF"/>
            <w:tcMar>
              <w:top w:w="15" w:type="dxa"/>
              <w:left w:w="0" w:type="dxa"/>
              <w:bottom w:w="0" w:type="dxa"/>
              <w:right w:w="15" w:type="dxa"/>
            </w:tcMar>
            <w:vAlign w:val="bottom"/>
            <w:hideMark/>
          </w:tcPr>
          <w:p w14:paraId="4CB8CF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90907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1A67ED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0.7</w:t>
            </w:r>
          </w:p>
        </w:tc>
        <w:tc>
          <w:tcPr>
            <w:tcW w:w="150" w:type="dxa"/>
            <w:shd w:val="clear" w:color="auto" w:fill="FFFFFF"/>
            <w:noWrap/>
            <w:tcMar>
              <w:top w:w="15" w:type="dxa"/>
              <w:left w:w="0" w:type="dxa"/>
              <w:bottom w:w="0" w:type="dxa"/>
              <w:right w:w="15" w:type="dxa"/>
            </w:tcMar>
            <w:vAlign w:val="bottom"/>
            <w:hideMark/>
          </w:tcPr>
          <w:p w14:paraId="201F88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74C348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2C4E9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57475DC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w:t>
            </w:r>
          </w:p>
        </w:tc>
        <w:tc>
          <w:tcPr>
            <w:tcW w:w="150" w:type="dxa"/>
            <w:shd w:val="clear" w:color="auto" w:fill="FFFFFF"/>
            <w:noWrap/>
            <w:tcMar>
              <w:top w:w="15" w:type="dxa"/>
              <w:left w:w="0" w:type="dxa"/>
              <w:bottom w:w="0" w:type="dxa"/>
              <w:right w:w="15" w:type="dxa"/>
            </w:tcMar>
            <w:vAlign w:val="bottom"/>
            <w:hideMark/>
          </w:tcPr>
          <w:p w14:paraId="67E6B4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18B4FA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1EF12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7B9EE2E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24.0</w:t>
            </w:r>
          </w:p>
        </w:tc>
        <w:tc>
          <w:tcPr>
            <w:tcW w:w="151" w:type="dxa"/>
            <w:shd w:val="clear" w:color="auto" w:fill="FFFFFF"/>
            <w:noWrap/>
            <w:tcMar>
              <w:top w:w="15" w:type="dxa"/>
              <w:left w:w="0" w:type="dxa"/>
              <w:bottom w:w="0" w:type="dxa"/>
              <w:right w:w="15" w:type="dxa"/>
            </w:tcMar>
            <w:vAlign w:val="bottom"/>
            <w:hideMark/>
          </w:tcPr>
          <w:p w14:paraId="19738F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BBCF7A9" w14:textId="77777777" w:rsidTr="00AC4931">
        <w:tc>
          <w:tcPr>
            <w:tcW w:w="10785" w:type="dxa"/>
            <w:shd w:val="clear" w:color="auto" w:fill="CFF0FC"/>
            <w:tcMar>
              <w:top w:w="15" w:type="dxa"/>
              <w:left w:w="0" w:type="dxa"/>
              <w:bottom w:w="0" w:type="dxa"/>
              <w:right w:w="15" w:type="dxa"/>
            </w:tcMar>
            <w:hideMark/>
          </w:tcPr>
          <w:p w14:paraId="6521DB90"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Increases as a result of tax positions taken during the current</w:t>
            </w:r>
          </w:p>
          <w:p w14:paraId="5EF107CA"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period</w:t>
            </w:r>
          </w:p>
        </w:tc>
        <w:tc>
          <w:tcPr>
            <w:tcW w:w="245" w:type="dxa"/>
            <w:shd w:val="clear" w:color="auto" w:fill="CFF0FC"/>
            <w:tcMar>
              <w:top w:w="15" w:type="dxa"/>
              <w:left w:w="0" w:type="dxa"/>
              <w:bottom w:w="0" w:type="dxa"/>
              <w:right w:w="15" w:type="dxa"/>
            </w:tcMar>
            <w:vAlign w:val="bottom"/>
            <w:hideMark/>
          </w:tcPr>
          <w:p w14:paraId="5FC4CB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BD0A4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2E376B6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w:t>
            </w:r>
          </w:p>
        </w:tc>
        <w:tc>
          <w:tcPr>
            <w:tcW w:w="150" w:type="dxa"/>
            <w:shd w:val="clear" w:color="auto" w:fill="CFF0FC"/>
            <w:noWrap/>
            <w:tcMar>
              <w:top w:w="15" w:type="dxa"/>
              <w:left w:w="0" w:type="dxa"/>
              <w:bottom w:w="0" w:type="dxa"/>
              <w:right w:w="15" w:type="dxa"/>
            </w:tcMar>
            <w:vAlign w:val="bottom"/>
            <w:hideMark/>
          </w:tcPr>
          <w:p w14:paraId="1F2111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52BACA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2EF03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066CBD5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6.1</w:t>
            </w:r>
          </w:p>
        </w:tc>
        <w:tc>
          <w:tcPr>
            <w:tcW w:w="150" w:type="dxa"/>
            <w:shd w:val="clear" w:color="auto" w:fill="CFF0FC"/>
            <w:noWrap/>
            <w:tcMar>
              <w:top w:w="15" w:type="dxa"/>
              <w:left w:w="0" w:type="dxa"/>
              <w:bottom w:w="0" w:type="dxa"/>
              <w:right w:w="15" w:type="dxa"/>
            </w:tcMar>
            <w:vAlign w:val="bottom"/>
            <w:hideMark/>
          </w:tcPr>
          <w:p w14:paraId="14A7B2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0076DB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AC7B8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0AFBABF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w:t>
            </w:r>
          </w:p>
        </w:tc>
        <w:tc>
          <w:tcPr>
            <w:tcW w:w="151" w:type="dxa"/>
            <w:shd w:val="clear" w:color="auto" w:fill="CFF0FC"/>
            <w:noWrap/>
            <w:tcMar>
              <w:top w:w="15" w:type="dxa"/>
              <w:left w:w="0" w:type="dxa"/>
              <w:bottom w:w="0" w:type="dxa"/>
              <w:right w:w="15" w:type="dxa"/>
            </w:tcMar>
            <w:vAlign w:val="bottom"/>
            <w:hideMark/>
          </w:tcPr>
          <w:p w14:paraId="740194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B6886B8" w14:textId="77777777" w:rsidTr="00AC4931">
        <w:tc>
          <w:tcPr>
            <w:tcW w:w="10785" w:type="dxa"/>
            <w:shd w:val="clear" w:color="auto" w:fill="FFFFFF"/>
            <w:tcMar>
              <w:top w:w="15" w:type="dxa"/>
              <w:left w:w="0" w:type="dxa"/>
              <w:bottom w:w="0" w:type="dxa"/>
              <w:right w:w="15" w:type="dxa"/>
            </w:tcMar>
            <w:hideMark/>
          </w:tcPr>
          <w:p w14:paraId="1B75FB1E"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Decreases as a result of tax positions taken during the</w:t>
            </w:r>
          </w:p>
          <w:p w14:paraId="182F76F5"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current period</w:t>
            </w:r>
          </w:p>
        </w:tc>
        <w:tc>
          <w:tcPr>
            <w:tcW w:w="245" w:type="dxa"/>
            <w:shd w:val="clear" w:color="auto" w:fill="FFFFFF"/>
            <w:tcMar>
              <w:top w:w="15" w:type="dxa"/>
              <w:left w:w="0" w:type="dxa"/>
              <w:bottom w:w="0" w:type="dxa"/>
              <w:right w:w="15" w:type="dxa"/>
            </w:tcMar>
            <w:vAlign w:val="bottom"/>
            <w:hideMark/>
          </w:tcPr>
          <w:p w14:paraId="6FF34C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3C301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4B275CF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402598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7D4D49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91607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7D232BA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494E8A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65197D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DF28A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7CA6E9E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w:t>
            </w:r>
          </w:p>
        </w:tc>
        <w:tc>
          <w:tcPr>
            <w:tcW w:w="151" w:type="dxa"/>
            <w:shd w:val="clear" w:color="auto" w:fill="FFFFFF"/>
            <w:noWrap/>
            <w:tcMar>
              <w:top w:w="15" w:type="dxa"/>
              <w:left w:w="0" w:type="dxa"/>
              <w:bottom w:w="0" w:type="dxa"/>
              <w:right w:w="15" w:type="dxa"/>
            </w:tcMar>
            <w:vAlign w:val="bottom"/>
            <w:hideMark/>
          </w:tcPr>
          <w:p w14:paraId="2A68A4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DE533FF" w14:textId="77777777" w:rsidTr="00AC4931">
        <w:tc>
          <w:tcPr>
            <w:tcW w:w="10785" w:type="dxa"/>
            <w:shd w:val="clear" w:color="auto" w:fill="CFF0FC"/>
            <w:tcMar>
              <w:top w:w="15" w:type="dxa"/>
              <w:left w:w="0" w:type="dxa"/>
              <w:bottom w:w="0" w:type="dxa"/>
              <w:right w:w="15" w:type="dxa"/>
            </w:tcMar>
            <w:hideMark/>
          </w:tcPr>
          <w:p w14:paraId="4404F7D7"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Decreases relating to settlements with taxing authorities</w:t>
            </w:r>
          </w:p>
        </w:tc>
        <w:tc>
          <w:tcPr>
            <w:tcW w:w="245" w:type="dxa"/>
            <w:shd w:val="clear" w:color="auto" w:fill="CFF0FC"/>
            <w:tcMar>
              <w:top w:w="15" w:type="dxa"/>
              <w:left w:w="0" w:type="dxa"/>
              <w:bottom w:w="0" w:type="dxa"/>
              <w:right w:w="15" w:type="dxa"/>
            </w:tcMar>
            <w:vAlign w:val="bottom"/>
            <w:hideMark/>
          </w:tcPr>
          <w:p w14:paraId="0DA4D9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8345C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5BBECA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41744D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25E0A5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63ACB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089E45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3ADDCC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69FADB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7B2AD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7CC0C71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w:t>
            </w:r>
          </w:p>
        </w:tc>
        <w:tc>
          <w:tcPr>
            <w:tcW w:w="151" w:type="dxa"/>
            <w:shd w:val="clear" w:color="auto" w:fill="CFF0FC"/>
            <w:noWrap/>
            <w:tcMar>
              <w:top w:w="15" w:type="dxa"/>
              <w:left w:w="0" w:type="dxa"/>
              <w:bottom w:w="0" w:type="dxa"/>
              <w:right w:w="15" w:type="dxa"/>
            </w:tcMar>
            <w:vAlign w:val="bottom"/>
            <w:hideMark/>
          </w:tcPr>
          <w:p w14:paraId="0AA382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B5A7678" w14:textId="77777777" w:rsidTr="00AC4931">
        <w:tc>
          <w:tcPr>
            <w:tcW w:w="10785" w:type="dxa"/>
            <w:shd w:val="clear" w:color="auto" w:fill="FFFFFF"/>
            <w:tcMar>
              <w:top w:w="15" w:type="dxa"/>
              <w:left w:w="0" w:type="dxa"/>
              <w:bottom w:w="0" w:type="dxa"/>
              <w:right w:w="15" w:type="dxa"/>
            </w:tcMar>
            <w:hideMark/>
          </w:tcPr>
          <w:p w14:paraId="1D08A2CB"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Decreases resulting from the lapse of the applicable statute</w:t>
            </w:r>
          </w:p>
          <w:p w14:paraId="6F5A0176"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of limitations</w:t>
            </w:r>
          </w:p>
        </w:tc>
        <w:tc>
          <w:tcPr>
            <w:tcW w:w="245" w:type="dxa"/>
            <w:shd w:val="clear" w:color="auto" w:fill="FFFFFF"/>
            <w:tcMar>
              <w:top w:w="15" w:type="dxa"/>
              <w:left w:w="0" w:type="dxa"/>
              <w:bottom w:w="0" w:type="dxa"/>
              <w:right w:w="15" w:type="dxa"/>
            </w:tcMar>
            <w:vAlign w:val="bottom"/>
            <w:hideMark/>
          </w:tcPr>
          <w:p w14:paraId="6AF703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140CF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4E69181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w:t>
            </w:r>
          </w:p>
        </w:tc>
        <w:tc>
          <w:tcPr>
            <w:tcW w:w="150" w:type="dxa"/>
            <w:shd w:val="clear" w:color="auto" w:fill="FFFFFF"/>
            <w:noWrap/>
            <w:tcMar>
              <w:top w:w="15" w:type="dxa"/>
              <w:left w:w="0" w:type="dxa"/>
              <w:bottom w:w="0" w:type="dxa"/>
              <w:right w:w="15" w:type="dxa"/>
            </w:tcMar>
            <w:vAlign w:val="bottom"/>
            <w:hideMark/>
          </w:tcPr>
          <w:p w14:paraId="30CE1F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6EA2B4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2EE90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45175A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50" w:type="dxa"/>
            <w:shd w:val="clear" w:color="auto" w:fill="FFFFFF"/>
            <w:noWrap/>
            <w:tcMar>
              <w:top w:w="15" w:type="dxa"/>
              <w:left w:w="0" w:type="dxa"/>
              <w:bottom w:w="0" w:type="dxa"/>
              <w:right w:w="15" w:type="dxa"/>
            </w:tcMar>
            <w:vAlign w:val="bottom"/>
            <w:hideMark/>
          </w:tcPr>
          <w:p w14:paraId="2C0A9A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2DC359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A59F3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27E72A7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w:t>
            </w:r>
          </w:p>
        </w:tc>
        <w:tc>
          <w:tcPr>
            <w:tcW w:w="151" w:type="dxa"/>
            <w:shd w:val="clear" w:color="auto" w:fill="FFFFFF"/>
            <w:noWrap/>
            <w:tcMar>
              <w:top w:w="15" w:type="dxa"/>
              <w:left w:w="0" w:type="dxa"/>
              <w:bottom w:w="0" w:type="dxa"/>
              <w:right w:w="15" w:type="dxa"/>
            </w:tcMar>
            <w:vAlign w:val="bottom"/>
            <w:hideMark/>
          </w:tcPr>
          <w:p w14:paraId="6A55DF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4E3F820" w14:textId="77777777" w:rsidTr="00AC4931">
        <w:tc>
          <w:tcPr>
            <w:tcW w:w="10785" w:type="dxa"/>
            <w:shd w:val="clear" w:color="auto" w:fill="CFF0FC"/>
            <w:tcMar>
              <w:top w:w="15" w:type="dxa"/>
              <w:left w:w="0" w:type="dxa"/>
              <w:bottom w:w="0" w:type="dxa"/>
              <w:right w:w="15" w:type="dxa"/>
            </w:tcMar>
            <w:hideMark/>
          </w:tcPr>
          <w:p w14:paraId="587FD2C0"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Translation Difference</w:t>
            </w:r>
          </w:p>
        </w:tc>
        <w:tc>
          <w:tcPr>
            <w:tcW w:w="245" w:type="dxa"/>
            <w:shd w:val="clear" w:color="auto" w:fill="CFF0FC"/>
            <w:tcMar>
              <w:top w:w="15" w:type="dxa"/>
              <w:left w:w="0" w:type="dxa"/>
              <w:bottom w:w="0" w:type="dxa"/>
              <w:right w:w="15" w:type="dxa"/>
            </w:tcMar>
            <w:vAlign w:val="bottom"/>
            <w:hideMark/>
          </w:tcPr>
          <w:p w14:paraId="3AC505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335E28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3E38D36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w:t>
            </w:r>
          </w:p>
        </w:tc>
        <w:tc>
          <w:tcPr>
            <w:tcW w:w="150" w:type="dxa"/>
            <w:shd w:val="clear" w:color="auto" w:fill="CFF0FC"/>
            <w:noWrap/>
            <w:tcMar>
              <w:top w:w="15" w:type="dxa"/>
              <w:left w:w="0" w:type="dxa"/>
              <w:bottom w:w="0" w:type="dxa"/>
              <w:right w:w="15" w:type="dxa"/>
            </w:tcMar>
            <w:vAlign w:val="bottom"/>
            <w:hideMark/>
          </w:tcPr>
          <w:p w14:paraId="25136D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7566AD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7F08C1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0DF6408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50" w:type="dxa"/>
            <w:shd w:val="clear" w:color="auto" w:fill="CFF0FC"/>
            <w:noWrap/>
            <w:tcMar>
              <w:top w:w="15" w:type="dxa"/>
              <w:left w:w="0" w:type="dxa"/>
              <w:bottom w:w="0" w:type="dxa"/>
              <w:right w:w="15" w:type="dxa"/>
            </w:tcMar>
            <w:vAlign w:val="bottom"/>
            <w:hideMark/>
          </w:tcPr>
          <w:p w14:paraId="3B1629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5C4B7E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5737CB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127EFF3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w:t>
            </w:r>
          </w:p>
        </w:tc>
        <w:tc>
          <w:tcPr>
            <w:tcW w:w="151" w:type="dxa"/>
            <w:shd w:val="clear" w:color="auto" w:fill="CFF0FC"/>
            <w:noWrap/>
            <w:tcMar>
              <w:top w:w="15" w:type="dxa"/>
              <w:left w:w="0" w:type="dxa"/>
              <w:bottom w:w="0" w:type="dxa"/>
              <w:right w:w="15" w:type="dxa"/>
            </w:tcMar>
            <w:vAlign w:val="bottom"/>
            <w:hideMark/>
          </w:tcPr>
          <w:p w14:paraId="2D11F4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FD0F54A" w14:textId="77777777" w:rsidTr="00AC4931">
        <w:tc>
          <w:tcPr>
            <w:tcW w:w="10785" w:type="dxa"/>
            <w:shd w:val="clear" w:color="auto" w:fill="FFFFFF"/>
            <w:tcMar>
              <w:top w:w="15" w:type="dxa"/>
              <w:left w:w="0" w:type="dxa"/>
              <w:bottom w:w="0" w:type="dxa"/>
              <w:right w:w="15" w:type="dxa"/>
            </w:tcMar>
            <w:hideMark/>
          </w:tcPr>
          <w:p w14:paraId="58B2995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unrecognized tax benefits at end of year</w:t>
            </w:r>
          </w:p>
        </w:tc>
        <w:tc>
          <w:tcPr>
            <w:tcW w:w="245" w:type="dxa"/>
            <w:shd w:val="clear" w:color="auto" w:fill="FFFFFF"/>
            <w:tcMar>
              <w:top w:w="15" w:type="dxa"/>
              <w:left w:w="0" w:type="dxa"/>
              <w:bottom w:w="0" w:type="dxa"/>
              <w:right w:w="15" w:type="dxa"/>
            </w:tcMar>
            <w:vAlign w:val="bottom"/>
            <w:hideMark/>
          </w:tcPr>
          <w:p w14:paraId="56B1CE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E41CB0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D15E53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62.5</w:t>
            </w:r>
          </w:p>
        </w:tc>
        <w:tc>
          <w:tcPr>
            <w:tcW w:w="150" w:type="dxa"/>
            <w:shd w:val="clear" w:color="auto" w:fill="FFFFFF"/>
            <w:noWrap/>
            <w:tcMar>
              <w:top w:w="15" w:type="dxa"/>
              <w:left w:w="0" w:type="dxa"/>
              <w:bottom w:w="0" w:type="dxa"/>
              <w:right w:w="15" w:type="dxa"/>
            </w:tcMar>
            <w:vAlign w:val="bottom"/>
            <w:hideMark/>
          </w:tcPr>
          <w:p w14:paraId="0C065E2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6B5687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186423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6A67CB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59.0</w:t>
            </w:r>
          </w:p>
        </w:tc>
        <w:tc>
          <w:tcPr>
            <w:tcW w:w="150" w:type="dxa"/>
            <w:shd w:val="clear" w:color="auto" w:fill="FFFFFF"/>
            <w:noWrap/>
            <w:tcMar>
              <w:top w:w="15" w:type="dxa"/>
              <w:left w:w="0" w:type="dxa"/>
              <w:bottom w:w="0" w:type="dxa"/>
              <w:right w:w="15" w:type="dxa"/>
            </w:tcMar>
            <w:vAlign w:val="bottom"/>
            <w:hideMark/>
          </w:tcPr>
          <w:p w14:paraId="7C0B386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557F52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0819B1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727810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49.6</w:t>
            </w:r>
          </w:p>
        </w:tc>
        <w:tc>
          <w:tcPr>
            <w:tcW w:w="151" w:type="dxa"/>
            <w:shd w:val="clear" w:color="auto" w:fill="FFFFFF"/>
            <w:noWrap/>
            <w:tcMar>
              <w:top w:w="15" w:type="dxa"/>
              <w:left w:w="0" w:type="dxa"/>
              <w:bottom w:w="0" w:type="dxa"/>
              <w:right w:w="15" w:type="dxa"/>
            </w:tcMar>
            <w:vAlign w:val="bottom"/>
            <w:hideMark/>
          </w:tcPr>
          <w:p w14:paraId="218E6BF9"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3E5EFCD0"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5D1584D0"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tax effect of temporary differences and carryforwards that comprise significant portions of deferred tax assets and liabilities were as follows.</w:t>
      </w:r>
    </w:p>
    <w:p w14:paraId="1D9503D2"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53"/>
        <w:gridCol w:w="247"/>
        <w:gridCol w:w="159"/>
        <w:gridCol w:w="1314"/>
        <w:gridCol w:w="159"/>
        <w:gridCol w:w="247"/>
        <w:gridCol w:w="159"/>
        <w:gridCol w:w="1314"/>
        <w:gridCol w:w="159"/>
        <w:gridCol w:w="247"/>
        <w:gridCol w:w="159"/>
        <w:gridCol w:w="1314"/>
        <w:gridCol w:w="160"/>
      </w:tblGrid>
      <w:tr w:rsidR="00AC4931" w:rsidRPr="00AC4931" w14:paraId="2E62A59E" w14:textId="77777777" w:rsidTr="00AC4931">
        <w:tc>
          <w:tcPr>
            <w:tcW w:w="10785" w:type="dxa"/>
            <w:shd w:val="clear" w:color="auto" w:fill="FFFFFF"/>
            <w:tcMar>
              <w:top w:w="15" w:type="dxa"/>
              <w:left w:w="0" w:type="dxa"/>
              <w:bottom w:w="0" w:type="dxa"/>
              <w:right w:w="15" w:type="dxa"/>
            </w:tcMar>
            <w:vAlign w:val="bottom"/>
            <w:hideMark/>
          </w:tcPr>
          <w:p w14:paraId="78C0441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DEFERRED TAXES</w:t>
            </w:r>
          </w:p>
        </w:tc>
        <w:tc>
          <w:tcPr>
            <w:tcW w:w="245" w:type="dxa"/>
            <w:shd w:val="clear" w:color="auto" w:fill="FFFFFF"/>
            <w:tcMar>
              <w:top w:w="15" w:type="dxa"/>
              <w:left w:w="0" w:type="dxa"/>
              <w:bottom w:w="0" w:type="dxa"/>
              <w:right w:w="15" w:type="dxa"/>
            </w:tcMar>
            <w:vAlign w:val="bottom"/>
            <w:hideMark/>
          </w:tcPr>
          <w:p w14:paraId="0301E88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0" w:type="dxa"/>
            <w:shd w:val="clear" w:color="auto" w:fill="FFFFFF"/>
            <w:noWrap/>
            <w:tcMar>
              <w:top w:w="15" w:type="dxa"/>
              <w:left w:w="0" w:type="dxa"/>
              <w:bottom w:w="0" w:type="dxa"/>
              <w:right w:w="15" w:type="dxa"/>
            </w:tcMar>
            <w:vAlign w:val="bottom"/>
            <w:hideMark/>
          </w:tcPr>
          <w:p w14:paraId="7B431EC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292" w:type="dxa"/>
            <w:shd w:val="clear" w:color="auto" w:fill="FFFFFF"/>
            <w:noWrap/>
            <w:tcMar>
              <w:top w:w="15" w:type="dxa"/>
              <w:left w:w="0" w:type="dxa"/>
              <w:bottom w:w="0" w:type="dxa"/>
              <w:right w:w="15" w:type="dxa"/>
            </w:tcMar>
            <w:vAlign w:val="bottom"/>
            <w:hideMark/>
          </w:tcPr>
          <w:p w14:paraId="59014D1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0" w:type="dxa"/>
            <w:shd w:val="clear" w:color="auto" w:fill="FFFFFF"/>
            <w:noWrap/>
            <w:tcMar>
              <w:top w:w="15" w:type="dxa"/>
              <w:left w:w="0" w:type="dxa"/>
              <w:bottom w:w="0" w:type="dxa"/>
              <w:right w:w="15" w:type="dxa"/>
            </w:tcMar>
            <w:vAlign w:val="bottom"/>
            <w:hideMark/>
          </w:tcPr>
          <w:p w14:paraId="21F6E86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183FC0F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0" w:type="dxa"/>
            <w:shd w:val="clear" w:color="auto" w:fill="FFFFFF"/>
            <w:noWrap/>
            <w:tcMar>
              <w:top w:w="15" w:type="dxa"/>
              <w:left w:w="0" w:type="dxa"/>
              <w:bottom w:w="0" w:type="dxa"/>
              <w:right w:w="15" w:type="dxa"/>
            </w:tcMar>
            <w:vAlign w:val="bottom"/>
            <w:hideMark/>
          </w:tcPr>
          <w:p w14:paraId="60D9B67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292" w:type="dxa"/>
            <w:shd w:val="clear" w:color="auto" w:fill="FFFFFF"/>
            <w:noWrap/>
            <w:tcMar>
              <w:top w:w="15" w:type="dxa"/>
              <w:left w:w="0" w:type="dxa"/>
              <w:bottom w:w="0" w:type="dxa"/>
              <w:right w:w="15" w:type="dxa"/>
            </w:tcMar>
            <w:vAlign w:val="bottom"/>
            <w:hideMark/>
          </w:tcPr>
          <w:p w14:paraId="1B3ACA8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0" w:type="dxa"/>
            <w:shd w:val="clear" w:color="auto" w:fill="FFFFFF"/>
            <w:noWrap/>
            <w:tcMar>
              <w:top w:w="15" w:type="dxa"/>
              <w:left w:w="0" w:type="dxa"/>
              <w:bottom w:w="0" w:type="dxa"/>
              <w:right w:w="15" w:type="dxa"/>
            </w:tcMar>
            <w:vAlign w:val="bottom"/>
            <w:hideMark/>
          </w:tcPr>
          <w:p w14:paraId="397967B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018C2E2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0" w:type="dxa"/>
            <w:shd w:val="clear" w:color="auto" w:fill="FFFFFF"/>
            <w:noWrap/>
            <w:tcMar>
              <w:top w:w="15" w:type="dxa"/>
              <w:left w:w="0" w:type="dxa"/>
              <w:bottom w:w="0" w:type="dxa"/>
              <w:right w:w="15" w:type="dxa"/>
            </w:tcMar>
            <w:vAlign w:val="bottom"/>
            <w:hideMark/>
          </w:tcPr>
          <w:p w14:paraId="79D22AE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292" w:type="dxa"/>
            <w:shd w:val="clear" w:color="auto" w:fill="FFFFFF"/>
            <w:noWrap/>
            <w:tcMar>
              <w:top w:w="15" w:type="dxa"/>
              <w:left w:w="0" w:type="dxa"/>
              <w:bottom w:w="0" w:type="dxa"/>
              <w:right w:w="15" w:type="dxa"/>
            </w:tcMar>
            <w:vAlign w:val="bottom"/>
            <w:hideMark/>
          </w:tcPr>
          <w:p w14:paraId="0EC509B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51" w:type="dxa"/>
            <w:shd w:val="clear" w:color="auto" w:fill="FFFFFF"/>
            <w:noWrap/>
            <w:tcMar>
              <w:top w:w="15" w:type="dxa"/>
              <w:left w:w="0" w:type="dxa"/>
              <w:bottom w:w="0" w:type="dxa"/>
              <w:right w:w="15" w:type="dxa"/>
            </w:tcMar>
            <w:vAlign w:val="bottom"/>
            <w:hideMark/>
          </w:tcPr>
          <w:p w14:paraId="38123AB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49F907B8" w14:textId="77777777" w:rsidTr="00AC4931">
        <w:tc>
          <w:tcPr>
            <w:tcW w:w="10785" w:type="dxa"/>
            <w:shd w:val="clear" w:color="auto" w:fill="FFFFFF"/>
            <w:tcMar>
              <w:top w:w="15" w:type="dxa"/>
              <w:left w:w="0" w:type="dxa"/>
              <w:bottom w:w="0" w:type="dxa"/>
              <w:right w:w="15" w:type="dxa"/>
            </w:tcMar>
            <w:vAlign w:val="bottom"/>
            <w:hideMark/>
          </w:tcPr>
          <w:p w14:paraId="197867E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DECEMBER 31</w:t>
            </w:r>
          </w:p>
        </w:tc>
        <w:tc>
          <w:tcPr>
            <w:tcW w:w="245" w:type="dxa"/>
            <w:shd w:val="clear" w:color="auto" w:fill="FFFFFF"/>
            <w:tcMar>
              <w:top w:w="15" w:type="dxa"/>
              <w:left w:w="0" w:type="dxa"/>
              <w:bottom w:w="0" w:type="dxa"/>
              <w:right w:w="15" w:type="dxa"/>
            </w:tcMar>
            <w:vAlign w:val="bottom"/>
            <w:hideMark/>
          </w:tcPr>
          <w:p w14:paraId="3B36EA0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44BCD19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1AC1F09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1D379D0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799117D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4E4DB48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16139C4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095E0AB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77CE8CB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64E13B1" w14:textId="77777777" w:rsidTr="00AC4931">
        <w:tc>
          <w:tcPr>
            <w:tcW w:w="10785" w:type="dxa"/>
            <w:shd w:val="clear" w:color="auto" w:fill="CFF0FC"/>
            <w:tcMar>
              <w:top w:w="15" w:type="dxa"/>
              <w:left w:w="0" w:type="dxa"/>
              <w:bottom w:w="0" w:type="dxa"/>
              <w:right w:w="15" w:type="dxa"/>
            </w:tcMar>
            <w:hideMark/>
          </w:tcPr>
          <w:p w14:paraId="71AA035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Assets</w:t>
            </w:r>
          </w:p>
        </w:tc>
        <w:tc>
          <w:tcPr>
            <w:tcW w:w="245" w:type="dxa"/>
            <w:shd w:val="clear" w:color="auto" w:fill="CFF0FC"/>
            <w:tcMar>
              <w:top w:w="15" w:type="dxa"/>
              <w:left w:w="0" w:type="dxa"/>
              <w:bottom w:w="0" w:type="dxa"/>
              <w:right w:w="15" w:type="dxa"/>
            </w:tcMar>
            <w:vAlign w:val="bottom"/>
            <w:hideMark/>
          </w:tcPr>
          <w:p w14:paraId="225032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799DBF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33C369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AAEFF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567BEB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B0902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53C305F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BC968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78CDA6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48A87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5181ECC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 w:type="dxa"/>
            <w:shd w:val="clear" w:color="auto" w:fill="CFF0FC"/>
            <w:noWrap/>
            <w:tcMar>
              <w:top w:w="15" w:type="dxa"/>
              <w:left w:w="0" w:type="dxa"/>
              <w:bottom w:w="0" w:type="dxa"/>
              <w:right w:w="15" w:type="dxa"/>
            </w:tcMar>
            <w:vAlign w:val="bottom"/>
            <w:hideMark/>
          </w:tcPr>
          <w:p w14:paraId="006463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019BCA0" w14:textId="77777777" w:rsidTr="00AC4931">
        <w:tc>
          <w:tcPr>
            <w:tcW w:w="10785" w:type="dxa"/>
            <w:shd w:val="clear" w:color="auto" w:fill="FFFFFF"/>
            <w:tcMar>
              <w:top w:w="15" w:type="dxa"/>
              <w:left w:w="0" w:type="dxa"/>
              <w:bottom w:w="0" w:type="dxa"/>
              <w:right w:w="15" w:type="dxa"/>
            </w:tcMar>
            <w:hideMark/>
          </w:tcPr>
          <w:p w14:paraId="1C5633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Provisions</w:t>
            </w:r>
          </w:p>
        </w:tc>
        <w:tc>
          <w:tcPr>
            <w:tcW w:w="245" w:type="dxa"/>
            <w:shd w:val="clear" w:color="auto" w:fill="FFFFFF"/>
            <w:tcMar>
              <w:top w:w="15" w:type="dxa"/>
              <w:left w:w="0" w:type="dxa"/>
              <w:bottom w:w="0" w:type="dxa"/>
              <w:right w:w="15" w:type="dxa"/>
            </w:tcMar>
            <w:vAlign w:val="bottom"/>
            <w:hideMark/>
          </w:tcPr>
          <w:p w14:paraId="320B91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0DEC1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7CB705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141.2</w:t>
            </w:r>
          </w:p>
        </w:tc>
        <w:tc>
          <w:tcPr>
            <w:tcW w:w="150" w:type="dxa"/>
            <w:shd w:val="clear" w:color="auto" w:fill="FFFFFF"/>
            <w:noWrap/>
            <w:tcMar>
              <w:top w:w="15" w:type="dxa"/>
              <w:left w:w="0" w:type="dxa"/>
              <w:bottom w:w="0" w:type="dxa"/>
              <w:right w:w="15" w:type="dxa"/>
            </w:tcMar>
            <w:vAlign w:val="bottom"/>
            <w:hideMark/>
          </w:tcPr>
          <w:p w14:paraId="146621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2D1E22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82FAC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5807FD1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105.2</w:t>
            </w:r>
          </w:p>
        </w:tc>
        <w:tc>
          <w:tcPr>
            <w:tcW w:w="150" w:type="dxa"/>
            <w:shd w:val="clear" w:color="auto" w:fill="FFFFFF"/>
            <w:noWrap/>
            <w:tcMar>
              <w:top w:w="15" w:type="dxa"/>
              <w:left w:w="0" w:type="dxa"/>
              <w:bottom w:w="0" w:type="dxa"/>
              <w:right w:w="15" w:type="dxa"/>
            </w:tcMar>
            <w:vAlign w:val="bottom"/>
            <w:hideMark/>
          </w:tcPr>
          <w:p w14:paraId="458554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27195A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29E9C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69F12B8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104.9</w:t>
            </w:r>
          </w:p>
        </w:tc>
        <w:tc>
          <w:tcPr>
            <w:tcW w:w="151" w:type="dxa"/>
            <w:shd w:val="clear" w:color="auto" w:fill="FFFFFF"/>
            <w:noWrap/>
            <w:tcMar>
              <w:top w:w="15" w:type="dxa"/>
              <w:left w:w="0" w:type="dxa"/>
              <w:bottom w:w="0" w:type="dxa"/>
              <w:right w:w="15" w:type="dxa"/>
            </w:tcMar>
            <w:vAlign w:val="bottom"/>
            <w:hideMark/>
          </w:tcPr>
          <w:p w14:paraId="64208E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54C69AB" w14:textId="77777777" w:rsidTr="00AC4931">
        <w:tc>
          <w:tcPr>
            <w:tcW w:w="10785" w:type="dxa"/>
            <w:shd w:val="clear" w:color="auto" w:fill="CFF0FC"/>
            <w:tcMar>
              <w:top w:w="15" w:type="dxa"/>
              <w:left w:w="0" w:type="dxa"/>
              <w:bottom w:w="0" w:type="dxa"/>
              <w:right w:w="15" w:type="dxa"/>
            </w:tcMar>
            <w:hideMark/>
          </w:tcPr>
          <w:p w14:paraId="06661B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Costs capitalized for tax</w:t>
            </w:r>
          </w:p>
        </w:tc>
        <w:tc>
          <w:tcPr>
            <w:tcW w:w="245" w:type="dxa"/>
            <w:shd w:val="clear" w:color="auto" w:fill="CFF0FC"/>
            <w:tcMar>
              <w:top w:w="15" w:type="dxa"/>
              <w:left w:w="0" w:type="dxa"/>
              <w:bottom w:w="0" w:type="dxa"/>
              <w:right w:w="15" w:type="dxa"/>
            </w:tcMar>
            <w:vAlign w:val="bottom"/>
            <w:hideMark/>
          </w:tcPr>
          <w:p w14:paraId="163E5F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1F203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6C6FA7A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21.3</w:t>
            </w:r>
          </w:p>
        </w:tc>
        <w:tc>
          <w:tcPr>
            <w:tcW w:w="150" w:type="dxa"/>
            <w:shd w:val="clear" w:color="auto" w:fill="CFF0FC"/>
            <w:noWrap/>
            <w:tcMar>
              <w:top w:w="15" w:type="dxa"/>
              <w:left w:w="0" w:type="dxa"/>
              <w:bottom w:w="0" w:type="dxa"/>
              <w:right w:w="15" w:type="dxa"/>
            </w:tcMar>
            <w:vAlign w:val="bottom"/>
            <w:hideMark/>
          </w:tcPr>
          <w:p w14:paraId="127FFD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531D87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EF402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61FFE2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25.5</w:t>
            </w:r>
          </w:p>
        </w:tc>
        <w:tc>
          <w:tcPr>
            <w:tcW w:w="150" w:type="dxa"/>
            <w:shd w:val="clear" w:color="auto" w:fill="CFF0FC"/>
            <w:noWrap/>
            <w:tcMar>
              <w:top w:w="15" w:type="dxa"/>
              <w:left w:w="0" w:type="dxa"/>
              <w:bottom w:w="0" w:type="dxa"/>
              <w:right w:w="15" w:type="dxa"/>
            </w:tcMar>
            <w:vAlign w:val="bottom"/>
            <w:hideMark/>
          </w:tcPr>
          <w:p w14:paraId="309E35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4074A1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57375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495C84A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18.2</w:t>
            </w:r>
          </w:p>
        </w:tc>
        <w:tc>
          <w:tcPr>
            <w:tcW w:w="151" w:type="dxa"/>
            <w:shd w:val="clear" w:color="auto" w:fill="CFF0FC"/>
            <w:noWrap/>
            <w:tcMar>
              <w:top w:w="15" w:type="dxa"/>
              <w:left w:w="0" w:type="dxa"/>
              <w:bottom w:w="0" w:type="dxa"/>
              <w:right w:w="15" w:type="dxa"/>
            </w:tcMar>
            <w:vAlign w:val="bottom"/>
            <w:hideMark/>
          </w:tcPr>
          <w:p w14:paraId="7D59B3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78B2D52" w14:textId="77777777" w:rsidTr="00AC4931">
        <w:tc>
          <w:tcPr>
            <w:tcW w:w="10785" w:type="dxa"/>
            <w:shd w:val="clear" w:color="auto" w:fill="FFFFFF"/>
            <w:tcMar>
              <w:top w:w="15" w:type="dxa"/>
              <w:left w:w="0" w:type="dxa"/>
              <w:bottom w:w="0" w:type="dxa"/>
              <w:right w:w="15" w:type="dxa"/>
            </w:tcMar>
            <w:hideMark/>
          </w:tcPr>
          <w:p w14:paraId="0F7ECB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Property, plant and equipment</w:t>
            </w:r>
          </w:p>
        </w:tc>
        <w:tc>
          <w:tcPr>
            <w:tcW w:w="245" w:type="dxa"/>
            <w:shd w:val="clear" w:color="auto" w:fill="FFFFFF"/>
            <w:tcMar>
              <w:top w:w="15" w:type="dxa"/>
              <w:left w:w="0" w:type="dxa"/>
              <w:bottom w:w="0" w:type="dxa"/>
              <w:right w:w="15" w:type="dxa"/>
            </w:tcMar>
            <w:vAlign w:val="bottom"/>
            <w:hideMark/>
          </w:tcPr>
          <w:p w14:paraId="0E3F49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CE311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1E2727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w:t>
            </w:r>
          </w:p>
        </w:tc>
        <w:tc>
          <w:tcPr>
            <w:tcW w:w="150" w:type="dxa"/>
            <w:shd w:val="clear" w:color="auto" w:fill="FFFFFF"/>
            <w:noWrap/>
            <w:tcMar>
              <w:top w:w="15" w:type="dxa"/>
              <w:left w:w="0" w:type="dxa"/>
              <w:bottom w:w="0" w:type="dxa"/>
              <w:right w:w="15" w:type="dxa"/>
            </w:tcMar>
            <w:vAlign w:val="bottom"/>
            <w:hideMark/>
          </w:tcPr>
          <w:p w14:paraId="5F240C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05084B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A360B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767710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9.8</w:t>
            </w:r>
          </w:p>
        </w:tc>
        <w:tc>
          <w:tcPr>
            <w:tcW w:w="150" w:type="dxa"/>
            <w:shd w:val="clear" w:color="auto" w:fill="FFFFFF"/>
            <w:noWrap/>
            <w:tcMar>
              <w:top w:w="15" w:type="dxa"/>
              <w:left w:w="0" w:type="dxa"/>
              <w:bottom w:w="0" w:type="dxa"/>
              <w:right w:w="15" w:type="dxa"/>
            </w:tcMar>
            <w:vAlign w:val="bottom"/>
            <w:hideMark/>
          </w:tcPr>
          <w:p w14:paraId="50C1CB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359C90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2523B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37CDCE7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13.0</w:t>
            </w:r>
          </w:p>
        </w:tc>
        <w:tc>
          <w:tcPr>
            <w:tcW w:w="151" w:type="dxa"/>
            <w:shd w:val="clear" w:color="auto" w:fill="FFFFFF"/>
            <w:noWrap/>
            <w:tcMar>
              <w:top w:w="15" w:type="dxa"/>
              <w:left w:w="0" w:type="dxa"/>
              <w:bottom w:w="0" w:type="dxa"/>
              <w:right w:w="15" w:type="dxa"/>
            </w:tcMar>
            <w:vAlign w:val="bottom"/>
            <w:hideMark/>
          </w:tcPr>
          <w:p w14:paraId="6D7689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21F6481" w14:textId="77777777" w:rsidTr="00AC4931">
        <w:tc>
          <w:tcPr>
            <w:tcW w:w="10785" w:type="dxa"/>
            <w:shd w:val="clear" w:color="auto" w:fill="CFF0FC"/>
            <w:tcMar>
              <w:top w:w="15" w:type="dxa"/>
              <w:left w:w="0" w:type="dxa"/>
              <w:bottom w:w="0" w:type="dxa"/>
              <w:right w:w="15" w:type="dxa"/>
            </w:tcMar>
            <w:hideMark/>
          </w:tcPr>
          <w:p w14:paraId="31568D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Retirement Plans</w:t>
            </w:r>
          </w:p>
        </w:tc>
        <w:tc>
          <w:tcPr>
            <w:tcW w:w="245" w:type="dxa"/>
            <w:shd w:val="clear" w:color="auto" w:fill="CFF0FC"/>
            <w:tcMar>
              <w:top w:w="15" w:type="dxa"/>
              <w:left w:w="0" w:type="dxa"/>
              <w:bottom w:w="0" w:type="dxa"/>
              <w:right w:w="15" w:type="dxa"/>
            </w:tcMar>
            <w:vAlign w:val="bottom"/>
            <w:hideMark/>
          </w:tcPr>
          <w:p w14:paraId="607BE1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B7DCB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73FB0A0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58.7</w:t>
            </w:r>
          </w:p>
        </w:tc>
        <w:tc>
          <w:tcPr>
            <w:tcW w:w="150" w:type="dxa"/>
            <w:shd w:val="clear" w:color="auto" w:fill="CFF0FC"/>
            <w:noWrap/>
            <w:tcMar>
              <w:top w:w="15" w:type="dxa"/>
              <w:left w:w="0" w:type="dxa"/>
              <w:bottom w:w="0" w:type="dxa"/>
              <w:right w:w="15" w:type="dxa"/>
            </w:tcMar>
            <w:vAlign w:val="bottom"/>
            <w:hideMark/>
          </w:tcPr>
          <w:p w14:paraId="00BD98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047CF4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8BB69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58CA300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60.6</w:t>
            </w:r>
          </w:p>
        </w:tc>
        <w:tc>
          <w:tcPr>
            <w:tcW w:w="150" w:type="dxa"/>
            <w:shd w:val="clear" w:color="auto" w:fill="CFF0FC"/>
            <w:noWrap/>
            <w:tcMar>
              <w:top w:w="15" w:type="dxa"/>
              <w:left w:w="0" w:type="dxa"/>
              <w:bottom w:w="0" w:type="dxa"/>
              <w:right w:w="15" w:type="dxa"/>
            </w:tcMar>
            <w:vAlign w:val="bottom"/>
            <w:hideMark/>
          </w:tcPr>
          <w:p w14:paraId="5FA1CB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5D0895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D4E3C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2D84287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50.1</w:t>
            </w:r>
          </w:p>
        </w:tc>
        <w:tc>
          <w:tcPr>
            <w:tcW w:w="151" w:type="dxa"/>
            <w:shd w:val="clear" w:color="auto" w:fill="CFF0FC"/>
            <w:noWrap/>
            <w:tcMar>
              <w:top w:w="15" w:type="dxa"/>
              <w:left w:w="0" w:type="dxa"/>
              <w:bottom w:w="0" w:type="dxa"/>
              <w:right w:w="15" w:type="dxa"/>
            </w:tcMar>
            <w:vAlign w:val="bottom"/>
            <w:hideMark/>
          </w:tcPr>
          <w:p w14:paraId="421030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2E6F79C" w14:textId="77777777" w:rsidTr="00AC4931">
        <w:tc>
          <w:tcPr>
            <w:tcW w:w="10785" w:type="dxa"/>
            <w:shd w:val="clear" w:color="auto" w:fill="FFFFFF"/>
            <w:tcMar>
              <w:top w:w="15" w:type="dxa"/>
              <w:left w:w="0" w:type="dxa"/>
              <w:bottom w:w="0" w:type="dxa"/>
              <w:right w:w="15" w:type="dxa"/>
            </w:tcMar>
            <w:hideMark/>
          </w:tcPr>
          <w:p w14:paraId="095F49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Tax receivables, principally NOL’s</w:t>
            </w:r>
          </w:p>
        </w:tc>
        <w:tc>
          <w:tcPr>
            <w:tcW w:w="245" w:type="dxa"/>
            <w:shd w:val="clear" w:color="auto" w:fill="FFFFFF"/>
            <w:tcMar>
              <w:top w:w="15" w:type="dxa"/>
              <w:left w:w="0" w:type="dxa"/>
              <w:bottom w:w="0" w:type="dxa"/>
              <w:right w:w="15" w:type="dxa"/>
            </w:tcMar>
            <w:vAlign w:val="bottom"/>
            <w:hideMark/>
          </w:tcPr>
          <w:p w14:paraId="278948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58A5E5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6F5139E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109.7</w:t>
            </w:r>
          </w:p>
        </w:tc>
        <w:tc>
          <w:tcPr>
            <w:tcW w:w="150" w:type="dxa"/>
            <w:shd w:val="clear" w:color="auto" w:fill="FFFFFF"/>
            <w:noWrap/>
            <w:tcMar>
              <w:top w:w="15" w:type="dxa"/>
              <w:left w:w="0" w:type="dxa"/>
              <w:bottom w:w="0" w:type="dxa"/>
              <w:right w:w="15" w:type="dxa"/>
            </w:tcMar>
            <w:vAlign w:val="bottom"/>
            <w:hideMark/>
          </w:tcPr>
          <w:p w14:paraId="1A27B6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009E91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5E51FF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0AC0E4E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93.8</w:t>
            </w:r>
          </w:p>
        </w:tc>
        <w:tc>
          <w:tcPr>
            <w:tcW w:w="150" w:type="dxa"/>
            <w:shd w:val="clear" w:color="auto" w:fill="FFFFFF"/>
            <w:noWrap/>
            <w:tcMar>
              <w:top w:w="15" w:type="dxa"/>
              <w:left w:w="0" w:type="dxa"/>
              <w:bottom w:w="0" w:type="dxa"/>
              <w:right w:w="15" w:type="dxa"/>
            </w:tcMar>
            <w:vAlign w:val="bottom"/>
            <w:hideMark/>
          </w:tcPr>
          <w:p w14:paraId="251910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4D8804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761332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59960F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113.9</w:t>
            </w:r>
          </w:p>
        </w:tc>
        <w:tc>
          <w:tcPr>
            <w:tcW w:w="151" w:type="dxa"/>
            <w:shd w:val="clear" w:color="auto" w:fill="FFFFFF"/>
            <w:noWrap/>
            <w:tcMar>
              <w:top w:w="15" w:type="dxa"/>
              <w:left w:w="0" w:type="dxa"/>
              <w:bottom w:w="0" w:type="dxa"/>
              <w:right w:w="15" w:type="dxa"/>
            </w:tcMar>
            <w:vAlign w:val="bottom"/>
            <w:hideMark/>
          </w:tcPr>
          <w:p w14:paraId="6CEE09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BEA3459" w14:textId="77777777" w:rsidTr="00AC4931">
        <w:tc>
          <w:tcPr>
            <w:tcW w:w="10785" w:type="dxa"/>
            <w:shd w:val="clear" w:color="auto" w:fill="CFF0FC"/>
            <w:tcMar>
              <w:top w:w="15" w:type="dxa"/>
              <w:left w:w="0" w:type="dxa"/>
              <w:bottom w:w="0" w:type="dxa"/>
              <w:right w:w="15" w:type="dxa"/>
            </w:tcMar>
            <w:hideMark/>
          </w:tcPr>
          <w:p w14:paraId="71B5D73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Deferred tax assets before allowances</w:t>
            </w:r>
          </w:p>
        </w:tc>
        <w:tc>
          <w:tcPr>
            <w:tcW w:w="245" w:type="dxa"/>
            <w:shd w:val="clear" w:color="auto" w:fill="CFF0FC"/>
            <w:tcMar>
              <w:top w:w="15" w:type="dxa"/>
              <w:left w:w="0" w:type="dxa"/>
              <w:bottom w:w="0" w:type="dxa"/>
              <w:right w:w="15" w:type="dxa"/>
            </w:tcMar>
            <w:vAlign w:val="bottom"/>
            <w:hideMark/>
          </w:tcPr>
          <w:p w14:paraId="680F28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89202F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0489256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335.6</w:t>
            </w:r>
          </w:p>
        </w:tc>
        <w:tc>
          <w:tcPr>
            <w:tcW w:w="150" w:type="dxa"/>
            <w:shd w:val="clear" w:color="auto" w:fill="CFF0FC"/>
            <w:noWrap/>
            <w:tcMar>
              <w:top w:w="15" w:type="dxa"/>
              <w:left w:w="0" w:type="dxa"/>
              <w:bottom w:w="0" w:type="dxa"/>
              <w:right w:w="15" w:type="dxa"/>
            </w:tcMar>
            <w:vAlign w:val="bottom"/>
            <w:hideMark/>
          </w:tcPr>
          <w:p w14:paraId="1C6CF8E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1B955B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BE5514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376C586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294.9</w:t>
            </w:r>
          </w:p>
        </w:tc>
        <w:tc>
          <w:tcPr>
            <w:tcW w:w="150" w:type="dxa"/>
            <w:shd w:val="clear" w:color="auto" w:fill="CFF0FC"/>
            <w:noWrap/>
            <w:tcMar>
              <w:top w:w="15" w:type="dxa"/>
              <w:left w:w="0" w:type="dxa"/>
              <w:bottom w:w="0" w:type="dxa"/>
              <w:right w:w="15" w:type="dxa"/>
            </w:tcMar>
            <w:vAlign w:val="bottom"/>
            <w:hideMark/>
          </w:tcPr>
          <w:p w14:paraId="52883D0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4F9B59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5D459D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0E86868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300.1</w:t>
            </w:r>
          </w:p>
        </w:tc>
        <w:tc>
          <w:tcPr>
            <w:tcW w:w="151" w:type="dxa"/>
            <w:shd w:val="clear" w:color="auto" w:fill="CFF0FC"/>
            <w:noWrap/>
            <w:tcMar>
              <w:top w:w="15" w:type="dxa"/>
              <w:left w:w="0" w:type="dxa"/>
              <w:bottom w:w="0" w:type="dxa"/>
              <w:right w:w="15" w:type="dxa"/>
            </w:tcMar>
            <w:vAlign w:val="bottom"/>
            <w:hideMark/>
          </w:tcPr>
          <w:p w14:paraId="59E406E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787A8F1E" w14:textId="77777777" w:rsidTr="00AC4931">
        <w:tc>
          <w:tcPr>
            <w:tcW w:w="10785" w:type="dxa"/>
            <w:shd w:val="clear" w:color="auto" w:fill="FFFFFF"/>
            <w:tcMar>
              <w:top w:w="15" w:type="dxa"/>
              <w:left w:w="0" w:type="dxa"/>
              <w:bottom w:w="0" w:type="dxa"/>
              <w:right w:w="15" w:type="dxa"/>
            </w:tcMar>
            <w:hideMark/>
          </w:tcPr>
          <w:p w14:paraId="02E6FF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Valuation allowances</w:t>
            </w:r>
          </w:p>
        </w:tc>
        <w:tc>
          <w:tcPr>
            <w:tcW w:w="245" w:type="dxa"/>
            <w:shd w:val="clear" w:color="auto" w:fill="FFFFFF"/>
            <w:tcMar>
              <w:top w:w="15" w:type="dxa"/>
              <w:left w:w="0" w:type="dxa"/>
              <w:bottom w:w="0" w:type="dxa"/>
              <w:right w:w="15" w:type="dxa"/>
            </w:tcMar>
            <w:vAlign w:val="bottom"/>
            <w:hideMark/>
          </w:tcPr>
          <w:p w14:paraId="72D312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266B3A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7AA6BE4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(67.9</w:t>
            </w:r>
          </w:p>
        </w:tc>
        <w:tc>
          <w:tcPr>
            <w:tcW w:w="150" w:type="dxa"/>
            <w:shd w:val="clear" w:color="auto" w:fill="FFFFFF"/>
            <w:noWrap/>
            <w:tcMar>
              <w:top w:w="15" w:type="dxa"/>
              <w:left w:w="0" w:type="dxa"/>
              <w:bottom w:w="0" w:type="dxa"/>
              <w:right w:w="15" w:type="dxa"/>
            </w:tcMar>
            <w:vAlign w:val="bottom"/>
            <w:hideMark/>
          </w:tcPr>
          <w:p w14:paraId="69DEB4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1FCD3A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1F4C43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4BBC32F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(60.7</w:t>
            </w:r>
          </w:p>
        </w:tc>
        <w:tc>
          <w:tcPr>
            <w:tcW w:w="150" w:type="dxa"/>
            <w:shd w:val="clear" w:color="auto" w:fill="FFFFFF"/>
            <w:noWrap/>
            <w:tcMar>
              <w:top w:w="15" w:type="dxa"/>
              <w:left w:w="0" w:type="dxa"/>
              <w:bottom w:w="0" w:type="dxa"/>
              <w:right w:w="15" w:type="dxa"/>
            </w:tcMar>
            <w:vAlign w:val="bottom"/>
            <w:hideMark/>
          </w:tcPr>
          <w:p w14:paraId="0DFCAD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31947F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28ECA8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1A0AC22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(71.0</w:t>
            </w:r>
          </w:p>
        </w:tc>
        <w:tc>
          <w:tcPr>
            <w:tcW w:w="151" w:type="dxa"/>
            <w:shd w:val="clear" w:color="auto" w:fill="FFFFFF"/>
            <w:noWrap/>
            <w:tcMar>
              <w:top w:w="15" w:type="dxa"/>
              <w:left w:w="0" w:type="dxa"/>
              <w:bottom w:w="0" w:type="dxa"/>
              <w:right w:w="15" w:type="dxa"/>
            </w:tcMar>
            <w:vAlign w:val="bottom"/>
            <w:hideMark/>
          </w:tcPr>
          <w:p w14:paraId="29C7FE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8067D7A" w14:textId="77777777" w:rsidTr="00AC4931">
        <w:tc>
          <w:tcPr>
            <w:tcW w:w="10785" w:type="dxa"/>
            <w:shd w:val="clear" w:color="auto" w:fill="CFF0FC"/>
            <w:tcMar>
              <w:top w:w="15" w:type="dxa"/>
              <w:left w:w="0" w:type="dxa"/>
              <w:bottom w:w="0" w:type="dxa"/>
              <w:right w:w="15" w:type="dxa"/>
            </w:tcMar>
            <w:hideMark/>
          </w:tcPr>
          <w:p w14:paraId="10D17B5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Total</w:t>
            </w:r>
          </w:p>
        </w:tc>
        <w:tc>
          <w:tcPr>
            <w:tcW w:w="245" w:type="dxa"/>
            <w:shd w:val="clear" w:color="auto" w:fill="CFF0FC"/>
            <w:tcMar>
              <w:top w:w="15" w:type="dxa"/>
              <w:left w:w="0" w:type="dxa"/>
              <w:bottom w:w="0" w:type="dxa"/>
              <w:right w:w="15" w:type="dxa"/>
            </w:tcMar>
            <w:vAlign w:val="bottom"/>
            <w:hideMark/>
          </w:tcPr>
          <w:p w14:paraId="4F74B1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AC4F59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10E22D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267.7</w:t>
            </w:r>
          </w:p>
        </w:tc>
        <w:tc>
          <w:tcPr>
            <w:tcW w:w="150" w:type="dxa"/>
            <w:shd w:val="clear" w:color="auto" w:fill="CFF0FC"/>
            <w:noWrap/>
            <w:tcMar>
              <w:top w:w="15" w:type="dxa"/>
              <w:left w:w="0" w:type="dxa"/>
              <w:bottom w:w="0" w:type="dxa"/>
              <w:right w:w="15" w:type="dxa"/>
            </w:tcMar>
            <w:vAlign w:val="bottom"/>
            <w:hideMark/>
          </w:tcPr>
          <w:p w14:paraId="165B06B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3D1D83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043311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CBF618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234.2</w:t>
            </w:r>
          </w:p>
        </w:tc>
        <w:tc>
          <w:tcPr>
            <w:tcW w:w="150" w:type="dxa"/>
            <w:shd w:val="clear" w:color="auto" w:fill="CFF0FC"/>
            <w:noWrap/>
            <w:tcMar>
              <w:top w:w="15" w:type="dxa"/>
              <w:left w:w="0" w:type="dxa"/>
              <w:bottom w:w="0" w:type="dxa"/>
              <w:right w:w="15" w:type="dxa"/>
            </w:tcMar>
            <w:vAlign w:val="bottom"/>
            <w:hideMark/>
          </w:tcPr>
          <w:p w14:paraId="750C480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733467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C781D6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70C956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229.1</w:t>
            </w:r>
          </w:p>
        </w:tc>
        <w:tc>
          <w:tcPr>
            <w:tcW w:w="151" w:type="dxa"/>
            <w:shd w:val="clear" w:color="auto" w:fill="CFF0FC"/>
            <w:noWrap/>
            <w:tcMar>
              <w:top w:w="15" w:type="dxa"/>
              <w:left w:w="0" w:type="dxa"/>
              <w:bottom w:w="0" w:type="dxa"/>
              <w:right w:w="15" w:type="dxa"/>
            </w:tcMar>
            <w:vAlign w:val="bottom"/>
            <w:hideMark/>
          </w:tcPr>
          <w:p w14:paraId="68CCE8A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18A9656" w14:textId="77777777" w:rsidTr="00AC4931">
        <w:tc>
          <w:tcPr>
            <w:tcW w:w="10785" w:type="dxa"/>
            <w:shd w:val="clear" w:color="auto" w:fill="FFFFFF"/>
            <w:tcMar>
              <w:top w:w="15" w:type="dxa"/>
              <w:left w:w="0" w:type="dxa"/>
              <w:bottom w:w="0" w:type="dxa"/>
              <w:right w:w="15" w:type="dxa"/>
            </w:tcMar>
            <w:hideMark/>
          </w:tcPr>
          <w:p w14:paraId="4C0882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7D7964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3522DC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top w:val="single" w:sz="6" w:space="0" w:color="000000"/>
            </w:tcBorders>
            <w:shd w:val="clear" w:color="auto" w:fill="FFFFFF"/>
            <w:noWrap/>
            <w:tcMar>
              <w:top w:w="15" w:type="dxa"/>
              <w:left w:w="0" w:type="dxa"/>
              <w:bottom w:w="0" w:type="dxa"/>
              <w:right w:w="15" w:type="dxa"/>
            </w:tcMar>
            <w:vAlign w:val="bottom"/>
            <w:hideMark/>
          </w:tcPr>
          <w:p w14:paraId="1561B36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02D0D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3B589F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51FA3D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top w:val="single" w:sz="6" w:space="0" w:color="000000"/>
            </w:tcBorders>
            <w:shd w:val="clear" w:color="auto" w:fill="FFFFFF"/>
            <w:noWrap/>
            <w:tcMar>
              <w:top w:w="15" w:type="dxa"/>
              <w:left w:w="0" w:type="dxa"/>
              <w:bottom w:w="0" w:type="dxa"/>
              <w:right w:w="15" w:type="dxa"/>
            </w:tcMar>
            <w:vAlign w:val="bottom"/>
            <w:hideMark/>
          </w:tcPr>
          <w:p w14:paraId="080D8BA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AB395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266B13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74D543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top w:val="single" w:sz="6" w:space="0" w:color="000000"/>
            </w:tcBorders>
            <w:shd w:val="clear" w:color="auto" w:fill="FFFFFF"/>
            <w:noWrap/>
            <w:tcMar>
              <w:top w:w="15" w:type="dxa"/>
              <w:left w:w="0" w:type="dxa"/>
              <w:bottom w:w="0" w:type="dxa"/>
              <w:right w:w="15" w:type="dxa"/>
            </w:tcMar>
            <w:vAlign w:val="bottom"/>
            <w:hideMark/>
          </w:tcPr>
          <w:p w14:paraId="3495AA1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 w:type="dxa"/>
            <w:shd w:val="clear" w:color="auto" w:fill="FFFFFF"/>
            <w:noWrap/>
            <w:tcMar>
              <w:top w:w="15" w:type="dxa"/>
              <w:left w:w="0" w:type="dxa"/>
              <w:bottom w:w="0" w:type="dxa"/>
              <w:right w:w="15" w:type="dxa"/>
            </w:tcMar>
            <w:vAlign w:val="bottom"/>
            <w:hideMark/>
          </w:tcPr>
          <w:p w14:paraId="6CAC1A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AEADAFF" w14:textId="77777777" w:rsidTr="00AC4931">
        <w:tc>
          <w:tcPr>
            <w:tcW w:w="10785" w:type="dxa"/>
            <w:shd w:val="clear" w:color="auto" w:fill="CFF0FC"/>
            <w:tcMar>
              <w:top w:w="15" w:type="dxa"/>
              <w:left w:w="0" w:type="dxa"/>
              <w:bottom w:w="0" w:type="dxa"/>
              <w:right w:w="15" w:type="dxa"/>
            </w:tcMar>
            <w:hideMark/>
          </w:tcPr>
          <w:p w14:paraId="5CB6146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Liabilities</w:t>
            </w:r>
          </w:p>
        </w:tc>
        <w:tc>
          <w:tcPr>
            <w:tcW w:w="245" w:type="dxa"/>
            <w:shd w:val="clear" w:color="auto" w:fill="CFF0FC"/>
            <w:tcMar>
              <w:top w:w="15" w:type="dxa"/>
              <w:left w:w="0" w:type="dxa"/>
              <w:bottom w:w="0" w:type="dxa"/>
              <w:right w:w="15" w:type="dxa"/>
            </w:tcMar>
            <w:vAlign w:val="bottom"/>
            <w:hideMark/>
          </w:tcPr>
          <w:p w14:paraId="503A29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24501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0C62226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BCDE3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149B37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1B58D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4D05F4C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88D74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65CC80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16F0E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4C89746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 w:type="dxa"/>
            <w:shd w:val="clear" w:color="auto" w:fill="CFF0FC"/>
            <w:noWrap/>
            <w:tcMar>
              <w:top w:w="15" w:type="dxa"/>
              <w:left w:w="0" w:type="dxa"/>
              <w:bottom w:w="0" w:type="dxa"/>
              <w:right w:w="15" w:type="dxa"/>
            </w:tcMar>
            <w:vAlign w:val="bottom"/>
            <w:hideMark/>
          </w:tcPr>
          <w:p w14:paraId="5043FA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2B1968F" w14:textId="77777777" w:rsidTr="00AC4931">
        <w:tc>
          <w:tcPr>
            <w:tcW w:w="10785" w:type="dxa"/>
            <w:shd w:val="clear" w:color="auto" w:fill="FFFFFF"/>
            <w:tcMar>
              <w:top w:w="15" w:type="dxa"/>
              <w:left w:w="0" w:type="dxa"/>
              <w:bottom w:w="0" w:type="dxa"/>
              <w:right w:w="15" w:type="dxa"/>
            </w:tcMar>
            <w:hideMark/>
          </w:tcPr>
          <w:p w14:paraId="7EE059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Acquired intangibles</w:t>
            </w:r>
          </w:p>
        </w:tc>
        <w:tc>
          <w:tcPr>
            <w:tcW w:w="245" w:type="dxa"/>
            <w:shd w:val="clear" w:color="auto" w:fill="FFFFFF"/>
            <w:tcMar>
              <w:top w:w="15" w:type="dxa"/>
              <w:left w:w="0" w:type="dxa"/>
              <w:bottom w:w="0" w:type="dxa"/>
              <w:right w:w="15" w:type="dxa"/>
            </w:tcMar>
            <w:vAlign w:val="bottom"/>
            <w:hideMark/>
          </w:tcPr>
          <w:p w14:paraId="7FDE2B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9470A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0574F6E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w:t>
            </w:r>
          </w:p>
        </w:tc>
        <w:tc>
          <w:tcPr>
            <w:tcW w:w="150" w:type="dxa"/>
            <w:shd w:val="clear" w:color="auto" w:fill="FFFFFF"/>
            <w:noWrap/>
            <w:tcMar>
              <w:top w:w="15" w:type="dxa"/>
              <w:left w:w="0" w:type="dxa"/>
              <w:bottom w:w="0" w:type="dxa"/>
              <w:right w:w="15" w:type="dxa"/>
            </w:tcMar>
            <w:vAlign w:val="bottom"/>
            <w:hideMark/>
          </w:tcPr>
          <w:p w14:paraId="733156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46D286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58BA6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297864D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w:t>
            </w:r>
          </w:p>
        </w:tc>
        <w:tc>
          <w:tcPr>
            <w:tcW w:w="150" w:type="dxa"/>
            <w:shd w:val="clear" w:color="auto" w:fill="FFFFFF"/>
            <w:noWrap/>
            <w:tcMar>
              <w:top w:w="15" w:type="dxa"/>
              <w:left w:w="0" w:type="dxa"/>
              <w:bottom w:w="0" w:type="dxa"/>
              <w:right w:w="15" w:type="dxa"/>
            </w:tcMar>
            <w:vAlign w:val="bottom"/>
            <w:hideMark/>
          </w:tcPr>
          <w:p w14:paraId="0AC075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145FE5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E06A9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2090FE0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(6.1</w:t>
            </w:r>
          </w:p>
        </w:tc>
        <w:tc>
          <w:tcPr>
            <w:tcW w:w="151" w:type="dxa"/>
            <w:shd w:val="clear" w:color="auto" w:fill="FFFFFF"/>
            <w:noWrap/>
            <w:tcMar>
              <w:top w:w="15" w:type="dxa"/>
              <w:left w:w="0" w:type="dxa"/>
              <w:bottom w:w="0" w:type="dxa"/>
              <w:right w:w="15" w:type="dxa"/>
            </w:tcMar>
            <w:vAlign w:val="bottom"/>
            <w:hideMark/>
          </w:tcPr>
          <w:p w14:paraId="756EB2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FC6DF4E" w14:textId="77777777" w:rsidTr="00AC4931">
        <w:tc>
          <w:tcPr>
            <w:tcW w:w="10785" w:type="dxa"/>
            <w:shd w:val="clear" w:color="auto" w:fill="CFF0FC"/>
            <w:tcMar>
              <w:top w:w="15" w:type="dxa"/>
              <w:left w:w="0" w:type="dxa"/>
              <w:bottom w:w="0" w:type="dxa"/>
              <w:right w:w="15" w:type="dxa"/>
            </w:tcMar>
            <w:hideMark/>
          </w:tcPr>
          <w:p w14:paraId="61E9AC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Statutory tax allowances</w:t>
            </w:r>
          </w:p>
        </w:tc>
        <w:tc>
          <w:tcPr>
            <w:tcW w:w="245" w:type="dxa"/>
            <w:shd w:val="clear" w:color="auto" w:fill="CFF0FC"/>
            <w:tcMar>
              <w:top w:w="15" w:type="dxa"/>
              <w:left w:w="0" w:type="dxa"/>
              <w:bottom w:w="0" w:type="dxa"/>
              <w:right w:w="15" w:type="dxa"/>
            </w:tcMar>
            <w:vAlign w:val="bottom"/>
            <w:hideMark/>
          </w:tcPr>
          <w:p w14:paraId="5C9B52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DCBA6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18C9E53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50" w:type="dxa"/>
            <w:shd w:val="clear" w:color="auto" w:fill="CFF0FC"/>
            <w:noWrap/>
            <w:tcMar>
              <w:top w:w="15" w:type="dxa"/>
              <w:left w:w="0" w:type="dxa"/>
              <w:bottom w:w="0" w:type="dxa"/>
              <w:right w:w="15" w:type="dxa"/>
            </w:tcMar>
            <w:vAlign w:val="bottom"/>
            <w:hideMark/>
          </w:tcPr>
          <w:p w14:paraId="146BC0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04B5A4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76445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6CD27A8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50" w:type="dxa"/>
            <w:shd w:val="clear" w:color="auto" w:fill="CFF0FC"/>
            <w:noWrap/>
            <w:tcMar>
              <w:top w:w="15" w:type="dxa"/>
              <w:left w:w="0" w:type="dxa"/>
              <w:bottom w:w="0" w:type="dxa"/>
              <w:right w:w="15" w:type="dxa"/>
            </w:tcMar>
            <w:vAlign w:val="bottom"/>
            <w:hideMark/>
          </w:tcPr>
          <w:p w14:paraId="61B293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1AD4AA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B9F9A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64F7BC1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w:t>
            </w:r>
          </w:p>
        </w:tc>
        <w:tc>
          <w:tcPr>
            <w:tcW w:w="151" w:type="dxa"/>
            <w:shd w:val="clear" w:color="auto" w:fill="CFF0FC"/>
            <w:noWrap/>
            <w:tcMar>
              <w:top w:w="15" w:type="dxa"/>
              <w:left w:w="0" w:type="dxa"/>
              <w:bottom w:w="0" w:type="dxa"/>
              <w:right w:w="15" w:type="dxa"/>
            </w:tcMar>
            <w:vAlign w:val="bottom"/>
            <w:hideMark/>
          </w:tcPr>
          <w:p w14:paraId="0EF81E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B3C4743" w14:textId="77777777" w:rsidTr="00AC4931">
        <w:tc>
          <w:tcPr>
            <w:tcW w:w="10785" w:type="dxa"/>
            <w:shd w:val="clear" w:color="auto" w:fill="FFFFFF"/>
            <w:tcMar>
              <w:top w:w="15" w:type="dxa"/>
              <w:left w:w="0" w:type="dxa"/>
              <w:bottom w:w="0" w:type="dxa"/>
              <w:right w:w="15" w:type="dxa"/>
            </w:tcMar>
            <w:hideMark/>
          </w:tcPr>
          <w:p w14:paraId="6B71AD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Distribution taxes</w:t>
            </w:r>
          </w:p>
        </w:tc>
        <w:tc>
          <w:tcPr>
            <w:tcW w:w="245" w:type="dxa"/>
            <w:shd w:val="clear" w:color="auto" w:fill="FFFFFF"/>
            <w:tcMar>
              <w:top w:w="15" w:type="dxa"/>
              <w:left w:w="0" w:type="dxa"/>
              <w:bottom w:w="0" w:type="dxa"/>
              <w:right w:w="15" w:type="dxa"/>
            </w:tcMar>
            <w:vAlign w:val="bottom"/>
            <w:hideMark/>
          </w:tcPr>
          <w:p w14:paraId="031B91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39C4F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2E943CD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(14.5</w:t>
            </w:r>
          </w:p>
        </w:tc>
        <w:tc>
          <w:tcPr>
            <w:tcW w:w="150" w:type="dxa"/>
            <w:shd w:val="clear" w:color="auto" w:fill="FFFFFF"/>
            <w:noWrap/>
            <w:tcMar>
              <w:top w:w="15" w:type="dxa"/>
              <w:left w:w="0" w:type="dxa"/>
              <w:bottom w:w="0" w:type="dxa"/>
              <w:right w:w="15" w:type="dxa"/>
            </w:tcMar>
            <w:vAlign w:val="bottom"/>
            <w:hideMark/>
          </w:tcPr>
          <w:p w14:paraId="07EE05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515AB3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FB64F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301627F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(15.4</w:t>
            </w:r>
          </w:p>
        </w:tc>
        <w:tc>
          <w:tcPr>
            <w:tcW w:w="150" w:type="dxa"/>
            <w:shd w:val="clear" w:color="auto" w:fill="FFFFFF"/>
            <w:noWrap/>
            <w:tcMar>
              <w:top w:w="15" w:type="dxa"/>
              <w:left w:w="0" w:type="dxa"/>
              <w:bottom w:w="0" w:type="dxa"/>
              <w:right w:w="15" w:type="dxa"/>
            </w:tcMar>
            <w:vAlign w:val="bottom"/>
            <w:hideMark/>
          </w:tcPr>
          <w:p w14:paraId="5D0714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73BC9F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63256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743EF36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(22.9</w:t>
            </w:r>
          </w:p>
        </w:tc>
        <w:tc>
          <w:tcPr>
            <w:tcW w:w="151" w:type="dxa"/>
            <w:shd w:val="clear" w:color="auto" w:fill="FFFFFF"/>
            <w:noWrap/>
            <w:tcMar>
              <w:top w:w="15" w:type="dxa"/>
              <w:left w:w="0" w:type="dxa"/>
              <w:bottom w:w="0" w:type="dxa"/>
              <w:right w:w="15" w:type="dxa"/>
            </w:tcMar>
            <w:vAlign w:val="bottom"/>
            <w:hideMark/>
          </w:tcPr>
          <w:p w14:paraId="2E0CC7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A97122E" w14:textId="77777777" w:rsidTr="00AC4931">
        <w:tc>
          <w:tcPr>
            <w:tcW w:w="10785" w:type="dxa"/>
            <w:shd w:val="clear" w:color="auto" w:fill="CFF0FC"/>
            <w:tcMar>
              <w:top w:w="15" w:type="dxa"/>
              <w:left w:w="0" w:type="dxa"/>
              <w:bottom w:w="0" w:type="dxa"/>
              <w:right w:w="15" w:type="dxa"/>
            </w:tcMar>
            <w:hideMark/>
          </w:tcPr>
          <w:p w14:paraId="1286A8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w:t>
            </w:r>
          </w:p>
        </w:tc>
        <w:tc>
          <w:tcPr>
            <w:tcW w:w="245" w:type="dxa"/>
            <w:shd w:val="clear" w:color="auto" w:fill="CFF0FC"/>
            <w:tcMar>
              <w:top w:w="15" w:type="dxa"/>
              <w:left w:w="0" w:type="dxa"/>
              <w:bottom w:w="0" w:type="dxa"/>
              <w:right w:w="15" w:type="dxa"/>
            </w:tcMar>
            <w:vAlign w:val="bottom"/>
            <w:hideMark/>
          </w:tcPr>
          <w:p w14:paraId="52FB74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13C03D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510CB57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(4.3</w:t>
            </w:r>
          </w:p>
        </w:tc>
        <w:tc>
          <w:tcPr>
            <w:tcW w:w="150" w:type="dxa"/>
            <w:shd w:val="clear" w:color="auto" w:fill="CFF0FC"/>
            <w:noWrap/>
            <w:tcMar>
              <w:top w:w="15" w:type="dxa"/>
              <w:left w:w="0" w:type="dxa"/>
              <w:bottom w:w="0" w:type="dxa"/>
              <w:right w:w="15" w:type="dxa"/>
            </w:tcMar>
            <w:vAlign w:val="bottom"/>
            <w:hideMark/>
          </w:tcPr>
          <w:p w14:paraId="6F99F5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0068A7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49FEB6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4B9B7FE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(6.5</w:t>
            </w:r>
          </w:p>
        </w:tc>
        <w:tc>
          <w:tcPr>
            <w:tcW w:w="150" w:type="dxa"/>
            <w:shd w:val="clear" w:color="auto" w:fill="CFF0FC"/>
            <w:noWrap/>
            <w:tcMar>
              <w:top w:w="15" w:type="dxa"/>
              <w:left w:w="0" w:type="dxa"/>
              <w:bottom w:w="0" w:type="dxa"/>
              <w:right w:w="15" w:type="dxa"/>
            </w:tcMar>
            <w:vAlign w:val="bottom"/>
            <w:hideMark/>
          </w:tcPr>
          <w:p w14:paraId="278654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67694F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4E101F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5B96939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(10.1</w:t>
            </w:r>
          </w:p>
        </w:tc>
        <w:tc>
          <w:tcPr>
            <w:tcW w:w="151" w:type="dxa"/>
            <w:shd w:val="clear" w:color="auto" w:fill="CFF0FC"/>
            <w:noWrap/>
            <w:tcMar>
              <w:top w:w="15" w:type="dxa"/>
              <w:left w:w="0" w:type="dxa"/>
              <w:bottom w:w="0" w:type="dxa"/>
              <w:right w:w="15" w:type="dxa"/>
            </w:tcMar>
            <w:vAlign w:val="bottom"/>
            <w:hideMark/>
          </w:tcPr>
          <w:p w14:paraId="3AA943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0C813FA" w14:textId="77777777" w:rsidTr="00AC4931">
        <w:tc>
          <w:tcPr>
            <w:tcW w:w="10785" w:type="dxa"/>
            <w:shd w:val="clear" w:color="auto" w:fill="FFFFFF"/>
            <w:tcMar>
              <w:top w:w="15" w:type="dxa"/>
              <w:left w:w="0" w:type="dxa"/>
              <w:bottom w:w="0" w:type="dxa"/>
              <w:right w:w="15" w:type="dxa"/>
            </w:tcMar>
            <w:hideMark/>
          </w:tcPr>
          <w:p w14:paraId="60A1349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45" w:type="dxa"/>
            <w:shd w:val="clear" w:color="auto" w:fill="FFFFFF"/>
            <w:tcMar>
              <w:top w:w="15" w:type="dxa"/>
              <w:left w:w="0" w:type="dxa"/>
              <w:bottom w:w="0" w:type="dxa"/>
              <w:right w:w="15" w:type="dxa"/>
            </w:tcMar>
            <w:vAlign w:val="bottom"/>
            <w:hideMark/>
          </w:tcPr>
          <w:p w14:paraId="236C7D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40F95A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4ED786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(20.9</w:t>
            </w:r>
          </w:p>
        </w:tc>
        <w:tc>
          <w:tcPr>
            <w:tcW w:w="150" w:type="dxa"/>
            <w:shd w:val="clear" w:color="auto" w:fill="FFFFFF"/>
            <w:noWrap/>
            <w:tcMar>
              <w:top w:w="15" w:type="dxa"/>
              <w:left w:w="0" w:type="dxa"/>
              <w:bottom w:w="0" w:type="dxa"/>
              <w:right w:w="15" w:type="dxa"/>
            </w:tcMar>
            <w:vAlign w:val="bottom"/>
            <w:hideMark/>
          </w:tcPr>
          <w:p w14:paraId="15317CA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268826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03704E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9C4F66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(25.9</w:t>
            </w:r>
          </w:p>
        </w:tc>
        <w:tc>
          <w:tcPr>
            <w:tcW w:w="150" w:type="dxa"/>
            <w:shd w:val="clear" w:color="auto" w:fill="FFFFFF"/>
            <w:noWrap/>
            <w:tcMar>
              <w:top w:w="15" w:type="dxa"/>
              <w:left w:w="0" w:type="dxa"/>
              <w:bottom w:w="0" w:type="dxa"/>
              <w:right w:w="15" w:type="dxa"/>
            </w:tcMar>
            <w:vAlign w:val="bottom"/>
            <w:hideMark/>
          </w:tcPr>
          <w:p w14:paraId="442E96E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4A5F03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A05680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C74F85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(39.6</w:t>
            </w:r>
          </w:p>
        </w:tc>
        <w:tc>
          <w:tcPr>
            <w:tcW w:w="151" w:type="dxa"/>
            <w:shd w:val="clear" w:color="auto" w:fill="FFFFFF"/>
            <w:noWrap/>
            <w:tcMar>
              <w:top w:w="15" w:type="dxa"/>
              <w:left w:w="0" w:type="dxa"/>
              <w:bottom w:w="0" w:type="dxa"/>
              <w:right w:w="15" w:type="dxa"/>
            </w:tcMar>
            <w:vAlign w:val="bottom"/>
            <w:hideMark/>
          </w:tcPr>
          <w:p w14:paraId="2E67D7A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0E2C5210" w14:textId="77777777" w:rsidTr="00AC4931">
        <w:tc>
          <w:tcPr>
            <w:tcW w:w="10785" w:type="dxa"/>
            <w:shd w:val="clear" w:color="auto" w:fill="CFF0FC"/>
            <w:tcMar>
              <w:top w:w="15" w:type="dxa"/>
              <w:left w:w="0" w:type="dxa"/>
              <w:bottom w:w="0" w:type="dxa"/>
              <w:right w:w="15" w:type="dxa"/>
            </w:tcMar>
            <w:hideMark/>
          </w:tcPr>
          <w:p w14:paraId="76B34B8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deferred tax asset</w:t>
            </w:r>
          </w:p>
        </w:tc>
        <w:tc>
          <w:tcPr>
            <w:tcW w:w="245" w:type="dxa"/>
            <w:shd w:val="clear" w:color="auto" w:fill="CFF0FC"/>
            <w:tcMar>
              <w:top w:w="15" w:type="dxa"/>
              <w:left w:w="0" w:type="dxa"/>
              <w:bottom w:w="0" w:type="dxa"/>
              <w:right w:w="15" w:type="dxa"/>
            </w:tcMar>
            <w:vAlign w:val="bottom"/>
            <w:hideMark/>
          </w:tcPr>
          <w:p w14:paraId="5764DD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539DA2A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61763F8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246.8</w:t>
            </w:r>
          </w:p>
        </w:tc>
        <w:tc>
          <w:tcPr>
            <w:tcW w:w="150" w:type="dxa"/>
            <w:shd w:val="clear" w:color="auto" w:fill="CFF0FC"/>
            <w:noWrap/>
            <w:tcMar>
              <w:top w:w="15" w:type="dxa"/>
              <w:left w:w="0" w:type="dxa"/>
              <w:bottom w:w="0" w:type="dxa"/>
              <w:right w:w="15" w:type="dxa"/>
            </w:tcMar>
            <w:vAlign w:val="bottom"/>
            <w:hideMark/>
          </w:tcPr>
          <w:p w14:paraId="106F195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112C2A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675880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45F128C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208.3</w:t>
            </w:r>
          </w:p>
        </w:tc>
        <w:tc>
          <w:tcPr>
            <w:tcW w:w="150" w:type="dxa"/>
            <w:shd w:val="clear" w:color="auto" w:fill="CFF0FC"/>
            <w:noWrap/>
            <w:tcMar>
              <w:top w:w="15" w:type="dxa"/>
              <w:left w:w="0" w:type="dxa"/>
              <w:bottom w:w="0" w:type="dxa"/>
              <w:right w:w="15" w:type="dxa"/>
            </w:tcMar>
            <w:vAlign w:val="bottom"/>
            <w:hideMark/>
          </w:tcPr>
          <w:p w14:paraId="4FB6FE4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3A4631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1D6929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0FC2135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189.5</w:t>
            </w:r>
          </w:p>
        </w:tc>
        <w:tc>
          <w:tcPr>
            <w:tcW w:w="151" w:type="dxa"/>
            <w:shd w:val="clear" w:color="auto" w:fill="CFF0FC"/>
            <w:noWrap/>
            <w:tcMar>
              <w:top w:w="15" w:type="dxa"/>
              <w:left w:w="0" w:type="dxa"/>
              <w:bottom w:w="0" w:type="dxa"/>
              <w:right w:w="15" w:type="dxa"/>
            </w:tcMar>
            <w:vAlign w:val="bottom"/>
            <w:hideMark/>
          </w:tcPr>
          <w:p w14:paraId="236C5602"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5554E04A"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342D64BB"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following table summarizes the activity related to the Company’s valuation allowances:</w:t>
      </w:r>
    </w:p>
    <w:p w14:paraId="4C7E1859"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53"/>
        <w:gridCol w:w="247"/>
        <w:gridCol w:w="159"/>
        <w:gridCol w:w="1314"/>
        <w:gridCol w:w="159"/>
        <w:gridCol w:w="247"/>
        <w:gridCol w:w="159"/>
        <w:gridCol w:w="1314"/>
        <w:gridCol w:w="159"/>
        <w:gridCol w:w="247"/>
        <w:gridCol w:w="159"/>
        <w:gridCol w:w="1314"/>
        <w:gridCol w:w="160"/>
      </w:tblGrid>
      <w:tr w:rsidR="00AC4931" w:rsidRPr="00AC4931" w14:paraId="2739DED9" w14:textId="77777777" w:rsidTr="00AC4931">
        <w:tc>
          <w:tcPr>
            <w:tcW w:w="10785" w:type="dxa"/>
            <w:shd w:val="clear" w:color="auto" w:fill="FFFFFF"/>
            <w:tcMar>
              <w:top w:w="15" w:type="dxa"/>
              <w:left w:w="0" w:type="dxa"/>
              <w:bottom w:w="0" w:type="dxa"/>
              <w:right w:w="15" w:type="dxa"/>
            </w:tcMar>
            <w:vAlign w:val="bottom"/>
            <w:hideMark/>
          </w:tcPr>
          <w:p w14:paraId="1C78F3F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VALUATION ALLOWANCES AGAINST DEFERRED TAX ASSETS DECEMBER 31</w:t>
            </w:r>
          </w:p>
        </w:tc>
        <w:tc>
          <w:tcPr>
            <w:tcW w:w="245" w:type="dxa"/>
            <w:shd w:val="clear" w:color="auto" w:fill="FFFFFF"/>
            <w:tcMar>
              <w:top w:w="15" w:type="dxa"/>
              <w:left w:w="0" w:type="dxa"/>
              <w:bottom w:w="0" w:type="dxa"/>
              <w:right w:w="15" w:type="dxa"/>
            </w:tcMar>
            <w:vAlign w:val="bottom"/>
            <w:hideMark/>
          </w:tcPr>
          <w:p w14:paraId="6732FD5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2A2E444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4BFD544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5097A38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646A3E0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5ADB4CC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2A1DD9F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563ED65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43B238C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4C5F38D1" w14:textId="77777777" w:rsidTr="00AC4931">
        <w:tc>
          <w:tcPr>
            <w:tcW w:w="10785" w:type="dxa"/>
            <w:shd w:val="clear" w:color="auto" w:fill="CFF0FC"/>
            <w:tcMar>
              <w:top w:w="15" w:type="dxa"/>
              <w:left w:w="0" w:type="dxa"/>
              <w:bottom w:w="0" w:type="dxa"/>
              <w:right w:w="15" w:type="dxa"/>
            </w:tcMar>
            <w:vAlign w:val="center"/>
            <w:hideMark/>
          </w:tcPr>
          <w:p w14:paraId="7227048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Allowances at beginning of year</w:t>
            </w:r>
          </w:p>
        </w:tc>
        <w:tc>
          <w:tcPr>
            <w:tcW w:w="245" w:type="dxa"/>
            <w:shd w:val="clear" w:color="auto" w:fill="CFF0FC"/>
            <w:tcMar>
              <w:top w:w="15" w:type="dxa"/>
              <w:left w:w="0" w:type="dxa"/>
              <w:bottom w:w="0" w:type="dxa"/>
              <w:right w:w="15" w:type="dxa"/>
            </w:tcMar>
            <w:vAlign w:val="bottom"/>
            <w:hideMark/>
          </w:tcPr>
          <w:p w14:paraId="5DE54C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center"/>
            <w:hideMark/>
          </w:tcPr>
          <w:p w14:paraId="40B1602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center"/>
            <w:hideMark/>
          </w:tcPr>
          <w:p w14:paraId="6FC2128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60.7</w:t>
            </w:r>
          </w:p>
        </w:tc>
        <w:tc>
          <w:tcPr>
            <w:tcW w:w="150" w:type="dxa"/>
            <w:shd w:val="clear" w:color="auto" w:fill="CFF0FC"/>
            <w:noWrap/>
            <w:tcMar>
              <w:top w:w="15" w:type="dxa"/>
              <w:left w:w="0" w:type="dxa"/>
              <w:bottom w:w="0" w:type="dxa"/>
              <w:right w:w="15" w:type="dxa"/>
            </w:tcMar>
            <w:vAlign w:val="center"/>
            <w:hideMark/>
          </w:tcPr>
          <w:p w14:paraId="034EA46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7B0512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center"/>
            <w:hideMark/>
          </w:tcPr>
          <w:p w14:paraId="0CA39C9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center"/>
            <w:hideMark/>
          </w:tcPr>
          <w:p w14:paraId="7BBBCAA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71.0</w:t>
            </w:r>
          </w:p>
        </w:tc>
        <w:tc>
          <w:tcPr>
            <w:tcW w:w="150" w:type="dxa"/>
            <w:shd w:val="clear" w:color="auto" w:fill="CFF0FC"/>
            <w:noWrap/>
            <w:tcMar>
              <w:top w:w="15" w:type="dxa"/>
              <w:left w:w="0" w:type="dxa"/>
              <w:bottom w:w="0" w:type="dxa"/>
              <w:right w:w="15" w:type="dxa"/>
            </w:tcMar>
            <w:vAlign w:val="center"/>
            <w:hideMark/>
          </w:tcPr>
          <w:p w14:paraId="6E59B15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01F661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center"/>
            <w:hideMark/>
          </w:tcPr>
          <w:p w14:paraId="6409488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center"/>
            <w:hideMark/>
          </w:tcPr>
          <w:p w14:paraId="5330F30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110.6</w:t>
            </w:r>
          </w:p>
        </w:tc>
        <w:tc>
          <w:tcPr>
            <w:tcW w:w="151" w:type="dxa"/>
            <w:shd w:val="clear" w:color="auto" w:fill="CFF0FC"/>
            <w:noWrap/>
            <w:tcMar>
              <w:top w:w="15" w:type="dxa"/>
              <w:left w:w="0" w:type="dxa"/>
              <w:bottom w:w="0" w:type="dxa"/>
              <w:right w:w="15" w:type="dxa"/>
            </w:tcMar>
            <w:vAlign w:val="center"/>
            <w:hideMark/>
          </w:tcPr>
          <w:p w14:paraId="17E8786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49711F2A" w14:textId="77777777" w:rsidTr="00AC4931">
        <w:tc>
          <w:tcPr>
            <w:tcW w:w="10785" w:type="dxa"/>
            <w:shd w:val="clear" w:color="auto" w:fill="FFFFFF"/>
            <w:tcMar>
              <w:top w:w="15" w:type="dxa"/>
              <w:left w:w="0" w:type="dxa"/>
              <w:bottom w:w="0" w:type="dxa"/>
              <w:right w:w="15" w:type="dxa"/>
            </w:tcMar>
            <w:vAlign w:val="center"/>
            <w:hideMark/>
          </w:tcPr>
          <w:p w14:paraId="7C1395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Benefits reserved current year</w:t>
            </w:r>
          </w:p>
        </w:tc>
        <w:tc>
          <w:tcPr>
            <w:tcW w:w="245" w:type="dxa"/>
            <w:shd w:val="clear" w:color="auto" w:fill="FFFFFF"/>
            <w:tcMar>
              <w:top w:w="15" w:type="dxa"/>
              <w:left w:w="0" w:type="dxa"/>
              <w:bottom w:w="0" w:type="dxa"/>
              <w:right w:w="15" w:type="dxa"/>
            </w:tcMar>
            <w:vAlign w:val="bottom"/>
            <w:hideMark/>
          </w:tcPr>
          <w:p w14:paraId="165649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center"/>
            <w:hideMark/>
          </w:tcPr>
          <w:p w14:paraId="074DEA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center"/>
            <w:hideMark/>
          </w:tcPr>
          <w:p w14:paraId="531C6DF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13.9</w:t>
            </w:r>
          </w:p>
        </w:tc>
        <w:tc>
          <w:tcPr>
            <w:tcW w:w="150" w:type="dxa"/>
            <w:shd w:val="clear" w:color="auto" w:fill="FFFFFF"/>
            <w:noWrap/>
            <w:tcMar>
              <w:top w:w="15" w:type="dxa"/>
              <w:left w:w="0" w:type="dxa"/>
              <w:bottom w:w="0" w:type="dxa"/>
              <w:right w:w="15" w:type="dxa"/>
            </w:tcMar>
            <w:vAlign w:val="center"/>
            <w:hideMark/>
          </w:tcPr>
          <w:p w14:paraId="04B2DB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5C949C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center"/>
            <w:hideMark/>
          </w:tcPr>
          <w:p w14:paraId="4C4B62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center"/>
            <w:hideMark/>
          </w:tcPr>
          <w:p w14:paraId="02FD78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w:t>
            </w:r>
          </w:p>
        </w:tc>
        <w:tc>
          <w:tcPr>
            <w:tcW w:w="150" w:type="dxa"/>
            <w:shd w:val="clear" w:color="auto" w:fill="FFFFFF"/>
            <w:noWrap/>
            <w:tcMar>
              <w:top w:w="15" w:type="dxa"/>
              <w:left w:w="0" w:type="dxa"/>
              <w:bottom w:w="0" w:type="dxa"/>
              <w:right w:w="15" w:type="dxa"/>
            </w:tcMar>
            <w:vAlign w:val="center"/>
            <w:hideMark/>
          </w:tcPr>
          <w:p w14:paraId="50FDB5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30226C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center"/>
            <w:hideMark/>
          </w:tcPr>
          <w:p w14:paraId="339713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center"/>
            <w:hideMark/>
          </w:tcPr>
          <w:p w14:paraId="45D2D50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w:t>
            </w:r>
          </w:p>
        </w:tc>
        <w:tc>
          <w:tcPr>
            <w:tcW w:w="151" w:type="dxa"/>
            <w:shd w:val="clear" w:color="auto" w:fill="FFFFFF"/>
            <w:noWrap/>
            <w:tcMar>
              <w:top w:w="15" w:type="dxa"/>
              <w:left w:w="0" w:type="dxa"/>
              <w:bottom w:w="0" w:type="dxa"/>
              <w:right w:w="15" w:type="dxa"/>
            </w:tcMar>
            <w:vAlign w:val="center"/>
            <w:hideMark/>
          </w:tcPr>
          <w:p w14:paraId="444295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EE461F6" w14:textId="77777777" w:rsidTr="00AC4931">
        <w:tc>
          <w:tcPr>
            <w:tcW w:w="10785" w:type="dxa"/>
            <w:shd w:val="clear" w:color="auto" w:fill="CFF0FC"/>
            <w:tcMar>
              <w:top w:w="15" w:type="dxa"/>
              <w:left w:w="0" w:type="dxa"/>
              <w:bottom w:w="0" w:type="dxa"/>
              <w:right w:w="15" w:type="dxa"/>
            </w:tcMar>
            <w:vAlign w:val="center"/>
            <w:hideMark/>
          </w:tcPr>
          <w:p w14:paraId="13C564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Benefits recognized current year</w:t>
            </w:r>
          </w:p>
        </w:tc>
        <w:tc>
          <w:tcPr>
            <w:tcW w:w="245" w:type="dxa"/>
            <w:shd w:val="clear" w:color="auto" w:fill="CFF0FC"/>
            <w:tcMar>
              <w:top w:w="15" w:type="dxa"/>
              <w:left w:w="0" w:type="dxa"/>
              <w:bottom w:w="0" w:type="dxa"/>
              <w:right w:w="15" w:type="dxa"/>
            </w:tcMar>
            <w:vAlign w:val="bottom"/>
            <w:hideMark/>
          </w:tcPr>
          <w:p w14:paraId="16A4BF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center"/>
            <w:hideMark/>
          </w:tcPr>
          <w:p w14:paraId="494DA5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center"/>
            <w:hideMark/>
          </w:tcPr>
          <w:p w14:paraId="42C2D1B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w:t>
            </w:r>
          </w:p>
        </w:tc>
        <w:tc>
          <w:tcPr>
            <w:tcW w:w="150" w:type="dxa"/>
            <w:shd w:val="clear" w:color="auto" w:fill="CFF0FC"/>
            <w:noWrap/>
            <w:tcMar>
              <w:top w:w="15" w:type="dxa"/>
              <w:left w:w="0" w:type="dxa"/>
              <w:bottom w:w="0" w:type="dxa"/>
              <w:right w:w="15" w:type="dxa"/>
            </w:tcMar>
            <w:vAlign w:val="center"/>
            <w:hideMark/>
          </w:tcPr>
          <w:p w14:paraId="46F572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512E5B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center"/>
            <w:hideMark/>
          </w:tcPr>
          <w:p w14:paraId="7A893A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center"/>
            <w:hideMark/>
          </w:tcPr>
          <w:p w14:paraId="7DA1FB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(10.5</w:t>
            </w:r>
          </w:p>
        </w:tc>
        <w:tc>
          <w:tcPr>
            <w:tcW w:w="150" w:type="dxa"/>
            <w:shd w:val="clear" w:color="auto" w:fill="CFF0FC"/>
            <w:noWrap/>
            <w:tcMar>
              <w:top w:w="15" w:type="dxa"/>
              <w:left w:w="0" w:type="dxa"/>
              <w:bottom w:w="0" w:type="dxa"/>
              <w:right w:w="15" w:type="dxa"/>
            </w:tcMar>
            <w:vAlign w:val="center"/>
            <w:hideMark/>
          </w:tcPr>
          <w:p w14:paraId="4A358C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035D24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center"/>
            <w:hideMark/>
          </w:tcPr>
          <w:p w14:paraId="275146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center"/>
            <w:hideMark/>
          </w:tcPr>
          <w:p w14:paraId="740BF0E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(36.9</w:t>
            </w:r>
          </w:p>
        </w:tc>
        <w:tc>
          <w:tcPr>
            <w:tcW w:w="151" w:type="dxa"/>
            <w:shd w:val="clear" w:color="auto" w:fill="CFF0FC"/>
            <w:noWrap/>
            <w:tcMar>
              <w:top w:w="15" w:type="dxa"/>
              <w:left w:w="0" w:type="dxa"/>
              <w:bottom w:w="0" w:type="dxa"/>
              <w:right w:w="15" w:type="dxa"/>
            </w:tcMar>
            <w:vAlign w:val="center"/>
            <w:hideMark/>
          </w:tcPr>
          <w:p w14:paraId="0924AB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14999C2" w14:textId="77777777" w:rsidTr="00AC4931">
        <w:tc>
          <w:tcPr>
            <w:tcW w:w="10785" w:type="dxa"/>
            <w:shd w:val="clear" w:color="auto" w:fill="FFFFFF"/>
            <w:tcMar>
              <w:top w:w="15" w:type="dxa"/>
              <w:left w:w="0" w:type="dxa"/>
              <w:bottom w:w="0" w:type="dxa"/>
              <w:right w:w="15" w:type="dxa"/>
            </w:tcMar>
            <w:vAlign w:val="center"/>
            <w:hideMark/>
          </w:tcPr>
          <w:p w14:paraId="7A8F03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Write-offs and other changes</w:t>
            </w:r>
          </w:p>
        </w:tc>
        <w:tc>
          <w:tcPr>
            <w:tcW w:w="245" w:type="dxa"/>
            <w:shd w:val="clear" w:color="auto" w:fill="FFFFFF"/>
            <w:tcMar>
              <w:top w:w="15" w:type="dxa"/>
              <w:left w:w="0" w:type="dxa"/>
              <w:bottom w:w="0" w:type="dxa"/>
              <w:right w:w="15" w:type="dxa"/>
            </w:tcMar>
            <w:vAlign w:val="bottom"/>
            <w:hideMark/>
          </w:tcPr>
          <w:p w14:paraId="5B82EC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center"/>
            <w:hideMark/>
          </w:tcPr>
          <w:p w14:paraId="48BE63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center"/>
            <w:hideMark/>
          </w:tcPr>
          <w:p w14:paraId="4AF6E1A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center"/>
            <w:hideMark/>
          </w:tcPr>
          <w:p w14:paraId="7C3C32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2C7454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center"/>
            <w:hideMark/>
          </w:tcPr>
          <w:p w14:paraId="05D228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center"/>
            <w:hideMark/>
          </w:tcPr>
          <w:p w14:paraId="6A60B2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center"/>
            <w:hideMark/>
          </w:tcPr>
          <w:p w14:paraId="1AB7DE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1AE57C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center"/>
            <w:hideMark/>
          </w:tcPr>
          <w:p w14:paraId="70E1EC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center"/>
            <w:hideMark/>
          </w:tcPr>
          <w:p w14:paraId="26354B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1" w:type="dxa"/>
            <w:shd w:val="clear" w:color="auto" w:fill="FFFFFF"/>
            <w:noWrap/>
            <w:tcMar>
              <w:top w:w="15" w:type="dxa"/>
              <w:left w:w="0" w:type="dxa"/>
              <w:bottom w:w="0" w:type="dxa"/>
              <w:right w:w="15" w:type="dxa"/>
            </w:tcMar>
            <w:vAlign w:val="center"/>
            <w:hideMark/>
          </w:tcPr>
          <w:p w14:paraId="65A620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551217C" w14:textId="77777777" w:rsidTr="00AC4931">
        <w:tc>
          <w:tcPr>
            <w:tcW w:w="10785" w:type="dxa"/>
            <w:shd w:val="clear" w:color="auto" w:fill="CFF0FC"/>
            <w:tcMar>
              <w:top w:w="15" w:type="dxa"/>
              <w:left w:w="0" w:type="dxa"/>
              <w:bottom w:w="0" w:type="dxa"/>
              <w:right w:w="15" w:type="dxa"/>
            </w:tcMar>
            <w:vAlign w:val="center"/>
            <w:hideMark/>
          </w:tcPr>
          <w:p w14:paraId="6F9C7E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Translation difference</w:t>
            </w:r>
          </w:p>
        </w:tc>
        <w:tc>
          <w:tcPr>
            <w:tcW w:w="245" w:type="dxa"/>
            <w:shd w:val="clear" w:color="auto" w:fill="CFF0FC"/>
            <w:tcMar>
              <w:top w:w="15" w:type="dxa"/>
              <w:left w:w="0" w:type="dxa"/>
              <w:bottom w:w="0" w:type="dxa"/>
              <w:right w:w="15" w:type="dxa"/>
            </w:tcMar>
            <w:vAlign w:val="bottom"/>
            <w:hideMark/>
          </w:tcPr>
          <w:p w14:paraId="61B816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center"/>
            <w:hideMark/>
          </w:tcPr>
          <w:p w14:paraId="6E43D2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center"/>
            <w:hideMark/>
          </w:tcPr>
          <w:p w14:paraId="3AE3634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(5.6</w:t>
            </w:r>
          </w:p>
        </w:tc>
        <w:tc>
          <w:tcPr>
            <w:tcW w:w="150" w:type="dxa"/>
            <w:shd w:val="clear" w:color="auto" w:fill="CFF0FC"/>
            <w:noWrap/>
            <w:tcMar>
              <w:top w:w="15" w:type="dxa"/>
              <w:left w:w="0" w:type="dxa"/>
              <w:bottom w:w="0" w:type="dxa"/>
              <w:right w:w="15" w:type="dxa"/>
            </w:tcMar>
            <w:vAlign w:val="center"/>
            <w:hideMark/>
          </w:tcPr>
          <w:p w14:paraId="4064DE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78B605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center"/>
            <w:hideMark/>
          </w:tcPr>
          <w:p w14:paraId="7A0DC7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center"/>
            <w:hideMark/>
          </w:tcPr>
          <w:p w14:paraId="7DB2712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w:t>
            </w:r>
          </w:p>
        </w:tc>
        <w:tc>
          <w:tcPr>
            <w:tcW w:w="150" w:type="dxa"/>
            <w:shd w:val="clear" w:color="auto" w:fill="CFF0FC"/>
            <w:noWrap/>
            <w:tcMar>
              <w:top w:w="15" w:type="dxa"/>
              <w:left w:w="0" w:type="dxa"/>
              <w:bottom w:w="0" w:type="dxa"/>
              <w:right w:w="15" w:type="dxa"/>
            </w:tcMar>
            <w:vAlign w:val="center"/>
            <w:hideMark/>
          </w:tcPr>
          <w:p w14:paraId="41AB79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6A7138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center"/>
            <w:hideMark/>
          </w:tcPr>
          <w:p w14:paraId="149980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center"/>
            <w:hideMark/>
          </w:tcPr>
          <w:p w14:paraId="5FD5159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(9.1</w:t>
            </w:r>
          </w:p>
        </w:tc>
        <w:tc>
          <w:tcPr>
            <w:tcW w:w="151" w:type="dxa"/>
            <w:shd w:val="clear" w:color="auto" w:fill="CFF0FC"/>
            <w:noWrap/>
            <w:tcMar>
              <w:top w:w="15" w:type="dxa"/>
              <w:left w:w="0" w:type="dxa"/>
              <w:bottom w:w="0" w:type="dxa"/>
              <w:right w:w="15" w:type="dxa"/>
            </w:tcMar>
            <w:vAlign w:val="center"/>
            <w:hideMark/>
          </w:tcPr>
          <w:p w14:paraId="0CA9B3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B2FF3FE" w14:textId="77777777" w:rsidTr="00AC4931">
        <w:tc>
          <w:tcPr>
            <w:tcW w:w="10785" w:type="dxa"/>
            <w:shd w:val="clear" w:color="auto" w:fill="FFFFFF"/>
            <w:tcMar>
              <w:top w:w="15" w:type="dxa"/>
              <w:left w:w="0" w:type="dxa"/>
              <w:bottom w:w="0" w:type="dxa"/>
              <w:right w:w="15" w:type="dxa"/>
            </w:tcMar>
            <w:vAlign w:val="center"/>
            <w:hideMark/>
          </w:tcPr>
          <w:p w14:paraId="747E83E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Allowances at end of year</w:t>
            </w:r>
          </w:p>
        </w:tc>
        <w:tc>
          <w:tcPr>
            <w:tcW w:w="245" w:type="dxa"/>
            <w:shd w:val="clear" w:color="auto" w:fill="FFFFFF"/>
            <w:tcMar>
              <w:top w:w="15" w:type="dxa"/>
              <w:left w:w="0" w:type="dxa"/>
              <w:bottom w:w="0" w:type="dxa"/>
              <w:right w:w="15" w:type="dxa"/>
            </w:tcMar>
            <w:vAlign w:val="bottom"/>
            <w:hideMark/>
          </w:tcPr>
          <w:p w14:paraId="34986B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center"/>
            <w:hideMark/>
          </w:tcPr>
          <w:p w14:paraId="5665A01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FFFFFF"/>
            <w:noWrap/>
            <w:tcMar>
              <w:top w:w="15" w:type="dxa"/>
              <w:left w:w="0" w:type="dxa"/>
              <w:bottom w:w="0" w:type="dxa"/>
              <w:right w:w="15" w:type="dxa"/>
            </w:tcMar>
            <w:vAlign w:val="center"/>
            <w:hideMark/>
          </w:tcPr>
          <w:p w14:paraId="13BB1FF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67.9</w:t>
            </w:r>
          </w:p>
        </w:tc>
        <w:tc>
          <w:tcPr>
            <w:tcW w:w="150" w:type="dxa"/>
            <w:shd w:val="clear" w:color="auto" w:fill="FFFFFF"/>
            <w:noWrap/>
            <w:tcMar>
              <w:top w:w="15" w:type="dxa"/>
              <w:left w:w="0" w:type="dxa"/>
              <w:bottom w:w="0" w:type="dxa"/>
              <w:right w:w="15" w:type="dxa"/>
            </w:tcMar>
            <w:vAlign w:val="center"/>
            <w:hideMark/>
          </w:tcPr>
          <w:p w14:paraId="0CC72F5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5070BF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center"/>
            <w:hideMark/>
          </w:tcPr>
          <w:p w14:paraId="1068CA5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FFFFFF"/>
            <w:noWrap/>
            <w:tcMar>
              <w:top w:w="15" w:type="dxa"/>
              <w:left w:w="0" w:type="dxa"/>
              <w:bottom w:w="0" w:type="dxa"/>
              <w:right w:w="15" w:type="dxa"/>
            </w:tcMar>
            <w:vAlign w:val="center"/>
            <w:hideMark/>
          </w:tcPr>
          <w:p w14:paraId="1F282B4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60.7</w:t>
            </w:r>
          </w:p>
        </w:tc>
        <w:tc>
          <w:tcPr>
            <w:tcW w:w="150" w:type="dxa"/>
            <w:shd w:val="clear" w:color="auto" w:fill="FFFFFF"/>
            <w:noWrap/>
            <w:tcMar>
              <w:top w:w="15" w:type="dxa"/>
              <w:left w:w="0" w:type="dxa"/>
              <w:bottom w:w="0" w:type="dxa"/>
              <w:right w:w="15" w:type="dxa"/>
            </w:tcMar>
            <w:vAlign w:val="center"/>
            <w:hideMark/>
          </w:tcPr>
          <w:p w14:paraId="63100B7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7993DC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center"/>
            <w:hideMark/>
          </w:tcPr>
          <w:p w14:paraId="386D84B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FFFFFF"/>
            <w:noWrap/>
            <w:tcMar>
              <w:top w:w="15" w:type="dxa"/>
              <w:left w:w="0" w:type="dxa"/>
              <w:bottom w:w="0" w:type="dxa"/>
              <w:right w:w="15" w:type="dxa"/>
            </w:tcMar>
            <w:vAlign w:val="center"/>
            <w:hideMark/>
          </w:tcPr>
          <w:p w14:paraId="5C89178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71.0</w:t>
            </w:r>
          </w:p>
        </w:tc>
        <w:tc>
          <w:tcPr>
            <w:tcW w:w="151" w:type="dxa"/>
            <w:shd w:val="clear" w:color="auto" w:fill="FFFFFF"/>
            <w:noWrap/>
            <w:tcMar>
              <w:top w:w="15" w:type="dxa"/>
              <w:left w:w="0" w:type="dxa"/>
              <w:bottom w:w="0" w:type="dxa"/>
              <w:right w:w="15" w:type="dxa"/>
            </w:tcMar>
            <w:vAlign w:val="center"/>
            <w:hideMark/>
          </w:tcPr>
          <w:p w14:paraId="12596979"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49B0111E"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028D8E6F"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71</w:t>
      </w:r>
    </w:p>
    <w:p w14:paraId="0B9DE65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39A1296"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8C7EEC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9213C15"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500B023">
          <v:rect id="_x0000_i1098" style="width:0;height:1.5pt" o:hralign="center" o:hrstd="t" o:hrnoshade="t" o:hr="t" fillcolor="black" stroked="f"/>
        </w:pict>
      </w:r>
    </w:p>
    <w:p w14:paraId="0B0AFD60"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FA6F636"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340412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31005E0" w14:textId="77777777" w:rsidR="00AC4931" w:rsidRPr="00AC4931" w:rsidRDefault="00AC4931" w:rsidP="00AC4931">
      <w:pPr>
        <w:widowControl/>
        <w:jc w:val="left"/>
        <w:rPr>
          <w:rFonts w:ascii="Times New Roman" w:eastAsia="宋体" w:hAnsi="Times New Roman" w:cs="Times New Roman" w:hint="eastAsia"/>
          <w:kern w:val="0"/>
          <w:sz w:val="22"/>
        </w:rPr>
      </w:pPr>
      <w:r w:rsidRPr="00AC4931">
        <w:rPr>
          <w:rFonts w:ascii="Times New Roman" w:eastAsia="宋体" w:hAnsi="Times New Roman" w:cs="Times New Roman"/>
          <w:kern w:val="0"/>
          <w:sz w:val="22"/>
        </w:rPr>
        <w:t> </w:t>
      </w:r>
    </w:p>
    <w:p w14:paraId="28BE4FA0" w14:textId="77777777" w:rsidR="00AC4931" w:rsidRPr="00AC4931" w:rsidRDefault="00AC4931" w:rsidP="00AC4931">
      <w:pPr>
        <w:widowControl/>
        <w:spacing w:before="100"/>
        <w:rPr>
          <w:rFonts w:ascii="Arial" w:eastAsia="宋体" w:hAnsi="Arial" w:cs="Arial"/>
          <w:b/>
          <w:bCs/>
          <w:kern w:val="0"/>
          <w:sz w:val="22"/>
        </w:rPr>
      </w:pPr>
      <w:r w:rsidRPr="00AC4931">
        <w:rPr>
          <w:rFonts w:ascii="Arial" w:eastAsia="宋体" w:hAnsi="Arial" w:cs="Arial"/>
          <w:b/>
          <w:bCs/>
          <w:kern w:val="0"/>
          <w:sz w:val="22"/>
        </w:rPr>
        <w:t>7. Receivables</w:t>
      </w:r>
    </w:p>
    <w:p w14:paraId="28017129"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53"/>
        <w:gridCol w:w="247"/>
        <w:gridCol w:w="159"/>
        <w:gridCol w:w="1314"/>
        <w:gridCol w:w="159"/>
        <w:gridCol w:w="247"/>
        <w:gridCol w:w="159"/>
        <w:gridCol w:w="1314"/>
        <w:gridCol w:w="159"/>
        <w:gridCol w:w="247"/>
        <w:gridCol w:w="159"/>
        <w:gridCol w:w="1314"/>
        <w:gridCol w:w="160"/>
      </w:tblGrid>
      <w:tr w:rsidR="00AC4931" w:rsidRPr="00AC4931" w14:paraId="7E2A0AB9" w14:textId="77777777" w:rsidTr="00AC4931">
        <w:tc>
          <w:tcPr>
            <w:tcW w:w="10785" w:type="dxa"/>
            <w:shd w:val="clear" w:color="auto" w:fill="FFFFFF"/>
            <w:tcMar>
              <w:top w:w="15" w:type="dxa"/>
              <w:left w:w="0" w:type="dxa"/>
              <w:bottom w:w="0" w:type="dxa"/>
              <w:right w:w="15" w:type="dxa"/>
            </w:tcMar>
            <w:vAlign w:val="bottom"/>
            <w:hideMark/>
          </w:tcPr>
          <w:p w14:paraId="5A5F090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DECEMBER 31</w:t>
            </w:r>
          </w:p>
        </w:tc>
        <w:tc>
          <w:tcPr>
            <w:tcW w:w="245" w:type="dxa"/>
            <w:shd w:val="clear" w:color="auto" w:fill="FFFFFF"/>
            <w:tcMar>
              <w:top w:w="15" w:type="dxa"/>
              <w:left w:w="0" w:type="dxa"/>
              <w:bottom w:w="0" w:type="dxa"/>
              <w:right w:w="15" w:type="dxa"/>
            </w:tcMar>
            <w:vAlign w:val="bottom"/>
            <w:hideMark/>
          </w:tcPr>
          <w:p w14:paraId="0AEA81A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617BAB6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606C0EF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2C873DE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5B5E796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5264E80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0426D69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610374E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5CA9EE5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4FE449D1" w14:textId="77777777" w:rsidTr="00AC4931">
        <w:tc>
          <w:tcPr>
            <w:tcW w:w="10785" w:type="dxa"/>
            <w:shd w:val="clear" w:color="auto" w:fill="CFF0FC"/>
            <w:tcMar>
              <w:top w:w="15" w:type="dxa"/>
              <w:left w:w="0" w:type="dxa"/>
              <w:bottom w:w="0" w:type="dxa"/>
              <w:right w:w="15" w:type="dxa"/>
            </w:tcMar>
            <w:hideMark/>
          </w:tcPr>
          <w:p w14:paraId="2DEA4A1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Receivables</w:t>
            </w:r>
          </w:p>
        </w:tc>
        <w:tc>
          <w:tcPr>
            <w:tcW w:w="245" w:type="dxa"/>
            <w:shd w:val="clear" w:color="auto" w:fill="CFF0FC"/>
            <w:tcMar>
              <w:top w:w="15" w:type="dxa"/>
              <w:left w:w="0" w:type="dxa"/>
              <w:bottom w:w="0" w:type="dxa"/>
              <w:right w:w="15" w:type="dxa"/>
            </w:tcMar>
            <w:vAlign w:val="bottom"/>
            <w:hideMark/>
          </w:tcPr>
          <w:p w14:paraId="10299A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7204A9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1CD9ADD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1,831.4</w:t>
            </w:r>
          </w:p>
        </w:tc>
        <w:tc>
          <w:tcPr>
            <w:tcW w:w="150" w:type="dxa"/>
            <w:shd w:val="clear" w:color="auto" w:fill="CFF0FC"/>
            <w:noWrap/>
            <w:tcMar>
              <w:top w:w="15" w:type="dxa"/>
              <w:left w:w="0" w:type="dxa"/>
              <w:bottom w:w="0" w:type="dxa"/>
              <w:right w:w="15" w:type="dxa"/>
            </w:tcMar>
            <w:vAlign w:val="bottom"/>
            <w:hideMark/>
          </w:tcPr>
          <w:p w14:paraId="65EDD82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708B51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BCEE1D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3ABA0AE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1,632.4</w:t>
            </w:r>
          </w:p>
        </w:tc>
        <w:tc>
          <w:tcPr>
            <w:tcW w:w="150" w:type="dxa"/>
            <w:shd w:val="clear" w:color="auto" w:fill="CFF0FC"/>
            <w:noWrap/>
            <w:tcMar>
              <w:top w:w="15" w:type="dxa"/>
              <w:left w:w="0" w:type="dxa"/>
              <w:bottom w:w="0" w:type="dxa"/>
              <w:right w:w="15" w:type="dxa"/>
            </w:tcMar>
            <w:vAlign w:val="bottom"/>
            <w:hideMark/>
          </w:tcPr>
          <w:p w14:paraId="0E423DE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1E4DA0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322C3E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07C1D2F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1,659.4</w:t>
            </w:r>
          </w:p>
        </w:tc>
        <w:tc>
          <w:tcPr>
            <w:tcW w:w="151" w:type="dxa"/>
            <w:shd w:val="clear" w:color="auto" w:fill="CFF0FC"/>
            <w:noWrap/>
            <w:tcMar>
              <w:top w:w="15" w:type="dxa"/>
              <w:left w:w="0" w:type="dxa"/>
              <w:bottom w:w="0" w:type="dxa"/>
              <w:right w:w="15" w:type="dxa"/>
            </w:tcMar>
            <w:vAlign w:val="bottom"/>
            <w:hideMark/>
          </w:tcPr>
          <w:p w14:paraId="31C78FC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10841BA" w14:textId="77777777" w:rsidTr="00AC4931">
        <w:tc>
          <w:tcPr>
            <w:tcW w:w="10785" w:type="dxa"/>
            <w:shd w:val="clear" w:color="auto" w:fill="FFFFFF"/>
            <w:tcMar>
              <w:top w:w="15" w:type="dxa"/>
              <w:left w:w="0" w:type="dxa"/>
              <w:bottom w:w="0" w:type="dxa"/>
              <w:right w:w="15" w:type="dxa"/>
            </w:tcMar>
            <w:vAlign w:val="bottom"/>
            <w:hideMark/>
          </w:tcPr>
          <w:p w14:paraId="03F0C66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Allowance at beginning of year</w:t>
            </w:r>
          </w:p>
        </w:tc>
        <w:tc>
          <w:tcPr>
            <w:tcW w:w="245" w:type="dxa"/>
            <w:shd w:val="clear" w:color="auto" w:fill="FFFFFF"/>
            <w:tcMar>
              <w:top w:w="15" w:type="dxa"/>
              <w:left w:w="0" w:type="dxa"/>
              <w:bottom w:w="0" w:type="dxa"/>
              <w:right w:w="15" w:type="dxa"/>
            </w:tcMar>
            <w:vAlign w:val="bottom"/>
            <w:hideMark/>
          </w:tcPr>
          <w:p w14:paraId="46F8DB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409952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0EAC5A0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(8.5</w:t>
            </w:r>
          </w:p>
        </w:tc>
        <w:tc>
          <w:tcPr>
            <w:tcW w:w="150" w:type="dxa"/>
            <w:shd w:val="clear" w:color="auto" w:fill="FFFFFF"/>
            <w:noWrap/>
            <w:tcMar>
              <w:top w:w="15" w:type="dxa"/>
              <w:left w:w="0" w:type="dxa"/>
              <w:bottom w:w="0" w:type="dxa"/>
              <w:right w:w="15" w:type="dxa"/>
            </w:tcMar>
            <w:vAlign w:val="bottom"/>
            <w:hideMark/>
          </w:tcPr>
          <w:p w14:paraId="05069C5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69A912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634780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75ED604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(7.3</w:t>
            </w:r>
          </w:p>
        </w:tc>
        <w:tc>
          <w:tcPr>
            <w:tcW w:w="150" w:type="dxa"/>
            <w:shd w:val="clear" w:color="auto" w:fill="FFFFFF"/>
            <w:noWrap/>
            <w:tcMar>
              <w:top w:w="15" w:type="dxa"/>
              <w:left w:w="0" w:type="dxa"/>
              <w:bottom w:w="0" w:type="dxa"/>
              <w:right w:w="15" w:type="dxa"/>
            </w:tcMar>
            <w:vAlign w:val="bottom"/>
            <w:hideMark/>
          </w:tcPr>
          <w:p w14:paraId="2E92BB4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4E26D9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37D520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39BFB85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(6.3</w:t>
            </w:r>
          </w:p>
        </w:tc>
        <w:tc>
          <w:tcPr>
            <w:tcW w:w="151" w:type="dxa"/>
            <w:shd w:val="clear" w:color="auto" w:fill="FFFFFF"/>
            <w:noWrap/>
            <w:tcMar>
              <w:top w:w="15" w:type="dxa"/>
              <w:left w:w="0" w:type="dxa"/>
              <w:bottom w:w="0" w:type="dxa"/>
              <w:right w:w="15" w:type="dxa"/>
            </w:tcMar>
            <w:vAlign w:val="bottom"/>
            <w:hideMark/>
          </w:tcPr>
          <w:p w14:paraId="0B10DD5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2AE6C08B" w14:textId="77777777" w:rsidTr="00AC4931">
        <w:tc>
          <w:tcPr>
            <w:tcW w:w="10785" w:type="dxa"/>
            <w:shd w:val="clear" w:color="auto" w:fill="CFF0FC"/>
            <w:tcMar>
              <w:top w:w="15" w:type="dxa"/>
              <w:left w:w="0" w:type="dxa"/>
              <w:bottom w:w="0" w:type="dxa"/>
              <w:right w:w="15" w:type="dxa"/>
            </w:tcMar>
            <w:hideMark/>
          </w:tcPr>
          <w:p w14:paraId="54CE3E5B"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Reversal of allowance</w:t>
            </w:r>
          </w:p>
        </w:tc>
        <w:tc>
          <w:tcPr>
            <w:tcW w:w="245" w:type="dxa"/>
            <w:shd w:val="clear" w:color="auto" w:fill="CFF0FC"/>
            <w:tcMar>
              <w:top w:w="15" w:type="dxa"/>
              <w:left w:w="0" w:type="dxa"/>
              <w:bottom w:w="0" w:type="dxa"/>
              <w:right w:w="15" w:type="dxa"/>
            </w:tcMar>
            <w:vAlign w:val="bottom"/>
            <w:hideMark/>
          </w:tcPr>
          <w:p w14:paraId="073B15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0AE23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3391629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6.7</w:t>
            </w:r>
          </w:p>
        </w:tc>
        <w:tc>
          <w:tcPr>
            <w:tcW w:w="150" w:type="dxa"/>
            <w:shd w:val="clear" w:color="auto" w:fill="CFF0FC"/>
            <w:noWrap/>
            <w:tcMar>
              <w:top w:w="15" w:type="dxa"/>
              <w:left w:w="0" w:type="dxa"/>
              <w:bottom w:w="0" w:type="dxa"/>
              <w:right w:w="15" w:type="dxa"/>
            </w:tcMar>
            <w:vAlign w:val="bottom"/>
            <w:hideMark/>
          </w:tcPr>
          <w:p w14:paraId="6B7F0B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03FB36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77013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019CA4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w:t>
            </w:r>
          </w:p>
        </w:tc>
        <w:tc>
          <w:tcPr>
            <w:tcW w:w="150" w:type="dxa"/>
            <w:shd w:val="clear" w:color="auto" w:fill="CFF0FC"/>
            <w:noWrap/>
            <w:tcMar>
              <w:top w:w="15" w:type="dxa"/>
              <w:left w:w="0" w:type="dxa"/>
              <w:bottom w:w="0" w:type="dxa"/>
              <w:right w:w="15" w:type="dxa"/>
            </w:tcMar>
            <w:vAlign w:val="bottom"/>
            <w:hideMark/>
          </w:tcPr>
          <w:p w14:paraId="716845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483814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A8238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60C49CD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w:t>
            </w:r>
          </w:p>
        </w:tc>
        <w:tc>
          <w:tcPr>
            <w:tcW w:w="151" w:type="dxa"/>
            <w:shd w:val="clear" w:color="auto" w:fill="CFF0FC"/>
            <w:noWrap/>
            <w:tcMar>
              <w:top w:w="15" w:type="dxa"/>
              <w:left w:w="0" w:type="dxa"/>
              <w:bottom w:w="0" w:type="dxa"/>
              <w:right w:w="15" w:type="dxa"/>
            </w:tcMar>
            <w:vAlign w:val="bottom"/>
            <w:hideMark/>
          </w:tcPr>
          <w:p w14:paraId="71C197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6BA2A64" w14:textId="77777777" w:rsidTr="00AC4931">
        <w:tc>
          <w:tcPr>
            <w:tcW w:w="10785" w:type="dxa"/>
            <w:shd w:val="clear" w:color="auto" w:fill="FFFFFF"/>
            <w:tcMar>
              <w:top w:w="15" w:type="dxa"/>
              <w:left w:w="0" w:type="dxa"/>
              <w:bottom w:w="0" w:type="dxa"/>
              <w:right w:w="15" w:type="dxa"/>
            </w:tcMar>
            <w:hideMark/>
          </w:tcPr>
          <w:p w14:paraId="717565A4"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Addition to allowance</w:t>
            </w:r>
          </w:p>
        </w:tc>
        <w:tc>
          <w:tcPr>
            <w:tcW w:w="245" w:type="dxa"/>
            <w:shd w:val="clear" w:color="auto" w:fill="FFFFFF"/>
            <w:tcMar>
              <w:top w:w="15" w:type="dxa"/>
              <w:left w:w="0" w:type="dxa"/>
              <w:bottom w:w="0" w:type="dxa"/>
              <w:right w:w="15" w:type="dxa"/>
            </w:tcMar>
            <w:vAlign w:val="bottom"/>
            <w:hideMark/>
          </w:tcPr>
          <w:p w14:paraId="3FC939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5BFB1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45FEFB8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(10.5</w:t>
            </w:r>
          </w:p>
        </w:tc>
        <w:tc>
          <w:tcPr>
            <w:tcW w:w="150" w:type="dxa"/>
            <w:shd w:val="clear" w:color="auto" w:fill="FFFFFF"/>
            <w:noWrap/>
            <w:tcMar>
              <w:top w:w="15" w:type="dxa"/>
              <w:left w:w="0" w:type="dxa"/>
              <w:bottom w:w="0" w:type="dxa"/>
              <w:right w:w="15" w:type="dxa"/>
            </w:tcMar>
            <w:vAlign w:val="bottom"/>
            <w:hideMark/>
          </w:tcPr>
          <w:p w14:paraId="620339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30D091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C794B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6450EF3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(5.1</w:t>
            </w:r>
          </w:p>
        </w:tc>
        <w:tc>
          <w:tcPr>
            <w:tcW w:w="150" w:type="dxa"/>
            <w:shd w:val="clear" w:color="auto" w:fill="FFFFFF"/>
            <w:noWrap/>
            <w:tcMar>
              <w:top w:w="15" w:type="dxa"/>
              <w:left w:w="0" w:type="dxa"/>
              <w:bottom w:w="0" w:type="dxa"/>
              <w:right w:w="15" w:type="dxa"/>
            </w:tcMar>
            <w:vAlign w:val="bottom"/>
            <w:hideMark/>
          </w:tcPr>
          <w:p w14:paraId="0FF518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48B0F7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80EA4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74DC87E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w:t>
            </w:r>
          </w:p>
        </w:tc>
        <w:tc>
          <w:tcPr>
            <w:tcW w:w="151" w:type="dxa"/>
            <w:shd w:val="clear" w:color="auto" w:fill="FFFFFF"/>
            <w:noWrap/>
            <w:tcMar>
              <w:top w:w="15" w:type="dxa"/>
              <w:left w:w="0" w:type="dxa"/>
              <w:bottom w:w="0" w:type="dxa"/>
              <w:right w:w="15" w:type="dxa"/>
            </w:tcMar>
            <w:vAlign w:val="bottom"/>
            <w:hideMark/>
          </w:tcPr>
          <w:p w14:paraId="4B577F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245AC0A" w14:textId="77777777" w:rsidTr="00AC4931">
        <w:tc>
          <w:tcPr>
            <w:tcW w:w="10785" w:type="dxa"/>
            <w:shd w:val="clear" w:color="auto" w:fill="CFF0FC"/>
            <w:tcMar>
              <w:top w:w="15" w:type="dxa"/>
              <w:left w:w="0" w:type="dxa"/>
              <w:bottom w:w="0" w:type="dxa"/>
              <w:right w:w="15" w:type="dxa"/>
            </w:tcMar>
            <w:hideMark/>
          </w:tcPr>
          <w:p w14:paraId="5EF94499"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Write-off against allowance</w:t>
            </w:r>
          </w:p>
        </w:tc>
        <w:tc>
          <w:tcPr>
            <w:tcW w:w="245" w:type="dxa"/>
            <w:shd w:val="clear" w:color="auto" w:fill="CFF0FC"/>
            <w:tcMar>
              <w:top w:w="15" w:type="dxa"/>
              <w:left w:w="0" w:type="dxa"/>
              <w:bottom w:w="0" w:type="dxa"/>
              <w:right w:w="15" w:type="dxa"/>
            </w:tcMar>
            <w:vAlign w:val="bottom"/>
            <w:hideMark/>
          </w:tcPr>
          <w:p w14:paraId="1BC98E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E708E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5F2314A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w:t>
            </w:r>
          </w:p>
        </w:tc>
        <w:tc>
          <w:tcPr>
            <w:tcW w:w="150" w:type="dxa"/>
            <w:shd w:val="clear" w:color="auto" w:fill="CFF0FC"/>
            <w:noWrap/>
            <w:tcMar>
              <w:top w:w="15" w:type="dxa"/>
              <w:left w:w="0" w:type="dxa"/>
              <w:bottom w:w="0" w:type="dxa"/>
              <w:right w:w="15" w:type="dxa"/>
            </w:tcMar>
            <w:vAlign w:val="bottom"/>
            <w:hideMark/>
          </w:tcPr>
          <w:p w14:paraId="5FDD38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44D1E4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33170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5AA3FD5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50" w:type="dxa"/>
            <w:shd w:val="clear" w:color="auto" w:fill="CFF0FC"/>
            <w:noWrap/>
            <w:tcMar>
              <w:top w:w="15" w:type="dxa"/>
              <w:left w:w="0" w:type="dxa"/>
              <w:bottom w:w="0" w:type="dxa"/>
              <w:right w:w="15" w:type="dxa"/>
            </w:tcMar>
            <w:vAlign w:val="bottom"/>
            <w:hideMark/>
          </w:tcPr>
          <w:p w14:paraId="603A8D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41564F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73832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31E76F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w:t>
            </w:r>
          </w:p>
        </w:tc>
        <w:tc>
          <w:tcPr>
            <w:tcW w:w="151" w:type="dxa"/>
            <w:shd w:val="clear" w:color="auto" w:fill="CFF0FC"/>
            <w:noWrap/>
            <w:tcMar>
              <w:top w:w="15" w:type="dxa"/>
              <w:left w:w="0" w:type="dxa"/>
              <w:bottom w:w="0" w:type="dxa"/>
              <w:right w:w="15" w:type="dxa"/>
            </w:tcMar>
            <w:vAlign w:val="bottom"/>
            <w:hideMark/>
          </w:tcPr>
          <w:p w14:paraId="16B53F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98AFFBD" w14:textId="77777777" w:rsidTr="00AC4931">
        <w:tc>
          <w:tcPr>
            <w:tcW w:w="10785" w:type="dxa"/>
            <w:shd w:val="clear" w:color="auto" w:fill="FFFFFF"/>
            <w:tcMar>
              <w:top w:w="15" w:type="dxa"/>
              <w:left w:w="0" w:type="dxa"/>
              <w:bottom w:w="0" w:type="dxa"/>
              <w:right w:w="15" w:type="dxa"/>
            </w:tcMar>
            <w:hideMark/>
          </w:tcPr>
          <w:p w14:paraId="05E5DDCB"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Translation difference</w:t>
            </w:r>
          </w:p>
        </w:tc>
        <w:tc>
          <w:tcPr>
            <w:tcW w:w="245" w:type="dxa"/>
            <w:shd w:val="clear" w:color="auto" w:fill="FFFFFF"/>
            <w:tcMar>
              <w:top w:w="15" w:type="dxa"/>
              <w:left w:w="0" w:type="dxa"/>
              <w:bottom w:w="0" w:type="dxa"/>
              <w:right w:w="15" w:type="dxa"/>
            </w:tcMar>
            <w:vAlign w:val="bottom"/>
            <w:hideMark/>
          </w:tcPr>
          <w:p w14:paraId="5E7A66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18B267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0F42B57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w:t>
            </w:r>
          </w:p>
        </w:tc>
        <w:tc>
          <w:tcPr>
            <w:tcW w:w="150" w:type="dxa"/>
            <w:shd w:val="clear" w:color="auto" w:fill="FFFFFF"/>
            <w:noWrap/>
            <w:tcMar>
              <w:top w:w="15" w:type="dxa"/>
              <w:left w:w="0" w:type="dxa"/>
              <w:bottom w:w="0" w:type="dxa"/>
              <w:right w:w="15" w:type="dxa"/>
            </w:tcMar>
            <w:vAlign w:val="bottom"/>
            <w:hideMark/>
          </w:tcPr>
          <w:p w14:paraId="0D38A7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517C74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2E9382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6BF701C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50" w:type="dxa"/>
            <w:shd w:val="clear" w:color="auto" w:fill="FFFFFF"/>
            <w:noWrap/>
            <w:tcMar>
              <w:top w:w="15" w:type="dxa"/>
              <w:left w:w="0" w:type="dxa"/>
              <w:bottom w:w="0" w:type="dxa"/>
              <w:right w:w="15" w:type="dxa"/>
            </w:tcMar>
            <w:vAlign w:val="bottom"/>
            <w:hideMark/>
          </w:tcPr>
          <w:p w14:paraId="7E0CC1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4A5811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2FAB0B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4FF6CE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51" w:type="dxa"/>
            <w:shd w:val="clear" w:color="auto" w:fill="FFFFFF"/>
            <w:noWrap/>
            <w:tcMar>
              <w:top w:w="15" w:type="dxa"/>
              <w:left w:w="0" w:type="dxa"/>
              <w:bottom w:w="0" w:type="dxa"/>
              <w:right w:w="15" w:type="dxa"/>
            </w:tcMar>
            <w:vAlign w:val="bottom"/>
            <w:hideMark/>
          </w:tcPr>
          <w:p w14:paraId="4A64D6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DDB1513" w14:textId="77777777" w:rsidTr="00AC4931">
        <w:tc>
          <w:tcPr>
            <w:tcW w:w="10785" w:type="dxa"/>
            <w:shd w:val="clear" w:color="auto" w:fill="CFF0FC"/>
            <w:tcMar>
              <w:top w:w="15" w:type="dxa"/>
              <w:left w:w="0" w:type="dxa"/>
              <w:bottom w:w="0" w:type="dxa"/>
              <w:right w:w="15" w:type="dxa"/>
            </w:tcMar>
            <w:hideMark/>
          </w:tcPr>
          <w:p w14:paraId="0481A4F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Allowance at end of year</w:t>
            </w:r>
          </w:p>
        </w:tc>
        <w:tc>
          <w:tcPr>
            <w:tcW w:w="245" w:type="dxa"/>
            <w:shd w:val="clear" w:color="auto" w:fill="CFF0FC"/>
            <w:tcMar>
              <w:top w:w="15" w:type="dxa"/>
              <w:left w:w="0" w:type="dxa"/>
              <w:bottom w:w="0" w:type="dxa"/>
              <w:right w:w="15" w:type="dxa"/>
            </w:tcMar>
            <w:vAlign w:val="bottom"/>
            <w:hideMark/>
          </w:tcPr>
          <w:p w14:paraId="7CA17C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A37067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C00560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(11.8</w:t>
            </w:r>
          </w:p>
        </w:tc>
        <w:tc>
          <w:tcPr>
            <w:tcW w:w="150" w:type="dxa"/>
            <w:shd w:val="clear" w:color="auto" w:fill="CFF0FC"/>
            <w:noWrap/>
            <w:tcMar>
              <w:top w:w="15" w:type="dxa"/>
              <w:left w:w="0" w:type="dxa"/>
              <w:bottom w:w="0" w:type="dxa"/>
              <w:right w:w="15" w:type="dxa"/>
            </w:tcMar>
            <w:vAlign w:val="bottom"/>
            <w:hideMark/>
          </w:tcPr>
          <w:p w14:paraId="03F03C7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324D05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DA443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377DDF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(8.5</w:t>
            </w:r>
          </w:p>
        </w:tc>
        <w:tc>
          <w:tcPr>
            <w:tcW w:w="150" w:type="dxa"/>
            <w:shd w:val="clear" w:color="auto" w:fill="CFF0FC"/>
            <w:noWrap/>
            <w:tcMar>
              <w:top w:w="15" w:type="dxa"/>
              <w:left w:w="0" w:type="dxa"/>
              <w:bottom w:w="0" w:type="dxa"/>
              <w:right w:w="15" w:type="dxa"/>
            </w:tcMar>
            <w:vAlign w:val="bottom"/>
            <w:hideMark/>
          </w:tcPr>
          <w:p w14:paraId="288AA9A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6A9BB8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2FA17C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6ECA7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(7.3</w:t>
            </w:r>
          </w:p>
        </w:tc>
        <w:tc>
          <w:tcPr>
            <w:tcW w:w="151" w:type="dxa"/>
            <w:shd w:val="clear" w:color="auto" w:fill="CFF0FC"/>
            <w:noWrap/>
            <w:tcMar>
              <w:top w:w="15" w:type="dxa"/>
              <w:left w:w="0" w:type="dxa"/>
              <w:bottom w:w="0" w:type="dxa"/>
              <w:right w:w="15" w:type="dxa"/>
            </w:tcMar>
            <w:vAlign w:val="bottom"/>
            <w:hideMark/>
          </w:tcPr>
          <w:p w14:paraId="58591DD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6A4F3BD9" w14:textId="77777777" w:rsidTr="00AC4931">
        <w:tc>
          <w:tcPr>
            <w:tcW w:w="10785" w:type="dxa"/>
            <w:shd w:val="clear" w:color="auto" w:fill="FFFFFF"/>
            <w:tcMar>
              <w:top w:w="15" w:type="dxa"/>
              <w:left w:w="0" w:type="dxa"/>
              <w:bottom w:w="0" w:type="dxa"/>
              <w:right w:w="15" w:type="dxa"/>
            </w:tcMar>
            <w:vAlign w:val="bottom"/>
            <w:hideMark/>
          </w:tcPr>
          <w:p w14:paraId="08C474C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receivables, net of allowance</w:t>
            </w:r>
          </w:p>
        </w:tc>
        <w:tc>
          <w:tcPr>
            <w:tcW w:w="245" w:type="dxa"/>
            <w:shd w:val="clear" w:color="auto" w:fill="FFFFFF"/>
            <w:tcMar>
              <w:top w:w="15" w:type="dxa"/>
              <w:left w:w="0" w:type="dxa"/>
              <w:bottom w:w="0" w:type="dxa"/>
              <w:right w:w="15" w:type="dxa"/>
            </w:tcMar>
            <w:vAlign w:val="bottom"/>
            <w:hideMark/>
          </w:tcPr>
          <w:p w14:paraId="73C118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1DBFCD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F7F77E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1,819.6</w:t>
            </w:r>
          </w:p>
        </w:tc>
        <w:tc>
          <w:tcPr>
            <w:tcW w:w="150" w:type="dxa"/>
            <w:shd w:val="clear" w:color="auto" w:fill="FFFFFF"/>
            <w:noWrap/>
            <w:tcMar>
              <w:top w:w="15" w:type="dxa"/>
              <w:left w:w="0" w:type="dxa"/>
              <w:bottom w:w="0" w:type="dxa"/>
              <w:right w:w="15" w:type="dxa"/>
            </w:tcMar>
            <w:vAlign w:val="bottom"/>
            <w:hideMark/>
          </w:tcPr>
          <w:p w14:paraId="5826E04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667719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21CFA1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CB2139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1,623.9</w:t>
            </w:r>
          </w:p>
        </w:tc>
        <w:tc>
          <w:tcPr>
            <w:tcW w:w="150" w:type="dxa"/>
            <w:shd w:val="clear" w:color="auto" w:fill="FFFFFF"/>
            <w:noWrap/>
            <w:tcMar>
              <w:top w:w="15" w:type="dxa"/>
              <w:left w:w="0" w:type="dxa"/>
              <w:bottom w:w="0" w:type="dxa"/>
              <w:right w:w="15" w:type="dxa"/>
            </w:tcMar>
            <w:vAlign w:val="bottom"/>
            <w:hideMark/>
          </w:tcPr>
          <w:p w14:paraId="46A6C1F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066C8C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D49A96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F5C51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1,652.1</w:t>
            </w:r>
          </w:p>
        </w:tc>
        <w:tc>
          <w:tcPr>
            <w:tcW w:w="151" w:type="dxa"/>
            <w:shd w:val="clear" w:color="auto" w:fill="FFFFFF"/>
            <w:noWrap/>
            <w:tcMar>
              <w:top w:w="15" w:type="dxa"/>
              <w:left w:w="0" w:type="dxa"/>
              <w:bottom w:w="0" w:type="dxa"/>
              <w:right w:w="15" w:type="dxa"/>
            </w:tcMar>
            <w:vAlign w:val="bottom"/>
            <w:hideMark/>
          </w:tcPr>
          <w:p w14:paraId="3895EA6D"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7CB7F561" w14:textId="77777777" w:rsidR="00AC4931" w:rsidRPr="00AC4931" w:rsidRDefault="00AC4931" w:rsidP="00AC4931">
      <w:pPr>
        <w:widowControl/>
        <w:jc w:val="left"/>
        <w:rPr>
          <w:rFonts w:ascii="宋体" w:eastAsia="宋体" w:hAnsi="宋体" w:cs="宋体"/>
          <w:kern w:val="0"/>
          <w:sz w:val="24"/>
          <w:szCs w:val="24"/>
        </w:rPr>
      </w:pPr>
      <w:r w:rsidRPr="00AC4931">
        <w:rPr>
          <w:rFonts w:ascii="宋体" w:eastAsia="宋体" w:hAnsi="宋体" w:cs="宋体"/>
          <w:kern w:val="0"/>
          <w:sz w:val="24"/>
          <w:szCs w:val="24"/>
        </w:rPr>
        <w:t> </w:t>
      </w:r>
    </w:p>
    <w:p w14:paraId="384D8C9D" w14:textId="77777777" w:rsidR="00AC4931" w:rsidRPr="00AC4931" w:rsidRDefault="00AC4931" w:rsidP="00AC4931">
      <w:pPr>
        <w:widowControl/>
        <w:spacing w:before="100"/>
        <w:rPr>
          <w:rFonts w:ascii="Arial" w:eastAsia="宋体" w:hAnsi="Arial" w:cs="Arial"/>
          <w:b/>
          <w:bCs/>
          <w:kern w:val="0"/>
          <w:sz w:val="22"/>
        </w:rPr>
      </w:pPr>
      <w:r w:rsidRPr="00AC4931">
        <w:rPr>
          <w:rFonts w:ascii="Arial" w:eastAsia="宋体" w:hAnsi="Arial" w:cs="Arial"/>
          <w:b/>
          <w:bCs/>
          <w:kern w:val="0"/>
          <w:sz w:val="22"/>
        </w:rPr>
        <w:lastRenderedPageBreak/>
        <w:t>8. Inventories</w:t>
      </w:r>
    </w:p>
    <w:p w14:paraId="12183EFA"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53"/>
        <w:gridCol w:w="247"/>
        <w:gridCol w:w="159"/>
        <w:gridCol w:w="1314"/>
        <w:gridCol w:w="159"/>
        <w:gridCol w:w="247"/>
        <w:gridCol w:w="159"/>
        <w:gridCol w:w="1314"/>
        <w:gridCol w:w="159"/>
        <w:gridCol w:w="247"/>
        <w:gridCol w:w="159"/>
        <w:gridCol w:w="1314"/>
        <w:gridCol w:w="160"/>
      </w:tblGrid>
      <w:tr w:rsidR="00AC4931" w:rsidRPr="00AC4931" w14:paraId="327AAA6D" w14:textId="77777777" w:rsidTr="00AC4931">
        <w:tc>
          <w:tcPr>
            <w:tcW w:w="10785" w:type="dxa"/>
            <w:shd w:val="clear" w:color="auto" w:fill="FFFFFF"/>
            <w:tcMar>
              <w:top w:w="15" w:type="dxa"/>
              <w:left w:w="0" w:type="dxa"/>
              <w:bottom w:w="0" w:type="dxa"/>
              <w:right w:w="15" w:type="dxa"/>
            </w:tcMar>
            <w:vAlign w:val="bottom"/>
            <w:hideMark/>
          </w:tcPr>
          <w:p w14:paraId="4734AB6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DECEMBER 31</w:t>
            </w:r>
          </w:p>
        </w:tc>
        <w:tc>
          <w:tcPr>
            <w:tcW w:w="245" w:type="dxa"/>
            <w:shd w:val="clear" w:color="auto" w:fill="FFFFFF"/>
            <w:tcMar>
              <w:top w:w="15" w:type="dxa"/>
              <w:left w:w="0" w:type="dxa"/>
              <w:bottom w:w="0" w:type="dxa"/>
              <w:right w:w="15" w:type="dxa"/>
            </w:tcMar>
            <w:vAlign w:val="bottom"/>
            <w:hideMark/>
          </w:tcPr>
          <w:p w14:paraId="4AA14DB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292E31A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6C33AFE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15F021C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384BFE9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5672F55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133C036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005C0BC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663C4D9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950DEE1" w14:textId="77777777" w:rsidTr="00AC4931">
        <w:tc>
          <w:tcPr>
            <w:tcW w:w="10785" w:type="dxa"/>
            <w:shd w:val="clear" w:color="auto" w:fill="CFF0FC"/>
            <w:tcMar>
              <w:top w:w="15" w:type="dxa"/>
              <w:left w:w="0" w:type="dxa"/>
              <w:bottom w:w="0" w:type="dxa"/>
              <w:right w:w="15" w:type="dxa"/>
            </w:tcMar>
            <w:hideMark/>
          </w:tcPr>
          <w:p w14:paraId="26E8DB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Raw material</w:t>
            </w:r>
          </w:p>
        </w:tc>
        <w:tc>
          <w:tcPr>
            <w:tcW w:w="245" w:type="dxa"/>
            <w:shd w:val="clear" w:color="auto" w:fill="CFF0FC"/>
            <w:tcMar>
              <w:top w:w="15" w:type="dxa"/>
              <w:left w:w="0" w:type="dxa"/>
              <w:bottom w:w="0" w:type="dxa"/>
              <w:right w:w="15" w:type="dxa"/>
            </w:tcMar>
            <w:vAlign w:val="bottom"/>
            <w:hideMark/>
          </w:tcPr>
          <w:p w14:paraId="4E360D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AAC31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0B05572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378.8</w:t>
            </w:r>
          </w:p>
        </w:tc>
        <w:tc>
          <w:tcPr>
            <w:tcW w:w="150" w:type="dxa"/>
            <w:shd w:val="clear" w:color="auto" w:fill="CFF0FC"/>
            <w:noWrap/>
            <w:tcMar>
              <w:top w:w="15" w:type="dxa"/>
              <w:left w:w="0" w:type="dxa"/>
              <w:bottom w:w="0" w:type="dxa"/>
              <w:right w:w="15" w:type="dxa"/>
            </w:tcMar>
            <w:vAlign w:val="bottom"/>
            <w:hideMark/>
          </w:tcPr>
          <w:p w14:paraId="66EE24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5900E3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218EE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618CF43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366.3</w:t>
            </w:r>
          </w:p>
        </w:tc>
        <w:tc>
          <w:tcPr>
            <w:tcW w:w="150" w:type="dxa"/>
            <w:shd w:val="clear" w:color="auto" w:fill="CFF0FC"/>
            <w:noWrap/>
            <w:tcMar>
              <w:top w:w="15" w:type="dxa"/>
              <w:left w:w="0" w:type="dxa"/>
              <w:bottom w:w="0" w:type="dxa"/>
              <w:right w:w="15" w:type="dxa"/>
            </w:tcMar>
            <w:vAlign w:val="bottom"/>
            <w:hideMark/>
          </w:tcPr>
          <w:p w14:paraId="778133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3299E4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54E369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3365254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370.9</w:t>
            </w:r>
          </w:p>
        </w:tc>
        <w:tc>
          <w:tcPr>
            <w:tcW w:w="151" w:type="dxa"/>
            <w:shd w:val="clear" w:color="auto" w:fill="CFF0FC"/>
            <w:noWrap/>
            <w:tcMar>
              <w:top w:w="15" w:type="dxa"/>
              <w:left w:w="0" w:type="dxa"/>
              <w:bottom w:w="0" w:type="dxa"/>
              <w:right w:w="15" w:type="dxa"/>
            </w:tcMar>
            <w:vAlign w:val="bottom"/>
            <w:hideMark/>
          </w:tcPr>
          <w:p w14:paraId="4A5350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511D283" w14:textId="77777777" w:rsidTr="00AC4931">
        <w:tc>
          <w:tcPr>
            <w:tcW w:w="10785" w:type="dxa"/>
            <w:shd w:val="clear" w:color="auto" w:fill="FFFFFF"/>
            <w:tcMar>
              <w:top w:w="15" w:type="dxa"/>
              <w:left w:w="0" w:type="dxa"/>
              <w:bottom w:w="0" w:type="dxa"/>
              <w:right w:w="15" w:type="dxa"/>
            </w:tcMar>
            <w:hideMark/>
          </w:tcPr>
          <w:p w14:paraId="2E8366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Work in progress</w:t>
            </w:r>
          </w:p>
        </w:tc>
        <w:tc>
          <w:tcPr>
            <w:tcW w:w="245" w:type="dxa"/>
            <w:shd w:val="clear" w:color="auto" w:fill="FFFFFF"/>
            <w:tcMar>
              <w:top w:w="15" w:type="dxa"/>
              <w:left w:w="0" w:type="dxa"/>
              <w:bottom w:w="0" w:type="dxa"/>
              <w:right w:w="15" w:type="dxa"/>
            </w:tcMar>
            <w:vAlign w:val="bottom"/>
            <w:hideMark/>
          </w:tcPr>
          <w:p w14:paraId="01F9A9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1F46F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796ED9E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292.3</w:t>
            </w:r>
          </w:p>
        </w:tc>
        <w:tc>
          <w:tcPr>
            <w:tcW w:w="150" w:type="dxa"/>
            <w:shd w:val="clear" w:color="auto" w:fill="FFFFFF"/>
            <w:noWrap/>
            <w:tcMar>
              <w:top w:w="15" w:type="dxa"/>
              <w:left w:w="0" w:type="dxa"/>
              <w:bottom w:w="0" w:type="dxa"/>
              <w:right w:w="15" w:type="dxa"/>
            </w:tcMar>
            <w:vAlign w:val="bottom"/>
            <w:hideMark/>
          </w:tcPr>
          <w:p w14:paraId="2CAA97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27957E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D1E35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7AEF40D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257.4</w:t>
            </w:r>
          </w:p>
        </w:tc>
        <w:tc>
          <w:tcPr>
            <w:tcW w:w="150" w:type="dxa"/>
            <w:shd w:val="clear" w:color="auto" w:fill="FFFFFF"/>
            <w:noWrap/>
            <w:tcMar>
              <w:top w:w="15" w:type="dxa"/>
              <w:left w:w="0" w:type="dxa"/>
              <w:bottom w:w="0" w:type="dxa"/>
              <w:right w:w="15" w:type="dxa"/>
            </w:tcMar>
            <w:vAlign w:val="bottom"/>
            <w:hideMark/>
          </w:tcPr>
          <w:p w14:paraId="4797FD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2CEEBA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D6405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6127464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277.4</w:t>
            </w:r>
          </w:p>
        </w:tc>
        <w:tc>
          <w:tcPr>
            <w:tcW w:w="151" w:type="dxa"/>
            <w:shd w:val="clear" w:color="auto" w:fill="FFFFFF"/>
            <w:noWrap/>
            <w:tcMar>
              <w:top w:w="15" w:type="dxa"/>
              <w:left w:w="0" w:type="dxa"/>
              <w:bottom w:w="0" w:type="dxa"/>
              <w:right w:w="15" w:type="dxa"/>
            </w:tcMar>
            <w:vAlign w:val="bottom"/>
            <w:hideMark/>
          </w:tcPr>
          <w:p w14:paraId="3ABFA4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145CC16" w14:textId="77777777" w:rsidTr="00AC4931">
        <w:tc>
          <w:tcPr>
            <w:tcW w:w="10785" w:type="dxa"/>
            <w:shd w:val="clear" w:color="auto" w:fill="CFF0FC"/>
            <w:tcMar>
              <w:top w:w="15" w:type="dxa"/>
              <w:left w:w="0" w:type="dxa"/>
              <w:bottom w:w="0" w:type="dxa"/>
              <w:right w:w="15" w:type="dxa"/>
            </w:tcMar>
            <w:hideMark/>
          </w:tcPr>
          <w:p w14:paraId="77C5CB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Finished products</w:t>
            </w:r>
          </w:p>
        </w:tc>
        <w:tc>
          <w:tcPr>
            <w:tcW w:w="245" w:type="dxa"/>
            <w:shd w:val="clear" w:color="auto" w:fill="CFF0FC"/>
            <w:tcMar>
              <w:top w:w="15" w:type="dxa"/>
              <w:left w:w="0" w:type="dxa"/>
              <w:bottom w:w="0" w:type="dxa"/>
              <w:right w:w="15" w:type="dxa"/>
            </w:tcMar>
            <w:vAlign w:val="bottom"/>
            <w:hideMark/>
          </w:tcPr>
          <w:p w14:paraId="7A0B74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2491CC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085065E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220.1</w:t>
            </w:r>
          </w:p>
        </w:tc>
        <w:tc>
          <w:tcPr>
            <w:tcW w:w="150" w:type="dxa"/>
            <w:shd w:val="clear" w:color="auto" w:fill="CFF0FC"/>
            <w:noWrap/>
            <w:tcMar>
              <w:top w:w="15" w:type="dxa"/>
              <w:left w:w="0" w:type="dxa"/>
              <w:bottom w:w="0" w:type="dxa"/>
              <w:right w:w="15" w:type="dxa"/>
            </w:tcMar>
            <w:vAlign w:val="bottom"/>
            <w:hideMark/>
          </w:tcPr>
          <w:p w14:paraId="0F6221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42BCD7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61B423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56B514F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200.4</w:t>
            </w:r>
          </w:p>
        </w:tc>
        <w:tc>
          <w:tcPr>
            <w:tcW w:w="150" w:type="dxa"/>
            <w:shd w:val="clear" w:color="auto" w:fill="CFF0FC"/>
            <w:noWrap/>
            <w:tcMar>
              <w:top w:w="15" w:type="dxa"/>
              <w:left w:w="0" w:type="dxa"/>
              <w:bottom w:w="0" w:type="dxa"/>
              <w:right w:w="15" w:type="dxa"/>
            </w:tcMar>
            <w:vAlign w:val="bottom"/>
            <w:hideMark/>
          </w:tcPr>
          <w:p w14:paraId="7BF114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6AAC60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71F055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2C01CB3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194.7</w:t>
            </w:r>
          </w:p>
        </w:tc>
        <w:tc>
          <w:tcPr>
            <w:tcW w:w="151" w:type="dxa"/>
            <w:shd w:val="clear" w:color="auto" w:fill="CFF0FC"/>
            <w:noWrap/>
            <w:tcMar>
              <w:top w:w="15" w:type="dxa"/>
              <w:left w:w="0" w:type="dxa"/>
              <w:bottom w:w="0" w:type="dxa"/>
              <w:right w:w="15" w:type="dxa"/>
            </w:tcMar>
            <w:vAlign w:val="bottom"/>
            <w:hideMark/>
          </w:tcPr>
          <w:p w14:paraId="5BDCD0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961075E" w14:textId="77777777" w:rsidTr="00AC4931">
        <w:tc>
          <w:tcPr>
            <w:tcW w:w="10785" w:type="dxa"/>
            <w:shd w:val="clear" w:color="auto" w:fill="FFFFFF"/>
            <w:tcMar>
              <w:top w:w="15" w:type="dxa"/>
              <w:left w:w="0" w:type="dxa"/>
              <w:bottom w:w="0" w:type="dxa"/>
              <w:right w:w="15" w:type="dxa"/>
            </w:tcMar>
            <w:hideMark/>
          </w:tcPr>
          <w:p w14:paraId="2DB3300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Inventories</w:t>
            </w:r>
          </w:p>
        </w:tc>
        <w:tc>
          <w:tcPr>
            <w:tcW w:w="245" w:type="dxa"/>
            <w:shd w:val="clear" w:color="auto" w:fill="FFFFFF"/>
            <w:tcMar>
              <w:top w:w="15" w:type="dxa"/>
              <w:left w:w="0" w:type="dxa"/>
              <w:bottom w:w="0" w:type="dxa"/>
              <w:right w:w="15" w:type="dxa"/>
            </w:tcMar>
            <w:vAlign w:val="bottom"/>
            <w:hideMark/>
          </w:tcPr>
          <w:p w14:paraId="4E4538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50A20C2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FFFFFF"/>
            <w:noWrap/>
            <w:tcMar>
              <w:top w:w="15" w:type="dxa"/>
              <w:left w:w="0" w:type="dxa"/>
              <w:bottom w:w="0" w:type="dxa"/>
              <w:right w:w="15" w:type="dxa"/>
            </w:tcMar>
            <w:vAlign w:val="bottom"/>
            <w:hideMark/>
          </w:tcPr>
          <w:p w14:paraId="73B85C8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891.2</w:t>
            </w:r>
          </w:p>
        </w:tc>
        <w:tc>
          <w:tcPr>
            <w:tcW w:w="150" w:type="dxa"/>
            <w:shd w:val="clear" w:color="auto" w:fill="FFFFFF"/>
            <w:noWrap/>
            <w:tcMar>
              <w:top w:w="15" w:type="dxa"/>
              <w:left w:w="0" w:type="dxa"/>
              <w:bottom w:w="0" w:type="dxa"/>
              <w:right w:w="15" w:type="dxa"/>
            </w:tcMar>
            <w:vAlign w:val="bottom"/>
            <w:hideMark/>
          </w:tcPr>
          <w:p w14:paraId="02C186C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555C1F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4A32C12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FFFFFF"/>
            <w:noWrap/>
            <w:tcMar>
              <w:top w:w="15" w:type="dxa"/>
              <w:left w:w="0" w:type="dxa"/>
              <w:bottom w:w="0" w:type="dxa"/>
              <w:right w:w="15" w:type="dxa"/>
            </w:tcMar>
            <w:vAlign w:val="bottom"/>
            <w:hideMark/>
          </w:tcPr>
          <w:p w14:paraId="18290C1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824.1</w:t>
            </w:r>
          </w:p>
        </w:tc>
        <w:tc>
          <w:tcPr>
            <w:tcW w:w="150" w:type="dxa"/>
            <w:shd w:val="clear" w:color="auto" w:fill="FFFFFF"/>
            <w:noWrap/>
            <w:tcMar>
              <w:top w:w="15" w:type="dxa"/>
              <w:left w:w="0" w:type="dxa"/>
              <w:bottom w:w="0" w:type="dxa"/>
              <w:right w:w="15" w:type="dxa"/>
            </w:tcMar>
            <w:vAlign w:val="bottom"/>
            <w:hideMark/>
          </w:tcPr>
          <w:p w14:paraId="79C107F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7D5CAC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674C2BE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FFFFFF"/>
            <w:noWrap/>
            <w:tcMar>
              <w:top w:w="15" w:type="dxa"/>
              <w:left w:w="0" w:type="dxa"/>
              <w:bottom w:w="0" w:type="dxa"/>
              <w:right w:w="15" w:type="dxa"/>
            </w:tcMar>
            <w:vAlign w:val="bottom"/>
            <w:hideMark/>
          </w:tcPr>
          <w:p w14:paraId="703CC32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843.0</w:t>
            </w:r>
          </w:p>
        </w:tc>
        <w:tc>
          <w:tcPr>
            <w:tcW w:w="151" w:type="dxa"/>
            <w:shd w:val="clear" w:color="auto" w:fill="FFFFFF"/>
            <w:noWrap/>
            <w:tcMar>
              <w:top w:w="15" w:type="dxa"/>
              <w:left w:w="0" w:type="dxa"/>
              <w:bottom w:w="0" w:type="dxa"/>
              <w:right w:w="15" w:type="dxa"/>
            </w:tcMar>
            <w:vAlign w:val="bottom"/>
            <w:hideMark/>
          </w:tcPr>
          <w:p w14:paraId="6616F27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5E5D7C3B" w14:textId="77777777" w:rsidTr="00AC4931">
        <w:tc>
          <w:tcPr>
            <w:tcW w:w="10785" w:type="dxa"/>
            <w:shd w:val="clear" w:color="auto" w:fill="CFF0FC"/>
            <w:tcMar>
              <w:top w:w="15" w:type="dxa"/>
              <w:left w:w="0" w:type="dxa"/>
              <w:bottom w:w="0" w:type="dxa"/>
              <w:right w:w="15" w:type="dxa"/>
            </w:tcMar>
            <w:vAlign w:val="bottom"/>
            <w:hideMark/>
          </w:tcPr>
          <w:p w14:paraId="3A645AD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Inventory reserve at beginning of year</w:t>
            </w:r>
          </w:p>
        </w:tc>
        <w:tc>
          <w:tcPr>
            <w:tcW w:w="245" w:type="dxa"/>
            <w:shd w:val="clear" w:color="auto" w:fill="CFF0FC"/>
            <w:tcMar>
              <w:top w:w="15" w:type="dxa"/>
              <w:left w:w="0" w:type="dxa"/>
              <w:bottom w:w="0" w:type="dxa"/>
              <w:right w:w="15" w:type="dxa"/>
            </w:tcMar>
            <w:vAlign w:val="bottom"/>
            <w:hideMark/>
          </w:tcPr>
          <w:p w14:paraId="36FDE5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549736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shd w:val="clear" w:color="auto" w:fill="CFF0FC"/>
            <w:noWrap/>
            <w:tcMar>
              <w:top w:w="15" w:type="dxa"/>
              <w:left w:w="0" w:type="dxa"/>
              <w:bottom w:w="0" w:type="dxa"/>
              <w:right w:w="15" w:type="dxa"/>
            </w:tcMar>
            <w:vAlign w:val="bottom"/>
            <w:hideMark/>
          </w:tcPr>
          <w:p w14:paraId="2DDDE38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(83.2</w:t>
            </w:r>
          </w:p>
        </w:tc>
        <w:tc>
          <w:tcPr>
            <w:tcW w:w="150" w:type="dxa"/>
            <w:shd w:val="clear" w:color="auto" w:fill="CFF0FC"/>
            <w:noWrap/>
            <w:tcMar>
              <w:top w:w="15" w:type="dxa"/>
              <w:left w:w="0" w:type="dxa"/>
              <w:bottom w:w="0" w:type="dxa"/>
              <w:right w:w="15" w:type="dxa"/>
            </w:tcMar>
            <w:vAlign w:val="bottom"/>
            <w:hideMark/>
          </w:tcPr>
          <w:p w14:paraId="346F98F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384B7E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33B98B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shd w:val="clear" w:color="auto" w:fill="CFF0FC"/>
            <w:noWrap/>
            <w:tcMar>
              <w:top w:w="15" w:type="dxa"/>
              <w:left w:w="0" w:type="dxa"/>
              <w:bottom w:w="0" w:type="dxa"/>
              <w:right w:w="15" w:type="dxa"/>
            </w:tcMar>
            <w:vAlign w:val="bottom"/>
            <w:hideMark/>
          </w:tcPr>
          <w:p w14:paraId="605D8F2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(85.1</w:t>
            </w:r>
          </w:p>
        </w:tc>
        <w:tc>
          <w:tcPr>
            <w:tcW w:w="150" w:type="dxa"/>
            <w:shd w:val="clear" w:color="auto" w:fill="CFF0FC"/>
            <w:noWrap/>
            <w:tcMar>
              <w:top w:w="15" w:type="dxa"/>
              <w:left w:w="0" w:type="dxa"/>
              <w:bottom w:w="0" w:type="dxa"/>
              <w:right w:w="15" w:type="dxa"/>
            </w:tcMar>
            <w:vAlign w:val="bottom"/>
            <w:hideMark/>
          </w:tcPr>
          <w:p w14:paraId="00497E4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1E7DF2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0C3BBF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shd w:val="clear" w:color="auto" w:fill="CFF0FC"/>
            <w:noWrap/>
            <w:tcMar>
              <w:top w:w="15" w:type="dxa"/>
              <w:left w:w="0" w:type="dxa"/>
              <w:bottom w:w="0" w:type="dxa"/>
              <w:right w:w="15" w:type="dxa"/>
            </w:tcMar>
            <w:vAlign w:val="bottom"/>
            <w:hideMark/>
          </w:tcPr>
          <w:p w14:paraId="500F1A3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(80.6</w:t>
            </w:r>
          </w:p>
        </w:tc>
        <w:tc>
          <w:tcPr>
            <w:tcW w:w="151" w:type="dxa"/>
            <w:shd w:val="clear" w:color="auto" w:fill="CFF0FC"/>
            <w:noWrap/>
            <w:tcMar>
              <w:top w:w="15" w:type="dxa"/>
              <w:left w:w="0" w:type="dxa"/>
              <w:bottom w:w="0" w:type="dxa"/>
              <w:right w:w="15" w:type="dxa"/>
            </w:tcMar>
            <w:vAlign w:val="bottom"/>
            <w:hideMark/>
          </w:tcPr>
          <w:p w14:paraId="6E6CC8B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7B128388" w14:textId="77777777" w:rsidTr="00AC4931">
        <w:tc>
          <w:tcPr>
            <w:tcW w:w="10785" w:type="dxa"/>
            <w:shd w:val="clear" w:color="auto" w:fill="FFFFFF"/>
            <w:tcMar>
              <w:top w:w="15" w:type="dxa"/>
              <w:left w:w="0" w:type="dxa"/>
              <w:bottom w:w="0" w:type="dxa"/>
              <w:right w:w="15" w:type="dxa"/>
            </w:tcMar>
            <w:hideMark/>
          </w:tcPr>
          <w:p w14:paraId="4373DC98"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Reversal of reserve</w:t>
            </w:r>
          </w:p>
        </w:tc>
        <w:tc>
          <w:tcPr>
            <w:tcW w:w="245" w:type="dxa"/>
            <w:shd w:val="clear" w:color="auto" w:fill="FFFFFF"/>
            <w:tcMar>
              <w:top w:w="15" w:type="dxa"/>
              <w:left w:w="0" w:type="dxa"/>
              <w:bottom w:w="0" w:type="dxa"/>
              <w:right w:w="15" w:type="dxa"/>
            </w:tcMar>
            <w:vAlign w:val="bottom"/>
            <w:hideMark/>
          </w:tcPr>
          <w:p w14:paraId="4EE282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2A3BD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3E9B92B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5.0</w:t>
            </w:r>
          </w:p>
        </w:tc>
        <w:tc>
          <w:tcPr>
            <w:tcW w:w="150" w:type="dxa"/>
            <w:shd w:val="clear" w:color="auto" w:fill="FFFFFF"/>
            <w:noWrap/>
            <w:tcMar>
              <w:top w:w="15" w:type="dxa"/>
              <w:left w:w="0" w:type="dxa"/>
              <w:bottom w:w="0" w:type="dxa"/>
              <w:right w:w="15" w:type="dxa"/>
            </w:tcMar>
            <w:vAlign w:val="bottom"/>
            <w:hideMark/>
          </w:tcPr>
          <w:p w14:paraId="7158A7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710ED5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12924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026FA81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11.3</w:t>
            </w:r>
          </w:p>
        </w:tc>
        <w:tc>
          <w:tcPr>
            <w:tcW w:w="150" w:type="dxa"/>
            <w:shd w:val="clear" w:color="auto" w:fill="FFFFFF"/>
            <w:noWrap/>
            <w:tcMar>
              <w:top w:w="15" w:type="dxa"/>
              <w:left w:w="0" w:type="dxa"/>
              <w:bottom w:w="0" w:type="dxa"/>
              <w:right w:w="15" w:type="dxa"/>
            </w:tcMar>
            <w:vAlign w:val="bottom"/>
            <w:hideMark/>
          </w:tcPr>
          <w:p w14:paraId="108FF4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7DAF98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4791A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44F396D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w:t>
            </w:r>
          </w:p>
        </w:tc>
        <w:tc>
          <w:tcPr>
            <w:tcW w:w="151" w:type="dxa"/>
            <w:shd w:val="clear" w:color="auto" w:fill="FFFFFF"/>
            <w:noWrap/>
            <w:tcMar>
              <w:top w:w="15" w:type="dxa"/>
              <w:left w:w="0" w:type="dxa"/>
              <w:bottom w:w="0" w:type="dxa"/>
              <w:right w:w="15" w:type="dxa"/>
            </w:tcMar>
            <w:vAlign w:val="bottom"/>
            <w:hideMark/>
          </w:tcPr>
          <w:p w14:paraId="4FEE11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566B084" w14:textId="77777777" w:rsidTr="00AC4931">
        <w:tc>
          <w:tcPr>
            <w:tcW w:w="10785" w:type="dxa"/>
            <w:shd w:val="clear" w:color="auto" w:fill="CFF0FC"/>
            <w:tcMar>
              <w:top w:w="15" w:type="dxa"/>
              <w:left w:w="0" w:type="dxa"/>
              <w:bottom w:w="0" w:type="dxa"/>
              <w:right w:w="15" w:type="dxa"/>
            </w:tcMar>
            <w:hideMark/>
          </w:tcPr>
          <w:p w14:paraId="104CF2FE"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Addition to reserve</w:t>
            </w:r>
          </w:p>
        </w:tc>
        <w:tc>
          <w:tcPr>
            <w:tcW w:w="245" w:type="dxa"/>
            <w:shd w:val="clear" w:color="auto" w:fill="CFF0FC"/>
            <w:tcMar>
              <w:top w:w="15" w:type="dxa"/>
              <w:left w:w="0" w:type="dxa"/>
              <w:bottom w:w="0" w:type="dxa"/>
              <w:right w:w="15" w:type="dxa"/>
            </w:tcMar>
            <w:vAlign w:val="bottom"/>
            <w:hideMark/>
          </w:tcPr>
          <w:p w14:paraId="7312B4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F91E5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0B20779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(16.2</w:t>
            </w:r>
          </w:p>
        </w:tc>
        <w:tc>
          <w:tcPr>
            <w:tcW w:w="150" w:type="dxa"/>
            <w:shd w:val="clear" w:color="auto" w:fill="CFF0FC"/>
            <w:noWrap/>
            <w:tcMar>
              <w:top w:w="15" w:type="dxa"/>
              <w:left w:w="0" w:type="dxa"/>
              <w:bottom w:w="0" w:type="dxa"/>
              <w:right w:w="15" w:type="dxa"/>
            </w:tcMar>
            <w:vAlign w:val="bottom"/>
            <w:hideMark/>
          </w:tcPr>
          <w:p w14:paraId="7798B1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37CFE7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DE664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4AA59B9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(13.2</w:t>
            </w:r>
          </w:p>
        </w:tc>
        <w:tc>
          <w:tcPr>
            <w:tcW w:w="150" w:type="dxa"/>
            <w:shd w:val="clear" w:color="auto" w:fill="CFF0FC"/>
            <w:noWrap/>
            <w:tcMar>
              <w:top w:w="15" w:type="dxa"/>
              <w:left w:w="0" w:type="dxa"/>
              <w:bottom w:w="0" w:type="dxa"/>
              <w:right w:w="15" w:type="dxa"/>
            </w:tcMar>
            <w:vAlign w:val="bottom"/>
            <w:hideMark/>
          </w:tcPr>
          <w:p w14:paraId="4E4E5B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2F1541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D8674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0A33119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(13.9</w:t>
            </w:r>
          </w:p>
        </w:tc>
        <w:tc>
          <w:tcPr>
            <w:tcW w:w="151" w:type="dxa"/>
            <w:shd w:val="clear" w:color="auto" w:fill="CFF0FC"/>
            <w:noWrap/>
            <w:tcMar>
              <w:top w:w="15" w:type="dxa"/>
              <w:left w:w="0" w:type="dxa"/>
              <w:bottom w:w="0" w:type="dxa"/>
              <w:right w:w="15" w:type="dxa"/>
            </w:tcMar>
            <w:vAlign w:val="bottom"/>
            <w:hideMark/>
          </w:tcPr>
          <w:p w14:paraId="643737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68253A2" w14:textId="77777777" w:rsidTr="00AC4931">
        <w:tc>
          <w:tcPr>
            <w:tcW w:w="10785" w:type="dxa"/>
            <w:shd w:val="clear" w:color="auto" w:fill="FFFFFF"/>
            <w:tcMar>
              <w:top w:w="15" w:type="dxa"/>
              <w:left w:w="0" w:type="dxa"/>
              <w:bottom w:w="0" w:type="dxa"/>
              <w:right w:w="15" w:type="dxa"/>
            </w:tcMar>
            <w:hideMark/>
          </w:tcPr>
          <w:p w14:paraId="3F8E7745"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Write-off against reserve</w:t>
            </w:r>
          </w:p>
        </w:tc>
        <w:tc>
          <w:tcPr>
            <w:tcW w:w="245" w:type="dxa"/>
            <w:shd w:val="clear" w:color="auto" w:fill="FFFFFF"/>
            <w:tcMar>
              <w:top w:w="15" w:type="dxa"/>
              <w:left w:w="0" w:type="dxa"/>
              <w:bottom w:w="0" w:type="dxa"/>
              <w:right w:w="15" w:type="dxa"/>
            </w:tcMar>
            <w:vAlign w:val="bottom"/>
            <w:hideMark/>
          </w:tcPr>
          <w:p w14:paraId="578258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E7E76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14A6C4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7.8</w:t>
            </w:r>
          </w:p>
        </w:tc>
        <w:tc>
          <w:tcPr>
            <w:tcW w:w="150" w:type="dxa"/>
            <w:shd w:val="clear" w:color="auto" w:fill="FFFFFF"/>
            <w:noWrap/>
            <w:tcMar>
              <w:top w:w="15" w:type="dxa"/>
              <w:left w:w="0" w:type="dxa"/>
              <w:bottom w:w="0" w:type="dxa"/>
              <w:right w:w="15" w:type="dxa"/>
            </w:tcMar>
            <w:vAlign w:val="bottom"/>
            <w:hideMark/>
          </w:tcPr>
          <w:p w14:paraId="5CD831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6CFB7D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6F97E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2C72A95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8.3</w:t>
            </w:r>
          </w:p>
        </w:tc>
        <w:tc>
          <w:tcPr>
            <w:tcW w:w="150" w:type="dxa"/>
            <w:shd w:val="clear" w:color="auto" w:fill="FFFFFF"/>
            <w:noWrap/>
            <w:tcMar>
              <w:top w:w="15" w:type="dxa"/>
              <w:left w:w="0" w:type="dxa"/>
              <w:bottom w:w="0" w:type="dxa"/>
              <w:right w:w="15" w:type="dxa"/>
            </w:tcMar>
            <w:vAlign w:val="bottom"/>
            <w:hideMark/>
          </w:tcPr>
          <w:p w14:paraId="45D7D8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049AB6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E5404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382F2BB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5.3</w:t>
            </w:r>
          </w:p>
        </w:tc>
        <w:tc>
          <w:tcPr>
            <w:tcW w:w="151" w:type="dxa"/>
            <w:shd w:val="clear" w:color="auto" w:fill="FFFFFF"/>
            <w:noWrap/>
            <w:tcMar>
              <w:top w:w="15" w:type="dxa"/>
              <w:left w:w="0" w:type="dxa"/>
              <w:bottom w:w="0" w:type="dxa"/>
              <w:right w:w="15" w:type="dxa"/>
            </w:tcMar>
            <w:vAlign w:val="bottom"/>
            <w:hideMark/>
          </w:tcPr>
          <w:p w14:paraId="04AE1C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2A0C880" w14:textId="77777777" w:rsidTr="00AC4931">
        <w:tc>
          <w:tcPr>
            <w:tcW w:w="10785" w:type="dxa"/>
            <w:shd w:val="clear" w:color="auto" w:fill="CFF0FC"/>
            <w:tcMar>
              <w:top w:w="15" w:type="dxa"/>
              <w:left w:w="0" w:type="dxa"/>
              <w:bottom w:w="0" w:type="dxa"/>
              <w:right w:w="15" w:type="dxa"/>
            </w:tcMar>
            <w:hideMark/>
          </w:tcPr>
          <w:p w14:paraId="70CF2466"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Translation difference</w:t>
            </w:r>
          </w:p>
        </w:tc>
        <w:tc>
          <w:tcPr>
            <w:tcW w:w="245" w:type="dxa"/>
            <w:shd w:val="clear" w:color="auto" w:fill="CFF0FC"/>
            <w:tcMar>
              <w:top w:w="15" w:type="dxa"/>
              <w:left w:w="0" w:type="dxa"/>
              <w:bottom w:w="0" w:type="dxa"/>
              <w:right w:w="15" w:type="dxa"/>
            </w:tcMar>
            <w:vAlign w:val="bottom"/>
            <w:hideMark/>
          </w:tcPr>
          <w:p w14:paraId="55B43F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7F03B1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4BBA3A6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(6.3</w:t>
            </w:r>
          </w:p>
        </w:tc>
        <w:tc>
          <w:tcPr>
            <w:tcW w:w="150" w:type="dxa"/>
            <w:shd w:val="clear" w:color="auto" w:fill="CFF0FC"/>
            <w:noWrap/>
            <w:tcMar>
              <w:top w:w="15" w:type="dxa"/>
              <w:left w:w="0" w:type="dxa"/>
              <w:bottom w:w="0" w:type="dxa"/>
              <w:right w:w="15" w:type="dxa"/>
            </w:tcMar>
            <w:vAlign w:val="bottom"/>
            <w:hideMark/>
          </w:tcPr>
          <w:p w14:paraId="426038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006246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5545FA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78B86A7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(4.5</w:t>
            </w:r>
          </w:p>
        </w:tc>
        <w:tc>
          <w:tcPr>
            <w:tcW w:w="150" w:type="dxa"/>
            <w:shd w:val="clear" w:color="auto" w:fill="CFF0FC"/>
            <w:noWrap/>
            <w:tcMar>
              <w:top w:w="15" w:type="dxa"/>
              <w:left w:w="0" w:type="dxa"/>
              <w:bottom w:w="0" w:type="dxa"/>
              <w:right w:w="15" w:type="dxa"/>
            </w:tcMar>
            <w:vAlign w:val="bottom"/>
            <w:hideMark/>
          </w:tcPr>
          <w:p w14:paraId="55D8E5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7CDF54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1EACA4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60309D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w:t>
            </w:r>
          </w:p>
        </w:tc>
        <w:tc>
          <w:tcPr>
            <w:tcW w:w="151" w:type="dxa"/>
            <w:shd w:val="clear" w:color="auto" w:fill="CFF0FC"/>
            <w:noWrap/>
            <w:tcMar>
              <w:top w:w="15" w:type="dxa"/>
              <w:left w:w="0" w:type="dxa"/>
              <w:bottom w:w="0" w:type="dxa"/>
              <w:right w:w="15" w:type="dxa"/>
            </w:tcMar>
            <w:vAlign w:val="bottom"/>
            <w:hideMark/>
          </w:tcPr>
          <w:p w14:paraId="44224A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202194F" w14:textId="77777777" w:rsidTr="00AC4931">
        <w:tc>
          <w:tcPr>
            <w:tcW w:w="10785" w:type="dxa"/>
            <w:shd w:val="clear" w:color="auto" w:fill="FFFFFF"/>
            <w:tcMar>
              <w:top w:w="15" w:type="dxa"/>
              <w:left w:w="0" w:type="dxa"/>
              <w:bottom w:w="0" w:type="dxa"/>
              <w:right w:w="15" w:type="dxa"/>
            </w:tcMar>
            <w:hideMark/>
          </w:tcPr>
          <w:p w14:paraId="1D38BA0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Inventory reserve at end of year</w:t>
            </w:r>
          </w:p>
        </w:tc>
        <w:tc>
          <w:tcPr>
            <w:tcW w:w="245" w:type="dxa"/>
            <w:shd w:val="clear" w:color="auto" w:fill="FFFFFF"/>
            <w:tcMar>
              <w:top w:w="15" w:type="dxa"/>
              <w:left w:w="0" w:type="dxa"/>
              <w:bottom w:w="0" w:type="dxa"/>
              <w:right w:w="15" w:type="dxa"/>
            </w:tcMar>
            <w:vAlign w:val="bottom"/>
            <w:hideMark/>
          </w:tcPr>
          <w:p w14:paraId="24449A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6EB981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7360F7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(92.9</w:t>
            </w:r>
          </w:p>
        </w:tc>
        <w:tc>
          <w:tcPr>
            <w:tcW w:w="150" w:type="dxa"/>
            <w:shd w:val="clear" w:color="auto" w:fill="FFFFFF"/>
            <w:noWrap/>
            <w:tcMar>
              <w:top w:w="15" w:type="dxa"/>
              <w:left w:w="0" w:type="dxa"/>
              <w:bottom w:w="0" w:type="dxa"/>
              <w:right w:w="15" w:type="dxa"/>
            </w:tcMar>
            <w:vAlign w:val="bottom"/>
            <w:hideMark/>
          </w:tcPr>
          <w:p w14:paraId="7FFBCD6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7A03B0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A912E8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EB3F0E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(83.2</w:t>
            </w:r>
          </w:p>
        </w:tc>
        <w:tc>
          <w:tcPr>
            <w:tcW w:w="150" w:type="dxa"/>
            <w:shd w:val="clear" w:color="auto" w:fill="FFFFFF"/>
            <w:noWrap/>
            <w:tcMar>
              <w:top w:w="15" w:type="dxa"/>
              <w:left w:w="0" w:type="dxa"/>
              <w:bottom w:w="0" w:type="dxa"/>
              <w:right w:w="15" w:type="dxa"/>
            </w:tcMar>
            <w:vAlign w:val="bottom"/>
            <w:hideMark/>
          </w:tcPr>
          <w:p w14:paraId="482D966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17EEAD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A75879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9DE635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(85.1</w:t>
            </w:r>
          </w:p>
        </w:tc>
        <w:tc>
          <w:tcPr>
            <w:tcW w:w="151" w:type="dxa"/>
            <w:shd w:val="clear" w:color="auto" w:fill="FFFFFF"/>
            <w:noWrap/>
            <w:tcMar>
              <w:top w:w="15" w:type="dxa"/>
              <w:left w:w="0" w:type="dxa"/>
              <w:bottom w:w="0" w:type="dxa"/>
              <w:right w:w="15" w:type="dxa"/>
            </w:tcMar>
            <w:vAlign w:val="bottom"/>
            <w:hideMark/>
          </w:tcPr>
          <w:p w14:paraId="7396247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6D731E3A" w14:textId="77777777" w:rsidTr="00AC4931">
        <w:tc>
          <w:tcPr>
            <w:tcW w:w="10785" w:type="dxa"/>
            <w:shd w:val="clear" w:color="auto" w:fill="CFF0FC"/>
            <w:tcMar>
              <w:top w:w="15" w:type="dxa"/>
              <w:left w:w="0" w:type="dxa"/>
              <w:bottom w:w="0" w:type="dxa"/>
              <w:right w:w="15" w:type="dxa"/>
            </w:tcMar>
            <w:vAlign w:val="bottom"/>
            <w:hideMark/>
          </w:tcPr>
          <w:p w14:paraId="0591E68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inventories, net of reserve</w:t>
            </w:r>
          </w:p>
        </w:tc>
        <w:tc>
          <w:tcPr>
            <w:tcW w:w="245" w:type="dxa"/>
            <w:shd w:val="clear" w:color="auto" w:fill="CFF0FC"/>
            <w:tcMar>
              <w:top w:w="15" w:type="dxa"/>
              <w:left w:w="0" w:type="dxa"/>
              <w:bottom w:w="0" w:type="dxa"/>
              <w:right w:w="15" w:type="dxa"/>
            </w:tcMar>
            <w:vAlign w:val="bottom"/>
            <w:hideMark/>
          </w:tcPr>
          <w:p w14:paraId="4944D7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11B881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841C08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798.3</w:t>
            </w:r>
          </w:p>
        </w:tc>
        <w:tc>
          <w:tcPr>
            <w:tcW w:w="150" w:type="dxa"/>
            <w:shd w:val="clear" w:color="auto" w:fill="CFF0FC"/>
            <w:noWrap/>
            <w:tcMar>
              <w:top w:w="15" w:type="dxa"/>
              <w:left w:w="0" w:type="dxa"/>
              <w:bottom w:w="0" w:type="dxa"/>
              <w:right w:w="15" w:type="dxa"/>
            </w:tcMar>
            <w:vAlign w:val="bottom"/>
            <w:hideMark/>
          </w:tcPr>
          <w:p w14:paraId="1D8344B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4FF02C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BEBB6A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CCC2DE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740.9</w:t>
            </w:r>
          </w:p>
        </w:tc>
        <w:tc>
          <w:tcPr>
            <w:tcW w:w="150" w:type="dxa"/>
            <w:shd w:val="clear" w:color="auto" w:fill="CFF0FC"/>
            <w:noWrap/>
            <w:tcMar>
              <w:top w:w="15" w:type="dxa"/>
              <w:left w:w="0" w:type="dxa"/>
              <w:bottom w:w="0" w:type="dxa"/>
              <w:right w:w="15" w:type="dxa"/>
            </w:tcMar>
            <w:vAlign w:val="bottom"/>
            <w:hideMark/>
          </w:tcPr>
          <w:p w14:paraId="3009674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73CB2A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420492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5A2C1F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757.9</w:t>
            </w:r>
          </w:p>
        </w:tc>
        <w:tc>
          <w:tcPr>
            <w:tcW w:w="151" w:type="dxa"/>
            <w:shd w:val="clear" w:color="auto" w:fill="CFF0FC"/>
            <w:noWrap/>
            <w:tcMar>
              <w:top w:w="15" w:type="dxa"/>
              <w:left w:w="0" w:type="dxa"/>
              <w:bottom w:w="0" w:type="dxa"/>
              <w:right w:w="15" w:type="dxa"/>
            </w:tcMar>
            <w:vAlign w:val="bottom"/>
            <w:hideMark/>
          </w:tcPr>
          <w:p w14:paraId="7FF82367"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745B81FD"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7596CEE7" w14:textId="77777777" w:rsidR="00AC4931" w:rsidRPr="00AC4931" w:rsidRDefault="00AC4931" w:rsidP="00AC4931">
      <w:pPr>
        <w:widowControl/>
        <w:spacing w:before="100"/>
        <w:rPr>
          <w:rFonts w:ascii="Arial" w:eastAsia="宋体" w:hAnsi="Arial" w:cs="Arial"/>
          <w:b/>
          <w:bCs/>
          <w:kern w:val="0"/>
          <w:sz w:val="22"/>
        </w:rPr>
      </w:pPr>
      <w:r w:rsidRPr="00AC4931">
        <w:rPr>
          <w:rFonts w:ascii="Arial" w:eastAsia="宋体" w:hAnsi="Arial" w:cs="Arial"/>
          <w:b/>
          <w:bCs/>
          <w:kern w:val="0"/>
          <w:sz w:val="22"/>
        </w:rPr>
        <w:t>9. Other Non-Current Assets</w:t>
      </w:r>
    </w:p>
    <w:p w14:paraId="358C67D5"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4430" w:type="dxa"/>
        <w:tblCellMar>
          <w:left w:w="0" w:type="dxa"/>
          <w:right w:w="0" w:type="dxa"/>
        </w:tblCellMar>
        <w:tblLook w:val="04A0" w:firstRow="1" w:lastRow="0" w:firstColumn="1" w:lastColumn="0" w:noHBand="0" w:noVBand="1"/>
      </w:tblPr>
      <w:tblGrid>
        <w:gridCol w:w="10719"/>
        <w:gridCol w:w="243"/>
        <w:gridCol w:w="138"/>
        <w:gridCol w:w="1336"/>
        <w:gridCol w:w="138"/>
        <w:gridCol w:w="243"/>
        <w:gridCol w:w="138"/>
        <w:gridCol w:w="1336"/>
        <w:gridCol w:w="139"/>
      </w:tblGrid>
      <w:tr w:rsidR="00AC4931" w:rsidRPr="00AC4931" w14:paraId="6CAD6A12" w14:textId="77777777" w:rsidTr="00AC4931">
        <w:tc>
          <w:tcPr>
            <w:tcW w:w="10667" w:type="dxa"/>
            <w:shd w:val="clear" w:color="auto" w:fill="FFFFFF"/>
            <w:tcMar>
              <w:top w:w="15" w:type="dxa"/>
              <w:left w:w="0" w:type="dxa"/>
              <w:bottom w:w="0" w:type="dxa"/>
              <w:right w:w="15" w:type="dxa"/>
            </w:tcMar>
            <w:vAlign w:val="bottom"/>
            <w:hideMark/>
          </w:tcPr>
          <w:p w14:paraId="6678303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DECEMBER 31</w:t>
            </w:r>
          </w:p>
        </w:tc>
        <w:tc>
          <w:tcPr>
            <w:tcW w:w="242" w:type="dxa"/>
            <w:shd w:val="clear" w:color="auto" w:fill="FFFFFF"/>
            <w:tcMar>
              <w:top w:w="15" w:type="dxa"/>
              <w:left w:w="0" w:type="dxa"/>
              <w:bottom w:w="0" w:type="dxa"/>
              <w:right w:w="15" w:type="dxa"/>
            </w:tcMar>
            <w:vAlign w:val="bottom"/>
            <w:hideMark/>
          </w:tcPr>
          <w:p w14:paraId="2BDEA60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8" w:type="dxa"/>
            <w:gridSpan w:val="2"/>
            <w:tcBorders>
              <w:bottom w:val="single" w:sz="6" w:space="0" w:color="000000"/>
            </w:tcBorders>
            <w:shd w:val="clear" w:color="auto" w:fill="FFFFFF"/>
            <w:tcMar>
              <w:top w:w="15" w:type="dxa"/>
              <w:left w:w="0" w:type="dxa"/>
              <w:bottom w:w="0" w:type="dxa"/>
              <w:right w:w="15" w:type="dxa"/>
            </w:tcMar>
            <w:vAlign w:val="bottom"/>
            <w:hideMark/>
          </w:tcPr>
          <w:p w14:paraId="1793C0D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29" w:type="dxa"/>
            <w:shd w:val="clear" w:color="auto" w:fill="FFFFFF"/>
            <w:noWrap/>
            <w:tcMar>
              <w:top w:w="15" w:type="dxa"/>
              <w:left w:w="0" w:type="dxa"/>
              <w:bottom w:w="0" w:type="dxa"/>
              <w:right w:w="15" w:type="dxa"/>
            </w:tcMar>
            <w:vAlign w:val="bottom"/>
            <w:hideMark/>
          </w:tcPr>
          <w:p w14:paraId="1A59ECB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2" w:type="dxa"/>
            <w:shd w:val="clear" w:color="auto" w:fill="FFFFFF"/>
            <w:tcMar>
              <w:top w:w="15" w:type="dxa"/>
              <w:left w:w="0" w:type="dxa"/>
              <w:bottom w:w="0" w:type="dxa"/>
              <w:right w:w="15" w:type="dxa"/>
            </w:tcMar>
            <w:vAlign w:val="bottom"/>
            <w:hideMark/>
          </w:tcPr>
          <w:p w14:paraId="06DA346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8" w:type="dxa"/>
            <w:gridSpan w:val="2"/>
            <w:tcBorders>
              <w:bottom w:val="single" w:sz="6" w:space="0" w:color="000000"/>
            </w:tcBorders>
            <w:shd w:val="clear" w:color="auto" w:fill="FFFFFF"/>
            <w:tcMar>
              <w:top w:w="15" w:type="dxa"/>
              <w:left w:w="0" w:type="dxa"/>
              <w:bottom w:w="0" w:type="dxa"/>
              <w:right w:w="15" w:type="dxa"/>
            </w:tcMar>
            <w:vAlign w:val="bottom"/>
            <w:hideMark/>
          </w:tcPr>
          <w:p w14:paraId="7C19B8D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30" w:type="dxa"/>
            <w:shd w:val="clear" w:color="auto" w:fill="FFFFFF"/>
            <w:noWrap/>
            <w:tcMar>
              <w:top w:w="15" w:type="dxa"/>
              <w:left w:w="0" w:type="dxa"/>
              <w:bottom w:w="0" w:type="dxa"/>
              <w:right w:w="15" w:type="dxa"/>
            </w:tcMar>
            <w:vAlign w:val="bottom"/>
            <w:hideMark/>
          </w:tcPr>
          <w:p w14:paraId="01D53DB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2273CF9" w14:textId="77777777" w:rsidTr="00AC4931">
        <w:tc>
          <w:tcPr>
            <w:tcW w:w="10667" w:type="dxa"/>
            <w:shd w:val="clear" w:color="auto" w:fill="CFF0FC"/>
            <w:tcMar>
              <w:top w:w="15" w:type="dxa"/>
              <w:left w:w="0" w:type="dxa"/>
              <w:bottom w:w="0" w:type="dxa"/>
              <w:right w:w="15" w:type="dxa"/>
            </w:tcMar>
            <w:hideMark/>
          </w:tcPr>
          <w:p w14:paraId="53CB37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Equity method investments</w:t>
            </w:r>
          </w:p>
        </w:tc>
        <w:tc>
          <w:tcPr>
            <w:tcW w:w="242" w:type="dxa"/>
            <w:shd w:val="clear" w:color="auto" w:fill="CFF0FC"/>
            <w:tcMar>
              <w:top w:w="15" w:type="dxa"/>
              <w:left w:w="0" w:type="dxa"/>
              <w:bottom w:w="0" w:type="dxa"/>
              <w:right w:w="15" w:type="dxa"/>
            </w:tcMar>
            <w:vAlign w:val="bottom"/>
            <w:hideMark/>
          </w:tcPr>
          <w:p w14:paraId="361DA0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29B5E2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13" w:type="dxa"/>
            <w:tcBorders>
              <w:top w:val="single" w:sz="6" w:space="0" w:color="000000"/>
            </w:tcBorders>
            <w:shd w:val="clear" w:color="auto" w:fill="CFF0FC"/>
            <w:noWrap/>
            <w:tcMar>
              <w:top w:w="15" w:type="dxa"/>
              <w:left w:w="0" w:type="dxa"/>
              <w:bottom w:w="0" w:type="dxa"/>
              <w:right w:w="15" w:type="dxa"/>
            </w:tcMar>
            <w:vAlign w:val="bottom"/>
            <w:hideMark/>
          </w:tcPr>
          <w:p w14:paraId="41B2B1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8.7</w:t>
            </w:r>
          </w:p>
        </w:tc>
        <w:tc>
          <w:tcPr>
            <w:tcW w:w="129" w:type="dxa"/>
            <w:shd w:val="clear" w:color="auto" w:fill="CFF0FC"/>
            <w:noWrap/>
            <w:tcMar>
              <w:top w:w="15" w:type="dxa"/>
              <w:left w:w="0" w:type="dxa"/>
              <w:bottom w:w="0" w:type="dxa"/>
              <w:right w:w="15" w:type="dxa"/>
            </w:tcMar>
            <w:vAlign w:val="bottom"/>
            <w:hideMark/>
          </w:tcPr>
          <w:p w14:paraId="7F426E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32A61A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2943D3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13" w:type="dxa"/>
            <w:tcBorders>
              <w:top w:val="single" w:sz="6" w:space="0" w:color="000000"/>
            </w:tcBorders>
            <w:shd w:val="clear" w:color="auto" w:fill="CFF0FC"/>
            <w:noWrap/>
            <w:tcMar>
              <w:top w:w="15" w:type="dxa"/>
              <w:left w:w="0" w:type="dxa"/>
              <w:bottom w:w="0" w:type="dxa"/>
              <w:right w:w="15" w:type="dxa"/>
            </w:tcMar>
            <w:vAlign w:val="bottom"/>
            <w:hideMark/>
          </w:tcPr>
          <w:p w14:paraId="2A2030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8.6</w:t>
            </w:r>
          </w:p>
        </w:tc>
        <w:tc>
          <w:tcPr>
            <w:tcW w:w="130" w:type="dxa"/>
            <w:shd w:val="clear" w:color="auto" w:fill="CFF0FC"/>
            <w:noWrap/>
            <w:tcMar>
              <w:top w:w="15" w:type="dxa"/>
              <w:left w:w="0" w:type="dxa"/>
              <w:bottom w:w="0" w:type="dxa"/>
              <w:right w:w="15" w:type="dxa"/>
            </w:tcMar>
            <w:vAlign w:val="bottom"/>
            <w:hideMark/>
          </w:tcPr>
          <w:p w14:paraId="2FF4EC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6E59753" w14:textId="77777777" w:rsidTr="00AC4931">
        <w:tc>
          <w:tcPr>
            <w:tcW w:w="10667" w:type="dxa"/>
            <w:shd w:val="clear" w:color="auto" w:fill="FFFFFF"/>
            <w:tcMar>
              <w:top w:w="15" w:type="dxa"/>
              <w:left w:w="0" w:type="dxa"/>
              <w:bottom w:w="0" w:type="dxa"/>
              <w:right w:w="15" w:type="dxa"/>
            </w:tcMar>
            <w:hideMark/>
          </w:tcPr>
          <w:p w14:paraId="165AFD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Deferred tax assets</w:t>
            </w:r>
          </w:p>
        </w:tc>
        <w:tc>
          <w:tcPr>
            <w:tcW w:w="242" w:type="dxa"/>
            <w:shd w:val="clear" w:color="auto" w:fill="FFFFFF"/>
            <w:tcMar>
              <w:top w:w="15" w:type="dxa"/>
              <w:left w:w="0" w:type="dxa"/>
              <w:bottom w:w="0" w:type="dxa"/>
              <w:right w:w="15" w:type="dxa"/>
            </w:tcMar>
            <w:vAlign w:val="bottom"/>
            <w:hideMark/>
          </w:tcPr>
          <w:p w14:paraId="3BC706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center"/>
            <w:hideMark/>
          </w:tcPr>
          <w:p w14:paraId="5D4B67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shd w:val="clear" w:color="auto" w:fill="FFFFFF"/>
            <w:noWrap/>
            <w:tcMar>
              <w:top w:w="15" w:type="dxa"/>
              <w:left w:w="0" w:type="dxa"/>
              <w:bottom w:w="0" w:type="dxa"/>
              <w:right w:w="15" w:type="dxa"/>
            </w:tcMar>
            <w:vAlign w:val="center"/>
            <w:hideMark/>
          </w:tcPr>
          <w:p w14:paraId="30D2BF5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281.1</w:t>
            </w:r>
          </w:p>
        </w:tc>
        <w:tc>
          <w:tcPr>
            <w:tcW w:w="129" w:type="dxa"/>
            <w:shd w:val="clear" w:color="auto" w:fill="FFFFFF"/>
            <w:noWrap/>
            <w:tcMar>
              <w:top w:w="15" w:type="dxa"/>
              <w:left w:w="0" w:type="dxa"/>
              <w:bottom w:w="0" w:type="dxa"/>
              <w:right w:w="15" w:type="dxa"/>
            </w:tcMar>
            <w:vAlign w:val="center"/>
            <w:hideMark/>
          </w:tcPr>
          <w:p w14:paraId="200417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580BEC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center"/>
            <w:hideMark/>
          </w:tcPr>
          <w:p w14:paraId="5C69E5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shd w:val="clear" w:color="auto" w:fill="FFFFFF"/>
            <w:noWrap/>
            <w:tcMar>
              <w:top w:w="15" w:type="dxa"/>
              <w:left w:w="0" w:type="dxa"/>
              <w:bottom w:w="0" w:type="dxa"/>
              <w:right w:w="15" w:type="dxa"/>
            </w:tcMar>
            <w:vAlign w:val="center"/>
            <w:hideMark/>
          </w:tcPr>
          <w:p w14:paraId="658761F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244.6</w:t>
            </w:r>
          </w:p>
        </w:tc>
        <w:tc>
          <w:tcPr>
            <w:tcW w:w="130" w:type="dxa"/>
            <w:shd w:val="clear" w:color="auto" w:fill="FFFFFF"/>
            <w:noWrap/>
            <w:tcMar>
              <w:top w:w="15" w:type="dxa"/>
              <w:left w:w="0" w:type="dxa"/>
              <w:bottom w:w="0" w:type="dxa"/>
              <w:right w:w="15" w:type="dxa"/>
            </w:tcMar>
            <w:vAlign w:val="center"/>
            <w:hideMark/>
          </w:tcPr>
          <w:p w14:paraId="15C58E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5437942" w14:textId="77777777" w:rsidTr="00AC4931">
        <w:tc>
          <w:tcPr>
            <w:tcW w:w="10667" w:type="dxa"/>
            <w:shd w:val="clear" w:color="auto" w:fill="CFF0FC"/>
            <w:tcMar>
              <w:top w:w="15" w:type="dxa"/>
              <w:left w:w="0" w:type="dxa"/>
              <w:bottom w:w="0" w:type="dxa"/>
              <w:right w:w="15" w:type="dxa"/>
            </w:tcMar>
            <w:hideMark/>
          </w:tcPr>
          <w:p w14:paraId="40EB38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tax receivables</w:t>
            </w:r>
          </w:p>
        </w:tc>
        <w:tc>
          <w:tcPr>
            <w:tcW w:w="242" w:type="dxa"/>
            <w:shd w:val="clear" w:color="auto" w:fill="CFF0FC"/>
            <w:tcMar>
              <w:top w:w="15" w:type="dxa"/>
              <w:left w:w="0" w:type="dxa"/>
              <w:bottom w:w="0" w:type="dxa"/>
              <w:right w:w="15" w:type="dxa"/>
            </w:tcMar>
            <w:vAlign w:val="bottom"/>
            <w:hideMark/>
          </w:tcPr>
          <w:p w14:paraId="1AE814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center"/>
            <w:hideMark/>
          </w:tcPr>
          <w:p w14:paraId="54567D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shd w:val="clear" w:color="auto" w:fill="CFF0FC"/>
            <w:noWrap/>
            <w:tcMar>
              <w:top w:w="15" w:type="dxa"/>
              <w:left w:w="0" w:type="dxa"/>
              <w:bottom w:w="0" w:type="dxa"/>
              <w:right w:w="15" w:type="dxa"/>
            </w:tcMar>
            <w:vAlign w:val="center"/>
            <w:hideMark/>
          </w:tcPr>
          <w:p w14:paraId="151F79B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28.2</w:t>
            </w:r>
          </w:p>
        </w:tc>
        <w:tc>
          <w:tcPr>
            <w:tcW w:w="129" w:type="dxa"/>
            <w:shd w:val="clear" w:color="auto" w:fill="CFF0FC"/>
            <w:noWrap/>
            <w:tcMar>
              <w:top w:w="15" w:type="dxa"/>
              <w:left w:w="0" w:type="dxa"/>
              <w:bottom w:w="0" w:type="dxa"/>
              <w:right w:w="15" w:type="dxa"/>
            </w:tcMar>
            <w:vAlign w:val="center"/>
            <w:hideMark/>
          </w:tcPr>
          <w:p w14:paraId="738C1E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618435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center"/>
            <w:hideMark/>
          </w:tcPr>
          <w:p w14:paraId="280AAD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shd w:val="clear" w:color="auto" w:fill="CFF0FC"/>
            <w:noWrap/>
            <w:tcMar>
              <w:top w:w="15" w:type="dxa"/>
              <w:left w:w="0" w:type="dxa"/>
              <w:bottom w:w="0" w:type="dxa"/>
              <w:right w:w="15" w:type="dxa"/>
            </w:tcMar>
            <w:vAlign w:val="center"/>
            <w:hideMark/>
          </w:tcPr>
          <w:p w14:paraId="3CAF921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25.2</w:t>
            </w:r>
          </w:p>
        </w:tc>
        <w:tc>
          <w:tcPr>
            <w:tcW w:w="130" w:type="dxa"/>
            <w:shd w:val="clear" w:color="auto" w:fill="CFF0FC"/>
            <w:noWrap/>
            <w:tcMar>
              <w:top w:w="15" w:type="dxa"/>
              <w:left w:w="0" w:type="dxa"/>
              <w:bottom w:w="0" w:type="dxa"/>
              <w:right w:w="15" w:type="dxa"/>
            </w:tcMar>
            <w:vAlign w:val="center"/>
            <w:hideMark/>
          </w:tcPr>
          <w:p w14:paraId="368487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66B1C26" w14:textId="77777777" w:rsidTr="00AC4931">
        <w:tc>
          <w:tcPr>
            <w:tcW w:w="10667" w:type="dxa"/>
            <w:shd w:val="clear" w:color="auto" w:fill="FFFFFF"/>
            <w:tcMar>
              <w:top w:w="15" w:type="dxa"/>
              <w:left w:w="0" w:type="dxa"/>
              <w:bottom w:w="0" w:type="dxa"/>
              <w:right w:w="15" w:type="dxa"/>
            </w:tcMar>
            <w:hideMark/>
          </w:tcPr>
          <w:p w14:paraId="588FA8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Insurance receivables</w:t>
            </w:r>
          </w:p>
        </w:tc>
        <w:tc>
          <w:tcPr>
            <w:tcW w:w="242" w:type="dxa"/>
            <w:shd w:val="clear" w:color="auto" w:fill="FFFFFF"/>
            <w:tcMar>
              <w:top w:w="15" w:type="dxa"/>
              <w:left w:w="0" w:type="dxa"/>
              <w:bottom w:w="0" w:type="dxa"/>
              <w:right w:w="15" w:type="dxa"/>
            </w:tcMar>
            <w:vAlign w:val="bottom"/>
            <w:hideMark/>
          </w:tcPr>
          <w:p w14:paraId="1A44DF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center"/>
            <w:hideMark/>
          </w:tcPr>
          <w:p w14:paraId="5F32FE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shd w:val="clear" w:color="auto" w:fill="FFFFFF"/>
            <w:noWrap/>
            <w:tcMar>
              <w:top w:w="15" w:type="dxa"/>
              <w:left w:w="0" w:type="dxa"/>
              <w:bottom w:w="0" w:type="dxa"/>
              <w:right w:w="15" w:type="dxa"/>
            </w:tcMar>
            <w:vAlign w:val="center"/>
            <w:hideMark/>
          </w:tcPr>
          <w:p w14:paraId="4267661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104.7</w:t>
            </w:r>
          </w:p>
        </w:tc>
        <w:tc>
          <w:tcPr>
            <w:tcW w:w="129" w:type="dxa"/>
            <w:shd w:val="clear" w:color="auto" w:fill="FFFFFF"/>
            <w:noWrap/>
            <w:tcMar>
              <w:top w:w="15" w:type="dxa"/>
              <w:left w:w="0" w:type="dxa"/>
              <w:bottom w:w="0" w:type="dxa"/>
              <w:right w:w="15" w:type="dxa"/>
            </w:tcMar>
            <w:vAlign w:val="center"/>
            <w:hideMark/>
          </w:tcPr>
          <w:p w14:paraId="13C4F8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067071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center"/>
            <w:hideMark/>
          </w:tcPr>
          <w:p w14:paraId="22B439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shd w:val="clear" w:color="auto" w:fill="FFFFFF"/>
            <w:noWrap/>
            <w:tcMar>
              <w:top w:w="15" w:type="dxa"/>
              <w:left w:w="0" w:type="dxa"/>
              <w:bottom w:w="0" w:type="dxa"/>
              <w:right w:w="15" w:type="dxa"/>
            </w:tcMar>
            <w:vAlign w:val="center"/>
            <w:hideMark/>
          </w:tcPr>
          <w:p w14:paraId="77147A0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68.4</w:t>
            </w:r>
          </w:p>
        </w:tc>
        <w:tc>
          <w:tcPr>
            <w:tcW w:w="130" w:type="dxa"/>
            <w:shd w:val="clear" w:color="auto" w:fill="FFFFFF"/>
            <w:noWrap/>
            <w:tcMar>
              <w:top w:w="15" w:type="dxa"/>
              <w:left w:w="0" w:type="dxa"/>
              <w:bottom w:w="0" w:type="dxa"/>
              <w:right w:w="15" w:type="dxa"/>
            </w:tcMar>
            <w:vAlign w:val="center"/>
            <w:hideMark/>
          </w:tcPr>
          <w:p w14:paraId="67997D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E7F807D" w14:textId="77777777" w:rsidTr="00AC4931">
        <w:tc>
          <w:tcPr>
            <w:tcW w:w="10667" w:type="dxa"/>
            <w:shd w:val="clear" w:color="auto" w:fill="CFF0FC"/>
            <w:tcMar>
              <w:top w:w="15" w:type="dxa"/>
              <w:left w:w="0" w:type="dxa"/>
              <w:bottom w:w="0" w:type="dxa"/>
              <w:right w:w="15" w:type="dxa"/>
            </w:tcMar>
            <w:vAlign w:val="bottom"/>
            <w:hideMark/>
          </w:tcPr>
          <w:p w14:paraId="56239C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non-current assets</w:t>
            </w:r>
          </w:p>
        </w:tc>
        <w:tc>
          <w:tcPr>
            <w:tcW w:w="242" w:type="dxa"/>
            <w:shd w:val="clear" w:color="auto" w:fill="CFF0FC"/>
            <w:tcMar>
              <w:top w:w="15" w:type="dxa"/>
              <w:left w:w="0" w:type="dxa"/>
              <w:bottom w:w="0" w:type="dxa"/>
              <w:right w:w="15" w:type="dxa"/>
            </w:tcMar>
            <w:vAlign w:val="bottom"/>
            <w:hideMark/>
          </w:tcPr>
          <w:p w14:paraId="2F3B55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CFF0FC"/>
            <w:noWrap/>
            <w:tcMar>
              <w:top w:w="15" w:type="dxa"/>
              <w:left w:w="0" w:type="dxa"/>
              <w:bottom w:w="0" w:type="dxa"/>
              <w:right w:w="15" w:type="dxa"/>
            </w:tcMar>
            <w:vAlign w:val="center"/>
            <w:hideMark/>
          </w:tcPr>
          <w:p w14:paraId="12443B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tcBorders>
              <w:bottom w:val="single" w:sz="6" w:space="0" w:color="000000"/>
            </w:tcBorders>
            <w:shd w:val="clear" w:color="auto" w:fill="CFF0FC"/>
            <w:noWrap/>
            <w:tcMar>
              <w:top w:w="15" w:type="dxa"/>
              <w:left w:w="0" w:type="dxa"/>
              <w:bottom w:w="0" w:type="dxa"/>
              <w:right w:w="15" w:type="dxa"/>
            </w:tcMar>
            <w:vAlign w:val="center"/>
            <w:hideMark/>
          </w:tcPr>
          <w:p w14:paraId="5EBAA09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43.5</w:t>
            </w:r>
          </w:p>
        </w:tc>
        <w:tc>
          <w:tcPr>
            <w:tcW w:w="129" w:type="dxa"/>
            <w:shd w:val="clear" w:color="auto" w:fill="CFF0FC"/>
            <w:noWrap/>
            <w:tcMar>
              <w:top w:w="15" w:type="dxa"/>
              <w:left w:w="0" w:type="dxa"/>
              <w:bottom w:w="0" w:type="dxa"/>
              <w:right w:w="15" w:type="dxa"/>
            </w:tcMar>
            <w:vAlign w:val="center"/>
            <w:hideMark/>
          </w:tcPr>
          <w:p w14:paraId="38B0EB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763BCB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CFF0FC"/>
            <w:noWrap/>
            <w:tcMar>
              <w:top w:w="15" w:type="dxa"/>
              <w:left w:w="0" w:type="dxa"/>
              <w:bottom w:w="0" w:type="dxa"/>
              <w:right w:w="15" w:type="dxa"/>
            </w:tcMar>
            <w:vAlign w:val="center"/>
            <w:hideMark/>
          </w:tcPr>
          <w:p w14:paraId="6EFC0F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tcBorders>
              <w:bottom w:val="single" w:sz="6" w:space="0" w:color="000000"/>
            </w:tcBorders>
            <w:shd w:val="clear" w:color="auto" w:fill="CFF0FC"/>
            <w:noWrap/>
            <w:tcMar>
              <w:top w:w="15" w:type="dxa"/>
              <w:left w:w="0" w:type="dxa"/>
              <w:bottom w:w="0" w:type="dxa"/>
              <w:right w:w="15" w:type="dxa"/>
            </w:tcMar>
            <w:vAlign w:val="center"/>
            <w:hideMark/>
          </w:tcPr>
          <w:p w14:paraId="56EF4FB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39.6</w:t>
            </w:r>
          </w:p>
        </w:tc>
        <w:tc>
          <w:tcPr>
            <w:tcW w:w="130" w:type="dxa"/>
            <w:shd w:val="clear" w:color="auto" w:fill="CFF0FC"/>
            <w:noWrap/>
            <w:tcMar>
              <w:top w:w="15" w:type="dxa"/>
              <w:left w:w="0" w:type="dxa"/>
              <w:bottom w:w="0" w:type="dxa"/>
              <w:right w:w="15" w:type="dxa"/>
            </w:tcMar>
            <w:vAlign w:val="center"/>
            <w:hideMark/>
          </w:tcPr>
          <w:p w14:paraId="35D16E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389DCAD" w14:textId="77777777" w:rsidTr="00AC4931">
        <w:tc>
          <w:tcPr>
            <w:tcW w:w="10667" w:type="dxa"/>
            <w:shd w:val="clear" w:color="auto" w:fill="FFFFFF"/>
            <w:tcMar>
              <w:top w:w="15" w:type="dxa"/>
              <w:left w:w="0" w:type="dxa"/>
              <w:bottom w:w="0" w:type="dxa"/>
              <w:right w:w="15" w:type="dxa"/>
            </w:tcMar>
            <w:vAlign w:val="bottom"/>
            <w:hideMark/>
          </w:tcPr>
          <w:p w14:paraId="3C71233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other non-current assets</w:t>
            </w:r>
          </w:p>
        </w:tc>
        <w:tc>
          <w:tcPr>
            <w:tcW w:w="242" w:type="dxa"/>
            <w:shd w:val="clear" w:color="auto" w:fill="FFFFFF"/>
            <w:tcMar>
              <w:top w:w="15" w:type="dxa"/>
              <w:left w:w="0" w:type="dxa"/>
              <w:bottom w:w="0" w:type="dxa"/>
              <w:right w:w="15" w:type="dxa"/>
            </w:tcMar>
            <w:vAlign w:val="bottom"/>
            <w:hideMark/>
          </w:tcPr>
          <w:p w14:paraId="5B5FB1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FFFFFF"/>
            <w:noWrap/>
            <w:tcMar>
              <w:top w:w="15" w:type="dxa"/>
              <w:left w:w="0" w:type="dxa"/>
              <w:bottom w:w="0" w:type="dxa"/>
              <w:right w:w="15" w:type="dxa"/>
            </w:tcMar>
            <w:vAlign w:val="bottom"/>
            <w:hideMark/>
          </w:tcPr>
          <w:p w14:paraId="01376BC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313" w:type="dxa"/>
            <w:tcBorders>
              <w:top w:val="single" w:sz="6" w:space="0" w:color="000000"/>
            </w:tcBorders>
            <w:shd w:val="clear" w:color="auto" w:fill="FFFFFF"/>
            <w:noWrap/>
            <w:tcMar>
              <w:top w:w="15" w:type="dxa"/>
              <w:left w:w="0" w:type="dxa"/>
              <w:bottom w:w="0" w:type="dxa"/>
              <w:right w:w="15" w:type="dxa"/>
            </w:tcMar>
            <w:vAlign w:val="bottom"/>
            <w:hideMark/>
          </w:tcPr>
          <w:p w14:paraId="462EEB9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466.2</w:t>
            </w:r>
          </w:p>
        </w:tc>
        <w:tc>
          <w:tcPr>
            <w:tcW w:w="129" w:type="dxa"/>
            <w:shd w:val="clear" w:color="auto" w:fill="FFFFFF"/>
            <w:noWrap/>
            <w:tcMar>
              <w:top w:w="15" w:type="dxa"/>
              <w:left w:w="0" w:type="dxa"/>
              <w:bottom w:w="0" w:type="dxa"/>
              <w:right w:w="15" w:type="dxa"/>
            </w:tcMar>
            <w:vAlign w:val="bottom"/>
            <w:hideMark/>
          </w:tcPr>
          <w:p w14:paraId="110FE29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297449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FFFFFF"/>
            <w:noWrap/>
            <w:tcMar>
              <w:top w:w="15" w:type="dxa"/>
              <w:left w:w="0" w:type="dxa"/>
              <w:bottom w:w="0" w:type="dxa"/>
              <w:right w:w="15" w:type="dxa"/>
            </w:tcMar>
            <w:vAlign w:val="bottom"/>
            <w:hideMark/>
          </w:tcPr>
          <w:p w14:paraId="6D2D846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313" w:type="dxa"/>
            <w:tcBorders>
              <w:top w:val="single" w:sz="6" w:space="0" w:color="000000"/>
            </w:tcBorders>
            <w:shd w:val="clear" w:color="auto" w:fill="FFFFFF"/>
            <w:noWrap/>
            <w:tcMar>
              <w:top w:w="15" w:type="dxa"/>
              <w:left w:w="0" w:type="dxa"/>
              <w:bottom w:w="0" w:type="dxa"/>
              <w:right w:w="15" w:type="dxa"/>
            </w:tcMar>
            <w:vAlign w:val="bottom"/>
            <w:hideMark/>
          </w:tcPr>
          <w:p w14:paraId="063E98A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386.4</w:t>
            </w:r>
          </w:p>
        </w:tc>
        <w:tc>
          <w:tcPr>
            <w:tcW w:w="130" w:type="dxa"/>
            <w:shd w:val="clear" w:color="auto" w:fill="FFFFFF"/>
            <w:noWrap/>
            <w:tcMar>
              <w:top w:w="15" w:type="dxa"/>
              <w:left w:w="0" w:type="dxa"/>
              <w:bottom w:w="0" w:type="dxa"/>
              <w:right w:w="15" w:type="dxa"/>
            </w:tcMar>
            <w:vAlign w:val="bottom"/>
            <w:hideMark/>
          </w:tcPr>
          <w:p w14:paraId="2A72072C"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0AE3D3CF"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61416285" w14:textId="77777777" w:rsidR="00AC4931" w:rsidRPr="00AC4931" w:rsidRDefault="00AC4931" w:rsidP="00AC4931">
      <w:pPr>
        <w:widowControl/>
        <w:spacing w:before="60"/>
        <w:rPr>
          <w:rFonts w:ascii="Arial" w:eastAsia="宋体" w:hAnsi="Arial" w:cs="Arial"/>
          <w:kern w:val="0"/>
          <w:sz w:val="18"/>
          <w:szCs w:val="18"/>
        </w:rPr>
      </w:pPr>
      <w:r w:rsidRPr="00AC4931">
        <w:rPr>
          <w:rFonts w:ascii="Arial" w:eastAsia="宋体" w:hAnsi="Arial" w:cs="Arial"/>
          <w:kern w:val="0"/>
          <w:sz w:val="18"/>
          <w:szCs w:val="18"/>
        </w:rPr>
        <w:t>As of December 31, 2020 and 2019, the Company had one equity method investment. The Company has ownership of 49% in Autoliv-Hirotako Safety Sdn, Bhd (parent and subsidiaries) in Malaysia which it currently does not control, but in which it exercises significant influence over operations and financial position.</w:t>
      </w:r>
    </w:p>
    <w:p w14:paraId="246D7C9B" w14:textId="77777777" w:rsidR="00AC4931" w:rsidRPr="00AC4931" w:rsidRDefault="00AC4931" w:rsidP="00AC4931">
      <w:pPr>
        <w:widowControl/>
        <w:spacing w:before="340"/>
        <w:rPr>
          <w:rFonts w:ascii="Arial" w:eastAsia="宋体" w:hAnsi="Arial" w:cs="Arial"/>
          <w:b/>
          <w:bCs/>
          <w:kern w:val="0"/>
          <w:sz w:val="22"/>
        </w:rPr>
      </w:pPr>
      <w:r w:rsidRPr="00AC4931">
        <w:rPr>
          <w:rFonts w:ascii="Arial" w:eastAsia="宋体" w:hAnsi="Arial" w:cs="Arial"/>
          <w:b/>
          <w:bCs/>
          <w:kern w:val="0"/>
          <w:sz w:val="22"/>
        </w:rPr>
        <w:t>10. Property, Plant and Equipment</w:t>
      </w:r>
    </w:p>
    <w:p w14:paraId="17521C8E"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48"/>
        <w:gridCol w:w="248"/>
        <w:gridCol w:w="159"/>
        <w:gridCol w:w="1315"/>
        <w:gridCol w:w="159"/>
        <w:gridCol w:w="248"/>
        <w:gridCol w:w="159"/>
        <w:gridCol w:w="1315"/>
        <w:gridCol w:w="159"/>
        <w:gridCol w:w="248"/>
        <w:gridCol w:w="1633"/>
      </w:tblGrid>
      <w:tr w:rsidR="00AC4931" w:rsidRPr="00AC4931" w14:paraId="699AAB9D" w14:textId="77777777" w:rsidTr="00AC4931">
        <w:tc>
          <w:tcPr>
            <w:tcW w:w="10783" w:type="dxa"/>
            <w:shd w:val="clear" w:color="auto" w:fill="FFFFFF"/>
            <w:tcMar>
              <w:top w:w="15" w:type="dxa"/>
              <w:left w:w="0" w:type="dxa"/>
              <w:bottom w:w="0" w:type="dxa"/>
              <w:right w:w="15" w:type="dxa"/>
            </w:tcMar>
            <w:vAlign w:val="bottom"/>
            <w:hideMark/>
          </w:tcPr>
          <w:p w14:paraId="441E29A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DECEMBER 31</w:t>
            </w:r>
          </w:p>
        </w:tc>
        <w:tc>
          <w:tcPr>
            <w:tcW w:w="246" w:type="dxa"/>
            <w:shd w:val="clear" w:color="auto" w:fill="FFFFFF"/>
            <w:tcMar>
              <w:top w:w="15" w:type="dxa"/>
              <w:left w:w="0" w:type="dxa"/>
              <w:bottom w:w="0" w:type="dxa"/>
              <w:right w:w="15" w:type="dxa"/>
            </w:tcMar>
            <w:vAlign w:val="bottom"/>
            <w:hideMark/>
          </w:tcPr>
          <w:p w14:paraId="5431FDF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7" w:type="dxa"/>
            <w:gridSpan w:val="2"/>
            <w:tcBorders>
              <w:bottom w:val="single" w:sz="6" w:space="0" w:color="000000"/>
            </w:tcBorders>
            <w:shd w:val="clear" w:color="auto" w:fill="FFFFFF"/>
            <w:tcMar>
              <w:top w:w="15" w:type="dxa"/>
              <w:left w:w="0" w:type="dxa"/>
              <w:bottom w:w="0" w:type="dxa"/>
              <w:right w:w="15" w:type="dxa"/>
            </w:tcMar>
            <w:vAlign w:val="bottom"/>
            <w:hideMark/>
          </w:tcPr>
          <w:p w14:paraId="1CE8829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1EE7760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6" w:type="dxa"/>
            <w:shd w:val="clear" w:color="auto" w:fill="FFFFFF"/>
            <w:tcMar>
              <w:top w:w="15" w:type="dxa"/>
              <w:left w:w="0" w:type="dxa"/>
              <w:bottom w:w="0" w:type="dxa"/>
              <w:right w:w="15" w:type="dxa"/>
            </w:tcMar>
            <w:vAlign w:val="bottom"/>
            <w:hideMark/>
          </w:tcPr>
          <w:p w14:paraId="30A714A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7" w:type="dxa"/>
            <w:gridSpan w:val="2"/>
            <w:tcBorders>
              <w:bottom w:val="single" w:sz="6" w:space="0" w:color="000000"/>
            </w:tcBorders>
            <w:shd w:val="clear" w:color="auto" w:fill="FFFFFF"/>
            <w:tcMar>
              <w:top w:w="15" w:type="dxa"/>
              <w:left w:w="0" w:type="dxa"/>
              <w:bottom w:w="0" w:type="dxa"/>
              <w:right w:w="15" w:type="dxa"/>
            </w:tcMar>
            <w:vAlign w:val="bottom"/>
            <w:hideMark/>
          </w:tcPr>
          <w:p w14:paraId="14D1048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31A81E3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6" w:type="dxa"/>
            <w:shd w:val="clear" w:color="auto" w:fill="FFFFFF"/>
            <w:tcMar>
              <w:top w:w="15" w:type="dxa"/>
              <w:left w:w="0" w:type="dxa"/>
              <w:bottom w:w="0" w:type="dxa"/>
              <w:right w:w="15" w:type="dxa"/>
            </w:tcMar>
            <w:vAlign w:val="bottom"/>
            <w:hideMark/>
          </w:tcPr>
          <w:p w14:paraId="199BF60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23" w:type="dxa"/>
            <w:tcBorders>
              <w:bottom w:val="single" w:sz="6" w:space="0" w:color="000000"/>
            </w:tcBorders>
            <w:shd w:val="clear" w:color="auto" w:fill="FFFFFF"/>
            <w:tcMar>
              <w:top w:w="15" w:type="dxa"/>
              <w:left w:w="0" w:type="dxa"/>
              <w:bottom w:w="0" w:type="dxa"/>
              <w:right w:w="15" w:type="dxa"/>
            </w:tcMar>
            <w:vAlign w:val="bottom"/>
            <w:hideMark/>
          </w:tcPr>
          <w:p w14:paraId="0F3A406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Estimated</w:t>
            </w:r>
          </w:p>
          <w:p w14:paraId="48C5DC2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life</w:t>
            </w:r>
          </w:p>
        </w:tc>
      </w:tr>
      <w:tr w:rsidR="00AC4931" w:rsidRPr="00AC4931" w14:paraId="4F72C0DD" w14:textId="77777777" w:rsidTr="00AC4931">
        <w:tc>
          <w:tcPr>
            <w:tcW w:w="10783" w:type="dxa"/>
            <w:shd w:val="clear" w:color="auto" w:fill="CFF0FC"/>
            <w:tcMar>
              <w:top w:w="15" w:type="dxa"/>
              <w:left w:w="0" w:type="dxa"/>
              <w:bottom w:w="0" w:type="dxa"/>
              <w:right w:w="15" w:type="dxa"/>
            </w:tcMar>
            <w:hideMark/>
          </w:tcPr>
          <w:p w14:paraId="6DB686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Land and land improvements</w:t>
            </w:r>
          </w:p>
        </w:tc>
        <w:tc>
          <w:tcPr>
            <w:tcW w:w="246" w:type="dxa"/>
            <w:shd w:val="clear" w:color="auto" w:fill="CFF0FC"/>
            <w:tcMar>
              <w:top w:w="15" w:type="dxa"/>
              <w:left w:w="0" w:type="dxa"/>
              <w:bottom w:w="0" w:type="dxa"/>
              <w:right w:w="15" w:type="dxa"/>
            </w:tcMar>
            <w:vAlign w:val="bottom"/>
            <w:hideMark/>
          </w:tcPr>
          <w:p w14:paraId="0E5CFA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FF561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23B74D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120.6</w:t>
            </w:r>
          </w:p>
        </w:tc>
        <w:tc>
          <w:tcPr>
            <w:tcW w:w="150" w:type="dxa"/>
            <w:shd w:val="clear" w:color="auto" w:fill="CFF0FC"/>
            <w:noWrap/>
            <w:tcMar>
              <w:top w:w="15" w:type="dxa"/>
              <w:left w:w="0" w:type="dxa"/>
              <w:bottom w:w="0" w:type="dxa"/>
              <w:right w:w="15" w:type="dxa"/>
            </w:tcMar>
            <w:vAlign w:val="bottom"/>
            <w:hideMark/>
          </w:tcPr>
          <w:p w14:paraId="4A200E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4AD183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2A242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05CD75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114.3</w:t>
            </w:r>
          </w:p>
        </w:tc>
        <w:tc>
          <w:tcPr>
            <w:tcW w:w="150" w:type="dxa"/>
            <w:shd w:val="clear" w:color="auto" w:fill="CFF0FC"/>
            <w:noWrap/>
            <w:tcMar>
              <w:top w:w="15" w:type="dxa"/>
              <w:left w:w="0" w:type="dxa"/>
              <w:bottom w:w="0" w:type="dxa"/>
              <w:right w:w="15" w:type="dxa"/>
            </w:tcMar>
            <w:vAlign w:val="bottom"/>
            <w:hideMark/>
          </w:tcPr>
          <w:p w14:paraId="362246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5BE49A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3" w:type="dxa"/>
            <w:tcBorders>
              <w:top w:val="single" w:sz="6" w:space="0" w:color="000000"/>
            </w:tcBorders>
            <w:shd w:val="clear" w:color="auto" w:fill="CFF0FC"/>
            <w:tcMar>
              <w:top w:w="15" w:type="dxa"/>
              <w:left w:w="0" w:type="dxa"/>
              <w:bottom w:w="0" w:type="dxa"/>
              <w:right w:w="15" w:type="dxa"/>
            </w:tcMar>
            <w:vAlign w:val="bottom"/>
            <w:hideMark/>
          </w:tcPr>
          <w:p w14:paraId="6C0D25D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n/a to 15</w:t>
            </w:r>
          </w:p>
        </w:tc>
      </w:tr>
      <w:tr w:rsidR="00AC4931" w:rsidRPr="00AC4931" w14:paraId="1C36351D" w14:textId="77777777" w:rsidTr="00AC4931">
        <w:tc>
          <w:tcPr>
            <w:tcW w:w="10783" w:type="dxa"/>
            <w:shd w:val="clear" w:color="auto" w:fill="FFFFFF"/>
            <w:tcMar>
              <w:top w:w="15" w:type="dxa"/>
              <w:left w:w="0" w:type="dxa"/>
              <w:bottom w:w="0" w:type="dxa"/>
              <w:right w:w="15" w:type="dxa"/>
            </w:tcMar>
            <w:hideMark/>
          </w:tcPr>
          <w:p w14:paraId="005DCB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Buildings</w:t>
            </w:r>
          </w:p>
        </w:tc>
        <w:tc>
          <w:tcPr>
            <w:tcW w:w="246" w:type="dxa"/>
            <w:shd w:val="clear" w:color="auto" w:fill="FFFFFF"/>
            <w:tcMar>
              <w:top w:w="15" w:type="dxa"/>
              <w:left w:w="0" w:type="dxa"/>
              <w:bottom w:w="0" w:type="dxa"/>
              <w:right w:w="15" w:type="dxa"/>
            </w:tcMar>
            <w:vAlign w:val="bottom"/>
            <w:hideMark/>
          </w:tcPr>
          <w:p w14:paraId="2941D4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D89FA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1159D5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962.0</w:t>
            </w:r>
          </w:p>
        </w:tc>
        <w:tc>
          <w:tcPr>
            <w:tcW w:w="150" w:type="dxa"/>
            <w:shd w:val="clear" w:color="auto" w:fill="FFFFFF"/>
            <w:noWrap/>
            <w:tcMar>
              <w:top w:w="15" w:type="dxa"/>
              <w:left w:w="0" w:type="dxa"/>
              <w:bottom w:w="0" w:type="dxa"/>
              <w:right w:w="15" w:type="dxa"/>
            </w:tcMar>
            <w:vAlign w:val="bottom"/>
            <w:hideMark/>
          </w:tcPr>
          <w:p w14:paraId="3E6868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FFFFFF"/>
            <w:tcMar>
              <w:top w:w="15" w:type="dxa"/>
              <w:left w:w="0" w:type="dxa"/>
              <w:bottom w:w="0" w:type="dxa"/>
              <w:right w:w="15" w:type="dxa"/>
            </w:tcMar>
            <w:vAlign w:val="bottom"/>
            <w:hideMark/>
          </w:tcPr>
          <w:p w14:paraId="469032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4DD51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5981E78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888.2</w:t>
            </w:r>
          </w:p>
        </w:tc>
        <w:tc>
          <w:tcPr>
            <w:tcW w:w="150" w:type="dxa"/>
            <w:shd w:val="clear" w:color="auto" w:fill="FFFFFF"/>
            <w:noWrap/>
            <w:tcMar>
              <w:top w:w="15" w:type="dxa"/>
              <w:left w:w="0" w:type="dxa"/>
              <w:bottom w:w="0" w:type="dxa"/>
              <w:right w:w="15" w:type="dxa"/>
            </w:tcMar>
            <w:vAlign w:val="bottom"/>
            <w:hideMark/>
          </w:tcPr>
          <w:p w14:paraId="679AF3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FFFFFF"/>
            <w:tcMar>
              <w:top w:w="15" w:type="dxa"/>
              <w:left w:w="0" w:type="dxa"/>
              <w:bottom w:w="0" w:type="dxa"/>
              <w:right w:w="15" w:type="dxa"/>
            </w:tcMar>
            <w:vAlign w:val="bottom"/>
            <w:hideMark/>
          </w:tcPr>
          <w:p w14:paraId="3E81A1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3" w:type="dxa"/>
            <w:shd w:val="clear" w:color="auto" w:fill="FFFFFF"/>
            <w:tcMar>
              <w:top w:w="15" w:type="dxa"/>
              <w:left w:w="0" w:type="dxa"/>
              <w:bottom w:w="0" w:type="dxa"/>
              <w:right w:w="15" w:type="dxa"/>
            </w:tcMar>
            <w:vAlign w:val="bottom"/>
            <w:hideMark/>
          </w:tcPr>
          <w:p w14:paraId="0E277EC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20-40</w:t>
            </w:r>
          </w:p>
        </w:tc>
      </w:tr>
      <w:tr w:rsidR="00AC4931" w:rsidRPr="00AC4931" w14:paraId="446CF116" w14:textId="77777777" w:rsidTr="00AC4931">
        <w:tc>
          <w:tcPr>
            <w:tcW w:w="10783" w:type="dxa"/>
            <w:shd w:val="clear" w:color="auto" w:fill="CFF0FC"/>
            <w:tcMar>
              <w:top w:w="15" w:type="dxa"/>
              <w:left w:w="0" w:type="dxa"/>
              <w:bottom w:w="0" w:type="dxa"/>
              <w:right w:w="15" w:type="dxa"/>
            </w:tcMar>
            <w:hideMark/>
          </w:tcPr>
          <w:p w14:paraId="66A057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Machinery and equipment</w:t>
            </w:r>
          </w:p>
        </w:tc>
        <w:tc>
          <w:tcPr>
            <w:tcW w:w="246" w:type="dxa"/>
            <w:shd w:val="clear" w:color="auto" w:fill="CFF0FC"/>
            <w:tcMar>
              <w:top w:w="15" w:type="dxa"/>
              <w:left w:w="0" w:type="dxa"/>
              <w:bottom w:w="0" w:type="dxa"/>
              <w:right w:w="15" w:type="dxa"/>
            </w:tcMar>
            <w:vAlign w:val="bottom"/>
            <w:hideMark/>
          </w:tcPr>
          <w:p w14:paraId="303E2C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C317C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717CB03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4,208.3</w:t>
            </w:r>
          </w:p>
        </w:tc>
        <w:tc>
          <w:tcPr>
            <w:tcW w:w="150" w:type="dxa"/>
            <w:shd w:val="clear" w:color="auto" w:fill="CFF0FC"/>
            <w:noWrap/>
            <w:tcMar>
              <w:top w:w="15" w:type="dxa"/>
              <w:left w:w="0" w:type="dxa"/>
              <w:bottom w:w="0" w:type="dxa"/>
              <w:right w:w="15" w:type="dxa"/>
            </w:tcMar>
            <w:vAlign w:val="bottom"/>
            <w:hideMark/>
          </w:tcPr>
          <w:p w14:paraId="5781CD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29AF00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9A4F2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bottom"/>
            <w:hideMark/>
          </w:tcPr>
          <w:p w14:paraId="07F4B31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3,810.5</w:t>
            </w:r>
          </w:p>
        </w:tc>
        <w:tc>
          <w:tcPr>
            <w:tcW w:w="150" w:type="dxa"/>
            <w:shd w:val="clear" w:color="auto" w:fill="CFF0FC"/>
            <w:noWrap/>
            <w:tcMar>
              <w:top w:w="15" w:type="dxa"/>
              <w:left w:w="0" w:type="dxa"/>
              <w:bottom w:w="0" w:type="dxa"/>
              <w:right w:w="15" w:type="dxa"/>
            </w:tcMar>
            <w:vAlign w:val="bottom"/>
            <w:hideMark/>
          </w:tcPr>
          <w:p w14:paraId="518720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47E42F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3" w:type="dxa"/>
            <w:shd w:val="clear" w:color="auto" w:fill="CFF0FC"/>
            <w:tcMar>
              <w:top w:w="15" w:type="dxa"/>
              <w:left w:w="0" w:type="dxa"/>
              <w:bottom w:w="0" w:type="dxa"/>
              <w:right w:w="15" w:type="dxa"/>
            </w:tcMar>
            <w:vAlign w:val="bottom"/>
            <w:hideMark/>
          </w:tcPr>
          <w:p w14:paraId="17F245D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3-12</w:t>
            </w:r>
          </w:p>
        </w:tc>
      </w:tr>
      <w:tr w:rsidR="00AC4931" w:rsidRPr="00AC4931" w14:paraId="3A3919C1" w14:textId="77777777" w:rsidTr="00AC4931">
        <w:tc>
          <w:tcPr>
            <w:tcW w:w="10783" w:type="dxa"/>
            <w:shd w:val="clear" w:color="auto" w:fill="FFFFFF"/>
            <w:tcMar>
              <w:top w:w="15" w:type="dxa"/>
              <w:left w:w="0" w:type="dxa"/>
              <w:bottom w:w="0" w:type="dxa"/>
              <w:right w:w="15" w:type="dxa"/>
            </w:tcMar>
            <w:hideMark/>
          </w:tcPr>
          <w:p w14:paraId="2269BF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Construction in progress</w:t>
            </w:r>
          </w:p>
        </w:tc>
        <w:tc>
          <w:tcPr>
            <w:tcW w:w="246" w:type="dxa"/>
            <w:shd w:val="clear" w:color="auto" w:fill="FFFFFF"/>
            <w:tcMar>
              <w:top w:w="15" w:type="dxa"/>
              <w:left w:w="0" w:type="dxa"/>
              <w:bottom w:w="0" w:type="dxa"/>
              <w:right w:w="15" w:type="dxa"/>
            </w:tcMar>
            <w:vAlign w:val="bottom"/>
            <w:hideMark/>
          </w:tcPr>
          <w:p w14:paraId="4DE431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46401E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24E4140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313.9</w:t>
            </w:r>
          </w:p>
        </w:tc>
        <w:tc>
          <w:tcPr>
            <w:tcW w:w="150" w:type="dxa"/>
            <w:shd w:val="clear" w:color="auto" w:fill="FFFFFF"/>
            <w:noWrap/>
            <w:tcMar>
              <w:top w:w="15" w:type="dxa"/>
              <w:left w:w="0" w:type="dxa"/>
              <w:bottom w:w="0" w:type="dxa"/>
              <w:right w:w="15" w:type="dxa"/>
            </w:tcMar>
            <w:vAlign w:val="bottom"/>
            <w:hideMark/>
          </w:tcPr>
          <w:p w14:paraId="5CE12E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FFFFFF"/>
            <w:tcMar>
              <w:top w:w="15" w:type="dxa"/>
              <w:left w:w="0" w:type="dxa"/>
              <w:bottom w:w="0" w:type="dxa"/>
              <w:right w:w="15" w:type="dxa"/>
            </w:tcMar>
            <w:vAlign w:val="bottom"/>
            <w:hideMark/>
          </w:tcPr>
          <w:p w14:paraId="45D31B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4ECE69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5FA4BBE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329.0</w:t>
            </w:r>
          </w:p>
        </w:tc>
        <w:tc>
          <w:tcPr>
            <w:tcW w:w="150" w:type="dxa"/>
            <w:shd w:val="clear" w:color="auto" w:fill="FFFFFF"/>
            <w:noWrap/>
            <w:tcMar>
              <w:top w:w="15" w:type="dxa"/>
              <w:left w:w="0" w:type="dxa"/>
              <w:bottom w:w="0" w:type="dxa"/>
              <w:right w:w="15" w:type="dxa"/>
            </w:tcMar>
            <w:vAlign w:val="bottom"/>
            <w:hideMark/>
          </w:tcPr>
          <w:p w14:paraId="4DC8A8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FFFFFF"/>
            <w:tcMar>
              <w:top w:w="15" w:type="dxa"/>
              <w:left w:w="0" w:type="dxa"/>
              <w:bottom w:w="0" w:type="dxa"/>
              <w:right w:w="15" w:type="dxa"/>
            </w:tcMar>
            <w:vAlign w:val="bottom"/>
            <w:hideMark/>
          </w:tcPr>
          <w:p w14:paraId="25EA1B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3" w:type="dxa"/>
            <w:shd w:val="clear" w:color="auto" w:fill="FFFFFF"/>
            <w:tcMar>
              <w:top w:w="15" w:type="dxa"/>
              <w:left w:w="0" w:type="dxa"/>
              <w:bottom w:w="0" w:type="dxa"/>
              <w:right w:w="15" w:type="dxa"/>
            </w:tcMar>
            <w:vAlign w:val="bottom"/>
            <w:hideMark/>
          </w:tcPr>
          <w:p w14:paraId="211B95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n/a</w:t>
            </w:r>
          </w:p>
        </w:tc>
      </w:tr>
      <w:tr w:rsidR="00AC4931" w:rsidRPr="00AC4931" w14:paraId="20F09844" w14:textId="77777777" w:rsidTr="00AC4931">
        <w:tc>
          <w:tcPr>
            <w:tcW w:w="10783" w:type="dxa"/>
            <w:shd w:val="clear" w:color="auto" w:fill="CFF0FC"/>
            <w:tcMar>
              <w:top w:w="15" w:type="dxa"/>
              <w:left w:w="0" w:type="dxa"/>
              <w:bottom w:w="0" w:type="dxa"/>
              <w:right w:w="15" w:type="dxa"/>
            </w:tcMar>
            <w:hideMark/>
          </w:tcPr>
          <w:p w14:paraId="3B9DDDB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Property, plant and equipment</w:t>
            </w:r>
          </w:p>
        </w:tc>
        <w:tc>
          <w:tcPr>
            <w:tcW w:w="246" w:type="dxa"/>
            <w:shd w:val="clear" w:color="auto" w:fill="CFF0FC"/>
            <w:tcMar>
              <w:top w:w="15" w:type="dxa"/>
              <w:left w:w="0" w:type="dxa"/>
              <w:bottom w:w="0" w:type="dxa"/>
              <w:right w:w="15" w:type="dxa"/>
            </w:tcMar>
            <w:vAlign w:val="bottom"/>
            <w:hideMark/>
          </w:tcPr>
          <w:p w14:paraId="324FEF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FA4E86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3474B9D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5,604.8</w:t>
            </w:r>
          </w:p>
        </w:tc>
        <w:tc>
          <w:tcPr>
            <w:tcW w:w="150" w:type="dxa"/>
            <w:shd w:val="clear" w:color="auto" w:fill="CFF0FC"/>
            <w:noWrap/>
            <w:tcMar>
              <w:top w:w="15" w:type="dxa"/>
              <w:left w:w="0" w:type="dxa"/>
              <w:bottom w:w="0" w:type="dxa"/>
              <w:right w:w="15" w:type="dxa"/>
            </w:tcMar>
            <w:vAlign w:val="bottom"/>
            <w:hideMark/>
          </w:tcPr>
          <w:p w14:paraId="7D0B5C8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37EA84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AE76FD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5BBB4D7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5,142.0</w:t>
            </w:r>
          </w:p>
        </w:tc>
        <w:tc>
          <w:tcPr>
            <w:tcW w:w="150" w:type="dxa"/>
            <w:shd w:val="clear" w:color="auto" w:fill="CFF0FC"/>
            <w:noWrap/>
            <w:tcMar>
              <w:top w:w="15" w:type="dxa"/>
              <w:left w:w="0" w:type="dxa"/>
              <w:bottom w:w="0" w:type="dxa"/>
              <w:right w:w="15" w:type="dxa"/>
            </w:tcMar>
            <w:vAlign w:val="bottom"/>
            <w:hideMark/>
          </w:tcPr>
          <w:p w14:paraId="3B96F84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29BFFB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3" w:type="dxa"/>
            <w:shd w:val="clear" w:color="auto" w:fill="CFF0FC"/>
            <w:tcMar>
              <w:top w:w="15" w:type="dxa"/>
              <w:left w:w="0" w:type="dxa"/>
              <w:bottom w:w="0" w:type="dxa"/>
              <w:right w:w="15" w:type="dxa"/>
            </w:tcMar>
            <w:vAlign w:val="bottom"/>
            <w:hideMark/>
          </w:tcPr>
          <w:p w14:paraId="4524698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4643977" w14:textId="77777777" w:rsidTr="00AC4931">
        <w:tc>
          <w:tcPr>
            <w:tcW w:w="10783" w:type="dxa"/>
            <w:shd w:val="clear" w:color="auto" w:fill="FFFFFF"/>
            <w:tcMar>
              <w:top w:w="15" w:type="dxa"/>
              <w:left w:w="0" w:type="dxa"/>
              <w:bottom w:w="0" w:type="dxa"/>
              <w:right w:w="15" w:type="dxa"/>
            </w:tcMar>
            <w:hideMark/>
          </w:tcPr>
          <w:p w14:paraId="490E1BB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Less accumulated depreciation</w:t>
            </w:r>
          </w:p>
        </w:tc>
        <w:tc>
          <w:tcPr>
            <w:tcW w:w="246" w:type="dxa"/>
            <w:shd w:val="clear" w:color="auto" w:fill="FFFFFF"/>
            <w:tcMar>
              <w:top w:w="15" w:type="dxa"/>
              <w:left w:w="0" w:type="dxa"/>
              <w:bottom w:w="0" w:type="dxa"/>
              <w:right w:w="15" w:type="dxa"/>
            </w:tcMar>
            <w:vAlign w:val="bottom"/>
            <w:hideMark/>
          </w:tcPr>
          <w:p w14:paraId="3D4AA3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736227A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1797D74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(3,735.7</w:t>
            </w:r>
          </w:p>
        </w:tc>
        <w:tc>
          <w:tcPr>
            <w:tcW w:w="150" w:type="dxa"/>
            <w:shd w:val="clear" w:color="auto" w:fill="FFFFFF"/>
            <w:noWrap/>
            <w:tcMar>
              <w:top w:w="15" w:type="dxa"/>
              <w:left w:w="0" w:type="dxa"/>
              <w:bottom w:w="0" w:type="dxa"/>
              <w:right w:w="15" w:type="dxa"/>
            </w:tcMar>
            <w:vAlign w:val="bottom"/>
            <w:hideMark/>
          </w:tcPr>
          <w:p w14:paraId="372AC63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6" w:type="dxa"/>
            <w:shd w:val="clear" w:color="auto" w:fill="FFFFFF"/>
            <w:tcMar>
              <w:top w:w="15" w:type="dxa"/>
              <w:left w:w="0" w:type="dxa"/>
              <w:bottom w:w="0" w:type="dxa"/>
              <w:right w:w="15" w:type="dxa"/>
            </w:tcMar>
            <w:vAlign w:val="bottom"/>
            <w:hideMark/>
          </w:tcPr>
          <w:p w14:paraId="7F0201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0B0F7B9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bottom"/>
            <w:hideMark/>
          </w:tcPr>
          <w:p w14:paraId="6C05421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(3,326.3</w:t>
            </w:r>
          </w:p>
        </w:tc>
        <w:tc>
          <w:tcPr>
            <w:tcW w:w="150" w:type="dxa"/>
            <w:shd w:val="clear" w:color="auto" w:fill="FFFFFF"/>
            <w:noWrap/>
            <w:tcMar>
              <w:top w:w="15" w:type="dxa"/>
              <w:left w:w="0" w:type="dxa"/>
              <w:bottom w:w="0" w:type="dxa"/>
              <w:right w:w="15" w:type="dxa"/>
            </w:tcMar>
            <w:vAlign w:val="bottom"/>
            <w:hideMark/>
          </w:tcPr>
          <w:p w14:paraId="20C6792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6" w:type="dxa"/>
            <w:shd w:val="clear" w:color="auto" w:fill="FFFFFF"/>
            <w:tcMar>
              <w:top w:w="15" w:type="dxa"/>
              <w:left w:w="0" w:type="dxa"/>
              <w:bottom w:w="0" w:type="dxa"/>
              <w:right w:w="15" w:type="dxa"/>
            </w:tcMar>
            <w:vAlign w:val="bottom"/>
            <w:hideMark/>
          </w:tcPr>
          <w:p w14:paraId="79238B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3" w:type="dxa"/>
            <w:shd w:val="clear" w:color="auto" w:fill="FFFFFF"/>
            <w:tcMar>
              <w:top w:w="15" w:type="dxa"/>
              <w:left w:w="0" w:type="dxa"/>
              <w:bottom w:w="0" w:type="dxa"/>
              <w:right w:w="15" w:type="dxa"/>
            </w:tcMar>
            <w:vAlign w:val="bottom"/>
            <w:hideMark/>
          </w:tcPr>
          <w:p w14:paraId="63BE3E2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D8B5D2B" w14:textId="77777777" w:rsidTr="00AC4931">
        <w:tc>
          <w:tcPr>
            <w:tcW w:w="10783" w:type="dxa"/>
            <w:shd w:val="clear" w:color="auto" w:fill="CFF0FC"/>
            <w:tcMar>
              <w:top w:w="15" w:type="dxa"/>
              <w:left w:w="0" w:type="dxa"/>
              <w:bottom w:w="0" w:type="dxa"/>
              <w:right w:w="15" w:type="dxa"/>
            </w:tcMar>
            <w:hideMark/>
          </w:tcPr>
          <w:p w14:paraId="63FD3A0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of depreciation</w:t>
            </w:r>
          </w:p>
        </w:tc>
        <w:tc>
          <w:tcPr>
            <w:tcW w:w="246" w:type="dxa"/>
            <w:shd w:val="clear" w:color="auto" w:fill="CFF0FC"/>
            <w:tcMar>
              <w:top w:w="15" w:type="dxa"/>
              <w:left w:w="0" w:type="dxa"/>
              <w:bottom w:w="0" w:type="dxa"/>
              <w:right w:w="15" w:type="dxa"/>
            </w:tcMar>
            <w:vAlign w:val="bottom"/>
            <w:hideMark/>
          </w:tcPr>
          <w:p w14:paraId="04A840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5C95C5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58E87E3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1,869.1</w:t>
            </w:r>
          </w:p>
        </w:tc>
        <w:tc>
          <w:tcPr>
            <w:tcW w:w="150" w:type="dxa"/>
            <w:shd w:val="clear" w:color="auto" w:fill="CFF0FC"/>
            <w:noWrap/>
            <w:tcMar>
              <w:top w:w="15" w:type="dxa"/>
              <w:left w:w="0" w:type="dxa"/>
              <w:bottom w:w="0" w:type="dxa"/>
              <w:right w:w="15" w:type="dxa"/>
            </w:tcMar>
            <w:vAlign w:val="bottom"/>
            <w:hideMark/>
          </w:tcPr>
          <w:p w14:paraId="6A3E496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729233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DC1575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2D40FF0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1,815.7</w:t>
            </w:r>
          </w:p>
        </w:tc>
        <w:tc>
          <w:tcPr>
            <w:tcW w:w="150" w:type="dxa"/>
            <w:shd w:val="clear" w:color="auto" w:fill="CFF0FC"/>
            <w:noWrap/>
            <w:tcMar>
              <w:top w:w="15" w:type="dxa"/>
              <w:left w:w="0" w:type="dxa"/>
              <w:bottom w:w="0" w:type="dxa"/>
              <w:right w:w="15" w:type="dxa"/>
            </w:tcMar>
            <w:vAlign w:val="bottom"/>
            <w:hideMark/>
          </w:tcPr>
          <w:p w14:paraId="31844F3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3BE0AA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3" w:type="dxa"/>
            <w:shd w:val="clear" w:color="auto" w:fill="CFF0FC"/>
            <w:tcMar>
              <w:top w:w="15" w:type="dxa"/>
              <w:left w:w="0" w:type="dxa"/>
              <w:bottom w:w="0" w:type="dxa"/>
              <w:right w:w="15" w:type="dxa"/>
            </w:tcMar>
            <w:vAlign w:val="bottom"/>
            <w:hideMark/>
          </w:tcPr>
          <w:p w14:paraId="34FEC9A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bl>
    <w:p w14:paraId="56820F5D"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48"/>
        <w:gridCol w:w="248"/>
        <w:gridCol w:w="159"/>
        <w:gridCol w:w="1315"/>
        <w:gridCol w:w="159"/>
        <w:gridCol w:w="248"/>
        <w:gridCol w:w="159"/>
        <w:gridCol w:w="1315"/>
        <w:gridCol w:w="159"/>
        <w:gridCol w:w="248"/>
        <w:gridCol w:w="159"/>
        <w:gridCol w:w="1315"/>
        <w:gridCol w:w="159"/>
      </w:tblGrid>
      <w:tr w:rsidR="00AC4931" w:rsidRPr="00AC4931" w14:paraId="19B690D5" w14:textId="77777777" w:rsidTr="00AC4931">
        <w:tc>
          <w:tcPr>
            <w:tcW w:w="10783" w:type="dxa"/>
            <w:shd w:val="clear" w:color="auto" w:fill="FFFFFF"/>
            <w:tcMar>
              <w:top w:w="15" w:type="dxa"/>
              <w:left w:w="0" w:type="dxa"/>
              <w:bottom w:w="0" w:type="dxa"/>
              <w:right w:w="15" w:type="dxa"/>
            </w:tcMar>
            <w:vAlign w:val="bottom"/>
            <w:hideMark/>
          </w:tcPr>
          <w:p w14:paraId="56944D5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lastRenderedPageBreak/>
              <w:t>DEPRECIATION INCLUDED IN</w:t>
            </w:r>
          </w:p>
        </w:tc>
        <w:tc>
          <w:tcPr>
            <w:tcW w:w="246" w:type="dxa"/>
            <w:shd w:val="clear" w:color="auto" w:fill="FFFFFF"/>
            <w:tcMar>
              <w:top w:w="15" w:type="dxa"/>
              <w:left w:w="0" w:type="dxa"/>
              <w:bottom w:w="0" w:type="dxa"/>
              <w:right w:w="15" w:type="dxa"/>
            </w:tcMar>
            <w:vAlign w:val="bottom"/>
            <w:hideMark/>
          </w:tcPr>
          <w:p w14:paraId="12679AF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7" w:type="dxa"/>
            <w:gridSpan w:val="2"/>
            <w:tcBorders>
              <w:bottom w:val="single" w:sz="6" w:space="0" w:color="000000"/>
            </w:tcBorders>
            <w:shd w:val="clear" w:color="auto" w:fill="FFFFFF"/>
            <w:tcMar>
              <w:top w:w="15" w:type="dxa"/>
              <w:left w:w="0" w:type="dxa"/>
              <w:bottom w:w="0" w:type="dxa"/>
              <w:right w:w="15" w:type="dxa"/>
            </w:tcMar>
            <w:vAlign w:val="bottom"/>
            <w:hideMark/>
          </w:tcPr>
          <w:p w14:paraId="2BB0841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2DC947F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6" w:type="dxa"/>
            <w:shd w:val="clear" w:color="auto" w:fill="FFFFFF"/>
            <w:tcMar>
              <w:top w:w="15" w:type="dxa"/>
              <w:left w:w="0" w:type="dxa"/>
              <w:bottom w:w="0" w:type="dxa"/>
              <w:right w:w="15" w:type="dxa"/>
            </w:tcMar>
            <w:vAlign w:val="bottom"/>
            <w:hideMark/>
          </w:tcPr>
          <w:p w14:paraId="1DD9C89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7" w:type="dxa"/>
            <w:gridSpan w:val="2"/>
            <w:tcBorders>
              <w:bottom w:val="single" w:sz="6" w:space="0" w:color="000000"/>
            </w:tcBorders>
            <w:shd w:val="clear" w:color="auto" w:fill="FFFFFF"/>
            <w:tcMar>
              <w:top w:w="15" w:type="dxa"/>
              <w:left w:w="0" w:type="dxa"/>
              <w:bottom w:w="0" w:type="dxa"/>
              <w:right w:w="15" w:type="dxa"/>
            </w:tcMar>
            <w:vAlign w:val="bottom"/>
            <w:hideMark/>
          </w:tcPr>
          <w:p w14:paraId="46F1DD4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47C2565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6" w:type="dxa"/>
            <w:shd w:val="clear" w:color="auto" w:fill="FFFFFF"/>
            <w:tcMar>
              <w:top w:w="15" w:type="dxa"/>
              <w:left w:w="0" w:type="dxa"/>
              <w:bottom w:w="0" w:type="dxa"/>
              <w:right w:w="15" w:type="dxa"/>
            </w:tcMar>
            <w:vAlign w:val="bottom"/>
            <w:hideMark/>
          </w:tcPr>
          <w:p w14:paraId="0576286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7" w:type="dxa"/>
            <w:gridSpan w:val="2"/>
            <w:tcBorders>
              <w:bottom w:val="single" w:sz="6" w:space="0" w:color="000000"/>
            </w:tcBorders>
            <w:shd w:val="clear" w:color="auto" w:fill="FFFFFF"/>
            <w:tcMar>
              <w:top w:w="15" w:type="dxa"/>
              <w:left w:w="0" w:type="dxa"/>
              <w:bottom w:w="0" w:type="dxa"/>
              <w:right w:w="15" w:type="dxa"/>
            </w:tcMar>
            <w:vAlign w:val="bottom"/>
            <w:hideMark/>
          </w:tcPr>
          <w:p w14:paraId="20F811F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0" w:type="dxa"/>
            <w:shd w:val="clear" w:color="auto" w:fill="FFFFFF"/>
            <w:noWrap/>
            <w:tcMar>
              <w:top w:w="15" w:type="dxa"/>
              <w:left w:w="0" w:type="dxa"/>
              <w:bottom w:w="0" w:type="dxa"/>
              <w:right w:w="15" w:type="dxa"/>
            </w:tcMar>
            <w:vAlign w:val="bottom"/>
            <w:hideMark/>
          </w:tcPr>
          <w:p w14:paraId="67D60CD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32E48151" w14:textId="77777777" w:rsidTr="00AC4931">
        <w:tc>
          <w:tcPr>
            <w:tcW w:w="10783" w:type="dxa"/>
            <w:shd w:val="clear" w:color="auto" w:fill="CFF0FC"/>
            <w:tcMar>
              <w:top w:w="15" w:type="dxa"/>
              <w:left w:w="0" w:type="dxa"/>
              <w:bottom w:w="0" w:type="dxa"/>
              <w:right w:w="15" w:type="dxa"/>
            </w:tcMar>
            <w:hideMark/>
          </w:tcPr>
          <w:p w14:paraId="0BDF0C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Cost of sales</w:t>
            </w:r>
          </w:p>
        </w:tc>
        <w:tc>
          <w:tcPr>
            <w:tcW w:w="246" w:type="dxa"/>
            <w:shd w:val="clear" w:color="auto" w:fill="CFF0FC"/>
            <w:tcMar>
              <w:top w:w="15" w:type="dxa"/>
              <w:left w:w="0" w:type="dxa"/>
              <w:bottom w:w="0" w:type="dxa"/>
              <w:right w:w="15" w:type="dxa"/>
            </w:tcMar>
            <w:vAlign w:val="bottom"/>
            <w:hideMark/>
          </w:tcPr>
          <w:p w14:paraId="06E4E6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66CEA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6B7ECD5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327.1</w:t>
            </w:r>
          </w:p>
        </w:tc>
        <w:tc>
          <w:tcPr>
            <w:tcW w:w="150" w:type="dxa"/>
            <w:shd w:val="clear" w:color="auto" w:fill="CFF0FC"/>
            <w:noWrap/>
            <w:tcMar>
              <w:top w:w="15" w:type="dxa"/>
              <w:left w:w="0" w:type="dxa"/>
              <w:bottom w:w="0" w:type="dxa"/>
              <w:right w:w="15" w:type="dxa"/>
            </w:tcMar>
            <w:vAlign w:val="bottom"/>
            <w:hideMark/>
          </w:tcPr>
          <w:p w14:paraId="7A9935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62985D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A3A68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7DB96DF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307.0</w:t>
            </w:r>
          </w:p>
        </w:tc>
        <w:tc>
          <w:tcPr>
            <w:tcW w:w="150" w:type="dxa"/>
            <w:shd w:val="clear" w:color="auto" w:fill="CFF0FC"/>
            <w:noWrap/>
            <w:tcMar>
              <w:top w:w="15" w:type="dxa"/>
              <w:left w:w="0" w:type="dxa"/>
              <w:bottom w:w="0" w:type="dxa"/>
              <w:right w:w="15" w:type="dxa"/>
            </w:tcMar>
            <w:vAlign w:val="bottom"/>
            <w:hideMark/>
          </w:tcPr>
          <w:p w14:paraId="4DBD5E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74F23F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C7F68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0ECDDB5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300.9</w:t>
            </w:r>
          </w:p>
        </w:tc>
        <w:tc>
          <w:tcPr>
            <w:tcW w:w="150" w:type="dxa"/>
            <w:shd w:val="clear" w:color="auto" w:fill="CFF0FC"/>
            <w:noWrap/>
            <w:tcMar>
              <w:top w:w="15" w:type="dxa"/>
              <w:left w:w="0" w:type="dxa"/>
              <w:bottom w:w="0" w:type="dxa"/>
              <w:right w:w="15" w:type="dxa"/>
            </w:tcMar>
            <w:vAlign w:val="bottom"/>
            <w:hideMark/>
          </w:tcPr>
          <w:p w14:paraId="0A63D4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0F2C5F0" w14:textId="77777777" w:rsidTr="00AC4931">
        <w:tc>
          <w:tcPr>
            <w:tcW w:w="10783" w:type="dxa"/>
            <w:shd w:val="clear" w:color="auto" w:fill="FFFFFF"/>
            <w:tcMar>
              <w:top w:w="15" w:type="dxa"/>
              <w:left w:w="0" w:type="dxa"/>
              <w:bottom w:w="0" w:type="dxa"/>
              <w:right w:w="15" w:type="dxa"/>
            </w:tcMar>
            <w:hideMark/>
          </w:tcPr>
          <w:p w14:paraId="0341DE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Selling, general and administrative expenses</w:t>
            </w:r>
          </w:p>
        </w:tc>
        <w:tc>
          <w:tcPr>
            <w:tcW w:w="246" w:type="dxa"/>
            <w:shd w:val="clear" w:color="auto" w:fill="FFFFFF"/>
            <w:tcMar>
              <w:top w:w="15" w:type="dxa"/>
              <w:left w:w="0" w:type="dxa"/>
              <w:bottom w:w="0" w:type="dxa"/>
              <w:right w:w="15" w:type="dxa"/>
            </w:tcMar>
            <w:vAlign w:val="bottom"/>
            <w:hideMark/>
          </w:tcPr>
          <w:p w14:paraId="11030D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D16B4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2B05917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12.9</w:t>
            </w:r>
          </w:p>
        </w:tc>
        <w:tc>
          <w:tcPr>
            <w:tcW w:w="150" w:type="dxa"/>
            <w:shd w:val="clear" w:color="auto" w:fill="FFFFFF"/>
            <w:noWrap/>
            <w:tcMar>
              <w:top w:w="15" w:type="dxa"/>
              <w:left w:w="0" w:type="dxa"/>
              <w:bottom w:w="0" w:type="dxa"/>
              <w:right w:w="15" w:type="dxa"/>
            </w:tcMar>
            <w:vAlign w:val="bottom"/>
            <w:hideMark/>
          </w:tcPr>
          <w:p w14:paraId="0FAB48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FFFFFF"/>
            <w:tcMar>
              <w:top w:w="15" w:type="dxa"/>
              <w:left w:w="0" w:type="dxa"/>
              <w:bottom w:w="0" w:type="dxa"/>
              <w:right w:w="15" w:type="dxa"/>
            </w:tcMar>
            <w:vAlign w:val="bottom"/>
            <w:hideMark/>
          </w:tcPr>
          <w:p w14:paraId="390AD8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00F8F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2011D7E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13.4</w:t>
            </w:r>
          </w:p>
        </w:tc>
        <w:tc>
          <w:tcPr>
            <w:tcW w:w="150" w:type="dxa"/>
            <w:shd w:val="clear" w:color="auto" w:fill="FFFFFF"/>
            <w:noWrap/>
            <w:tcMar>
              <w:top w:w="15" w:type="dxa"/>
              <w:left w:w="0" w:type="dxa"/>
              <w:bottom w:w="0" w:type="dxa"/>
              <w:right w:w="15" w:type="dxa"/>
            </w:tcMar>
            <w:vAlign w:val="bottom"/>
            <w:hideMark/>
          </w:tcPr>
          <w:p w14:paraId="6793CF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FFFFFF"/>
            <w:tcMar>
              <w:top w:w="15" w:type="dxa"/>
              <w:left w:w="0" w:type="dxa"/>
              <w:bottom w:w="0" w:type="dxa"/>
              <w:right w:w="15" w:type="dxa"/>
            </w:tcMar>
            <w:vAlign w:val="bottom"/>
            <w:hideMark/>
          </w:tcPr>
          <w:p w14:paraId="2C9D3E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76F8D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7D931A3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13.9</w:t>
            </w:r>
          </w:p>
        </w:tc>
        <w:tc>
          <w:tcPr>
            <w:tcW w:w="150" w:type="dxa"/>
            <w:shd w:val="clear" w:color="auto" w:fill="FFFFFF"/>
            <w:noWrap/>
            <w:tcMar>
              <w:top w:w="15" w:type="dxa"/>
              <w:left w:w="0" w:type="dxa"/>
              <w:bottom w:w="0" w:type="dxa"/>
              <w:right w:w="15" w:type="dxa"/>
            </w:tcMar>
            <w:vAlign w:val="bottom"/>
            <w:hideMark/>
          </w:tcPr>
          <w:p w14:paraId="0F60D5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F8FBCCD" w14:textId="77777777" w:rsidTr="00AC4931">
        <w:tc>
          <w:tcPr>
            <w:tcW w:w="10783" w:type="dxa"/>
            <w:shd w:val="clear" w:color="auto" w:fill="CFF0FC"/>
            <w:tcMar>
              <w:top w:w="15" w:type="dxa"/>
              <w:left w:w="0" w:type="dxa"/>
              <w:bottom w:w="0" w:type="dxa"/>
              <w:right w:w="15" w:type="dxa"/>
            </w:tcMar>
            <w:hideMark/>
          </w:tcPr>
          <w:p w14:paraId="4CA04B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Research, development and engineering expenses, net</w:t>
            </w:r>
          </w:p>
        </w:tc>
        <w:tc>
          <w:tcPr>
            <w:tcW w:w="246" w:type="dxa"/>
            <w:shd w:val="clear" w:color="auto" w:fill="CFF0FC"/>
            <w:tcMar>
              <w:top w:w="15" w:type="dxa"/>
              <w:left w:w="0" w:type="dxa"/>
              <w:bottom w:w="0" w:type="dxa"/>
              <w:right w:w="15" w:type="dxa"/>
            </w:tcMar>
            <w:vAlign w:val="bottom"/>
            <w:hideMark/>
          </w:tcPr>
          <w:p w14:paraId="3C7C3F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058F2E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60EF50B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20.8</w:t>
            </w:r>
          </w:p>
        </w:tc>
        <w:tc>
          <w:tcPr>
            <w:tcW w:w="150" w:type="dxa"/>
            <w:shd w:val="clear" w:color="auto" w:fill="CFF0FC"/>
            <w:noWrap/>
            <w:tcMar>
              <w:top w:w="15" w:type="dxa"/>
              <w:left w:w="0" w:type="dxa"/>
              <w:bottom w:w="0" w:type="dxa"/>
              <w:right w:w="15" w:type="dxa"/>
            </w:tcMar>
            <w:vAlign w:val="bottom"/>
            <w:hideMark/>
          </w:tcPr>
          <w:p w14:paraId="57F7ED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5D592E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415F5C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026A0F2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18.7</w:t>
            </w:r>
          </w:p>
        </w:tc>
        <w:tc>
          <w:tcPr>
            <w:tcW w:w="150" w:type="dxa"/>
            <w:shd w:val="clear" w:color="auto" w:fill="CFF0FC"/>
            <w:noWrap/>
            <w:tcMar>
              <w:top w:w="15" w:type="dxa"/>
              <w:left w:w="0" w:type="dxa"/>
              <w:bottom w:w="0" w:type="dxa"/>
              <w:right w:w="15" w:type="dxa"/>
            </w:tcMar>
            <w:vAlign w:val="bottom"/>
            <w:hideMark/>
          </w:tcPr>
          <w:p w14:paraId="39D321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73BFEE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254094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399BAF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15.9</w:t>
            </w:r>
          </w:p>
        </w:tc>
        <w:tc>
          <w:tcPr>
            <w:tcW w:w="150" w:type="dxa"/>
            <w:shd w:val="clear" w:color="auto" w:fill="CFF0FC"/>
            <w:noWrap/>
            <w:tcMar>
              <w:top w:w="15" w:type="dxa"/>
              <w:left w:w="0" w:type="dxa"/>
              <w:bottom w:w="0" w:type="dxa"/>
              <w:right w:w="15" w:type="dxa"/>
            </w:tcMar>
            <w:vAlign w:val="bottom"/>
            <w:hideMark/>
          </w:tcPr>
          <w:p w14:paraId="249E7F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21A3C8E" w14:textId="77777777" w:rsidTr="00AC4931">
        <w:tc>
          <w:tcPr>
            <w:tcW w:w="10783" w:type="dxa"/>
            <w:shd w:val="clear" w:color="auto" w:fill="FFFFFF"/>
            <w:tcMar>
              <w:top w:w="15" w:type="dxa"/>
              <w:left w:w="0" w:type="dxa"/>
              <w:bottom w:w="0" w:type="dxa"/>
              <w:right w:w="15" w:type="dxa"/>
            </w:tcMar>
            <w:hideMark/>
          </w:tcPr>
          <w:p w14:paraId="784B055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46" w:type="dxa"/>
            <w:shd w:val="clear" w:color="auto" w:fill="FFFFFF"/>
            <w:tcMar>
              <w:top w:w="15" w:type="dxa"/>
              <w:left w:w="0" w:type="dxa"/>
              <w:bottom w:w="0" w:type="dxa"/>
              <w:right w:w="15" w:type="dxa"/>
            </w:tcMar>
            <w:vAlign w:val="bottom"/>
            <w:hideMark/>
          </w:tcPr>
          <w:p w14:paraId="711911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9BBAAC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F942CB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360.8</w:t>
            </w:r>
          </w:p>
        </w:tc>
        <w:tc>
          <w:tcPr>
            <w:tcW w:w="150" w:type="dxa"/>
            <w:shd w:val="clear" w:color="auto" w:fill="FFFFFF"/>
            <w:noWrap/>
            <w:tcMar>
              <w:top w:w="15" w:type="dxa"/>
              <w:left w:w="0" w:type="dxa"/>
              <w:bottom w:w="0" w:type="dxa"/>
              <w:right w:w="15" w:type="dxa"/>
            </w:tcMar>
            <w:vAlign w:val="bottom"/>
            <w:hideMark/>
          </w:tcPr>
          <w:p w14:paraId="5285970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6" w:type="dxa"/>
            <w:shd w:val="clear" w:color="auto" w:fill="FFFFFF"/>
            <w:tcMar>
              <w:top w:w="15" w:type="dxa"/>
              <w:left w:w="0" w:type="dxa"/>
              <w:bottom w:w="0" w:type="dxa"/>
              <w:right w:w="15" w:type="dxa"/>
            </w:tcMar>
            <w:vAlign w:val="bottom"/>
            <w:hideMark/>
          </w:tcPr>
          <w:p w14:paraId="69FF69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7BF61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C9D212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339.1</w:t>
            </w:r>
          </w:p>
        </w:tc>
        <w:tc>
          <w:tcPr>
            <w:tcW w:w="150" w:type="dxa"/>
            <w:shd w:val="clear" w:color="auto" w:fill="FFFFFF"/>
            <w:noWrap/>
            <w:tcMar>
              <w:top w:w="15" w:type="dxa"/>
              <w:left w:w="0" w:type="dxa"/>
              <w:bottom w:w="0" w:type="dxa"/>
              <w:right w:w="15" w:type="dxa"/>
            </w:tcMar>
            <w:vAlign w:val="bottom"/>
            <w:hideMark/>
          </w:tcPr>
          <w:p w14:paraId="130EC47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6" w:type="dxa"/>
            <w:shd w:val="clear" w:color="auto" w:fill="FFFFFF"/>
            <w:tcMar>
              <w:top w:w="15" w:type="dxa"/>
              <w:left w:w="0" w:type="dxa"/>
              <w:bottom w:w="0" w:type="dxa"/>
              <w:right w:w="15" w:type="dxa"/>
            </w:tcMar>
            <w:vAlign w:val="bottom"/>
            <w:hideMark/>
          </w:tcPr>
          <w:p w14:paraId="3893F2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ECB209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1AD557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330.7</w:t>
            </w:r>
          </w:p>
        </w:tc>
        <w:tc>
          <w:tcPr>
            <w:tcW w:w="150" w:type="dxa"/>
            <w:shd w:val="clear" w:color="auto" w:fill="FFFFFF"/>
            <w:noWrap/>
            <w:tcMar>
              <w:top w:w="15" w:type="dxa"/>
              <w:left w:w="0" w:type="dxa"/>
              <w:bottom w:w="0" w:type="dxa"/>
              <w:right w:w="15" w:type="dxa"/>
            </w:tcMar>
            <w:vAlign w:val="bottom"/>
            <w:hideMark/>
          </w:tcPr>
          <w:p w14:paraId="21B544B9"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0391FB24"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125C489B"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No significant fixed asset impairments related to the Company’s continuing operations were recognized during 2020, 2019 or 2018.</w:t>
      </w:r>
    </w:p>
    <w:p w14:paraId="795A2272"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72</w:t>
      </w:r>
    </w:p>
    <w:p w14:paraId="11E85BD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A17F44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40382AB"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5B88E0C"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16721CA3">
          <v:rect id="_x0000_i1099" style="width:0;height:1.5pt" o:hralign="center" o:hrstd="t" o:hrnoshade="t" o:hr="t" fillcolor="black" stroked="f"/>
        </w:pict>
      </w:r>
    </w:p>
    <w:p w14:paraId="042E377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C132A58"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64C68C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C5D83F9" w14:textId="77777777" w:rsidR="00AC4931" w:rsidRPr="00AC4931" w:rsidRDefault="00AC4931" w:rsidP="00AC4931">
      <w:pPr>
        <w:widowControl/>
        <w:spacing w:before="240"/>
        <w:rPr>
          <w:rFonts w:ascii="Arial" w:eastAsia="宋体" w:hAnsi="Arial" w:cs="Arial" w:hint="eastAsia"/>
          <w:kern w:val="0"/>
          <w:sz w:val="18"/>
          <w:szCs w:val="18"/>
        </w:rPr>
      </w:pPr>
      <w:r w:rsidRPr="00AC4931">
        <w:rPr>
          <w:rFonts w:ascii="Arial" w:eastAsia="宋体" w:hAnsi="Arial" w:cs="Arial"/>
          <w:kern w:val="0"/>
          <w:sz w:val="18"/>
          <w:szCs w:val="18"/>
        </w:rPr>
        <w:t>The net book value of machinery and equipment and buildings and land under finance lease contracts recorded at December 31, 2020 and December 31, 2019 were immaterial. The amortization expense related to finance leases is included with depreciation expenses disclosed in the table above.</w:t>
      </w:r>
    </w:p>
    <w:p w14:paraId="6A9CB8D4" w14:textId="77777777" w:rsidR="00AC4931" w:rsidRPr="00AC4931" w:rsidRDefault="00AC4931" w:rsidP="00AC4931">
      <w:pPr>
        <w:widowControl/>
        <w:spacing w:before="340"/>
        <w:rPr>
          <w:rFonts w:ascii="Arial" w:eastAsia="宋体" w:hAnsi="Arial" w:cs="Arial"/>
          <w:b/>
          <w:bCs/>
          <w:kern w:val="0"/>
          <w:sz w:val="22"/>
        </w:rPr>
      </w:pPr>
      <w:r w:rsidRPr="00AC4931">
        <w:rPr>
          <w:rFonts w:ascii="Arial" w:eastAsia="宋体" w:hAnsi="Arial" w:cs="Arial"/>
          <w:b/>
          <w:bCs/>
          <w:kern w:val="0"/>
          <w:sz w:val="22"/>
        </w:rPr>
        <w:t>11. Goodwill and Intangible Assets</w:t>
      </w:r>
    </w:p>
    <w:p w14:paraId="196B80E6"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4430" w:type="dxa"/>
        <w:tblCellMar>
          <w:left w:w="0" w:type="dxa"/>
          <w:right w:w="0" w:type="dxa"/>
        </w:tblCellMar>
        <w:tblLook w:val="04A0" w:firstRow="1" w:lastRow="0" w:firstColumn="1" w:lastColumn="0" w:noHBand="0" w:noVBand="1"/>
      </w:tblPr>
      <w:tblGrid>
        <w:gridCol w:w="10713"/>
        <w:gridCol w:w="246"/>
        <w:gridCol w:w="138"/>
        <w:gridCol w:w="1336"/>
        <w:gridCol w:w="138"/>
        <w:gridCol w:w="246"/>
        <w:gridCol w:w="138"/>
        <w:gridCol w:w="1336"/>
        <w:gridCol w:w="139"/>
      </w:tblGrid>
      <w:tr w:rsidR="00AC4931" w:rsidRPr="00AC4931" w14:paraId="2EAC9511" w14:textId="77777777" w:rsidTr="00AC4931">
        <w:tc>
          <w:tcPr>
            <w:tcW w:w="10661" w:type="dxa"/>
            <w:shd w:val="clear" w:color="auto" w:fill="FFFFFF"/>
            <w:tcMar>
              <w:top w:w="15" w:type="dxa"/>
              <w:left w:w="0" w:type="dxa"/>
              <w:bottom w:w="0" w:type="dxa"/>
              <w:right w:w="15" w:type="dxa"/>
            </w:tcMar>
            <w:vAlign w:val="bottom"/>
            <w:hideMark/>
          </w:tcPr>
          <w:p w14:paraId="4C3CAFE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GOODWILL</w:t>
            </w:r>
          </w:p>
        </w:tc>
        <w:tc>
          <w:tcPr>
            <w:tcW w:w="245" w:type="dxa"/>
            <w:shd w:val="clear" w:color="auto" w:fill="FFFFFF"/>
            <w:tcMar>
              <w:top w:w="15" w:type="dxa"/>
              <w:left w:w="0" w:type="dxa"/>
              <w:bottom w:w="0" w:type="dxa"/>
              <w:right w:w="15" w:type="dxa"/>
            </w:tcMar>
            <w:vAlign w:val="bottom"/>
            <w:hideMark/>
          </w:tcPr>
          <w:p w14:paraId="4F34FB2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8" w:type="dxa"/>
            <w:gridSpan w:val="2"/>
            <w:tcBorders>
              <w:bottom w:val="single" w:sz="6" w:space="0" w:color="000000"/>
            </w:tcBorders>
            <w:shd w:val="clear" w:color="auto" w:fill="FFFFFF"/>
            <w:tcMar>
              <w:top w:w="15" w:type="dxa"/>
              <w:left w:w="0" w:type="dxa"/>
              <w:bottom w:w="0" w:type="dxa"/>
              <w:right w:w="15" w:type="dxa"/>
            </w:tcMar>
            <w:vAlign w:val="bottom"/>
            <w:hideMark/>
          </w:tcPr>
          <w:p w14:paraId="3E94A10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29" w:type="dxa"/>
            <w:shd w:val="clear" w:color="auto" w:fill="FFFFFF"/>
            <w:noWrap/>
            <w:tcMar>
              <w:top w:w="15" w:type="dxa"/>
              <w:left w:w="0" w:type="dxa"/>
              <w:bottom w:w="0" w:type="dxa"/>
              <w:right w:w="15" w:type="dxa"/>
            </w:tcMar>
            <w:vAlign w:val="bottom"/>
            <w:hideMark/>
          </w:tcPr>
          <w:p w14:paraId="66F32FE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1A82D73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8" w:type="dxa"/>
            <w:gridSpan w:val="2"/>
            <w:tcBorders>
              <w:bottom w:val="single" w:sz="6" w:space="0" w:color="000000"/>
            </w:tcBorders>
            <w:shd w:val="clear" w:color="auto" w:fill="FFFFFF"/>
            <w:tcMar>
              <w:top w:w="15" w:type="dxa"/>
              <w:left w:w="0" w:type="dxa"/>
              <w:bottom w:w="0" w:type="dxa"/>
              <w:right w:w="15" w:type="dxa"/>
            </w:tcMar>
            <w:vAlign w:val="bottom"/>
            <w:hideMark/>
          </w:tcPr>
          <w:p w14:paraId="2887285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30" w:type="dxa"/>
            <w:shd w:val="clear" w:color="auto" w:fill="FFFFFF"/>
            <w:noWrap/>
            <w:tcMar>
              <w:top w:w="15" w:type="dxa"/>
              <w:left w:w="0" w:type="dxa"/>
              <w:bottom w:w="0" w:type="dxa"/>
              <w:right w:w="15" w:type="dxa"/>
            </w:tcMar>
            <w:vAlign w:val="bottom"/>
            <w:hideMark/>
          </w:tcPr>
          <w:p w14:paraId="6423061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3AA6DC7" w14:textId="77777777" w:rsidTr="00AC4931">
        <w:tc>
          <w:tcPr>
            <w:tcW w:w="10661" w:type="dxa"/>
            <w:shd w:val="clear" w:color="auto" w:fill="CFF0FC"/>
            <w:tcMar>
              <w:top w:w="15" w:type="dxa"/>
              <w:left w:w="0" w:type="dxa"/>
              <w:bottom w:w="0" w:type="dxa"/>
              <w:right w:w="15" w:type="dxa"/>
            </w:tcMar>
            <w:hideMark/>
          </w:tcPr>
          <w:p w14:paraId="2DDF6D5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Carrying amount at beginning of year</w:t>
            </w:r>
          </w:p>
        </w:tc>
        <w:tc>
          <w:tcPr>
            <w:tcW w:w="245" w:type="dxa"/>
            <w:shd w:val="clear" w:color="auto" w:fill="CFF0FC"/>
            <w:tcMar>
              <w:top w:w="15" w:type="dxa"/>
              <w:left w:w="0" w:type="dxa"/>
              <w:bottom w:w="0" w:type="dxa"/>
              <w:right w:w="15" w:type="dxa"/>
            </w:tcMar>
            <w:vAlign w:val="bottom"/>
            <w:hideMark/>
          </w:tcPr>
          <w:p w14:paraId="6F71827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70A7A28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313" w:type="dxa"/>
            <w:tcBorders>
              <w:top w:val="single" w:sz="6" w:space="0" w:color="000000"/>
            </w:tcBorders>
            <w:shd w:val="clear" w:color="auto" w:fill="CFF0FC"/>
            <w:noWrap/>
            <w:tcMar>
              <w:top w:w="15" w:type="dxa"/>
              <w:left w:w="0" w:type="dxa"/>
              <w:bottom w:w="0" w:type="dxa"/>
              <w:right w:w="15" w:type="dxa"/>
            </w:tcMar>
            <w:vAlign w:val="bottom"/>
            <w:hideMark/>
          </w:tcPr>
          <w:p w14:paraId="6A12894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1,387.9</w:t>
            </w:r>
          </w:p>
        </w:tc>
        <w:tc>
          <w:tcPr>
            <w:tcW w:w="129" w:type="dxa"/>
            <w:shd w:val="clear" w:color="auto" w:fill="CFF0FC"/>
            <w:noWrap/>
            <w:tcMar>
              <w:top w:w="15" w:type="dxa"/>
              <w:left w:w="0" w:type="dxa"/>
              <w:bottom w:w="0" w:type="dxa"/>
              <w:right w:w="15" w:type="dxa"/>
            </w:tcMar>
            <w:vAlign w:val="bottom"/>
            <w:hideMark/>
          </w:tcPr>
          <w:p w14:paraId="6429553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20B6F274"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25800CF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313" w:type="dxa"/>
            <w:tcBorders>
              <w:top w:val="single" w:sz="6" w:space="0" w:color="000000"/>
            </w:tcBorders>
            <w:shd w:val="clear" w:color="auto" w:fill="CFF0FC"/>
            <w:noWrap/>
            <w:tcMar>
              <w:top w:w="15" w:type="dxa"/>
              <w:left w:w="0" w:type="dxa"/>
              <w:bottom w:w="0" w:type="dxa"/>
              <w:right w:w="15" w:type="dxa"/>
            </w:tcMar>
            <w:vAlign w:val="bottom"/>
            <w:hideMark/>
          </w:tcPr>
          <w:p w14:paraId="3C7DCB0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1,389.9</w:t>
            </w:r>
          </w:p>
        </w:tc>
        <w:tc>
          <w:tcPr>
            <w:tcW w:w="130" w:type="dxa"/>
            <w:shd w:val="clear" w:color="auto" w:fill="CFF0FC"/>
            <w:noWrap/>
            <w:tcMar>
              <w:top w:w="15" w:type="dxa"/>
              <w:left w:w="0" w:type="dxa"/>
              <w:bottom w:w="0" w:type="dxa"/>
              <w:right w:w="15" w:type="dxa"/>
            </w:tcMar>
            <w:vAlign w:val="bottom"/>
            <w:hideMark/>
          </w:tcPr>
          <w:p w14:paraId="40E3867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DB2A863" w14:textId="77777777" w:rsidTr="00AC4931">
        <w:tc>
          <w:tcPr>
            <w:tcW w:w="10661" w:type="dxa"/>
            <w:shd w:val="clear" w:color="auto" w:fill="FFFFFF"/>
            <w:tcMar>
              <w:top w:w="15" w:type="dxa"/>
              <w:left w:w="0" w:type="dxa"/>
              <w:bottom w:w="0" w:type="dxa"/>
              <w:right w:w="15" w:type="dxa"/>
            </w:tcMar>
            <w:hideMark/>
          </w:tcPr>
          <w:p w14:paraId="6C4250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Translation differences</w:t>
            </w:r>
          </w:p>
        </w:tc>
        <w:tc>
          <w:tcPr>
            <w:tcW w:w="245" w:type="dxa"/>
            <w:shd w:val="clear" w:color="auto" w:fill="FFFFFF"/>
            <w:tcMar>
              <w:top w:w="15" w:type="dxa"/>
              <w:left w:w="0" w:type="dxa"/>
              <w:bottom w:w="0" w:type="dxa"/>
              <w:right w:w="15" w:type="dxa"/>
            </w:tcMar>
            <w:vAlign w:val="bottom"/>
            <w:hideMark/>
          </w:tcPr>
          <w:p w14:paraId="471227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FFFFFF"/>
            <w:noWrap/>
            <w:tcMar>
              <w:top w:w="15" w:type="dxa"/>
              <w:left w:w="0" w:type="dxa"/>
              <w:bottom w:w="0" w:type="dxa"/>
              <w:right w:w="15" w:type="dxa"/>
            </w:tcMar>
            <w:vAlign w:val="bottom"/>
            <w:hideMark/>
          </w:tcPr>
          <w:p w14:paraId="1E89DA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tcBorders>
              <w:bottom w:val="single" w:sz="6" w:space="0" w:color="000000"/>
            </w:tcBorders>
            <w:shd w:val="clear" w:color="auto" w:fill="FFFFFF"/>
            <w:noWrap/>
            <w:tcMar>
              <w:top w:w="15" w:type="dxa"/>
              <w:left w:w="0" w:type="dxa"/>
              <w:bottom w:w="0" w:type="dxa"/>
              <w:right w:w="15" w:type="dxa"/>
            </w:tcMar>
            <w:vAlign w:val="bottom"/>
            <w:hideMark/>
          </w:tcPr>
          <w:p w14:paraId="29816D7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10.2</w:t>
            </w:r>
          </w:p>
        </w:tc>
        <w:tc>
          <w:tcPr>
            <w:tcW w:w="129" w:type="dxa"/>
            <w:shd w:val="clear" w:color="auto" w:fill="FFFFFF"/>
            <w:noWrap/>
            <w:tcMar>
              <w:top w:w="15" w:type="dxa"/>
              <w:left w:w="0" w:type="dxa"/>
              <w:bottom w:w="0" w:type="dxa"/>
              <w:right w:w="15" w:type="dxa"/>
            </w:tcMar>
            <w:vAlign w:val="bottom"/>
            <w:hideMark/>
          </w:tcPr>
          <w:p w14:paraId="655058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566F4905"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29" w:type="dxa"/>
            <w:tcBorders>
              <w:bottom w:val="single" w:sz="6" w:space="0" w:color="000000"/>
            </w:tcBorders>
            <w:shd w:val="clear" w:color="auto" w:fill="FFFFFF"/>
            <w:noWrap/>
            <w:tcMar>
              <w:top w:w="15" w:type="dxa"/>
              <w:left w:w="0" w:type="dxa"/>
              <w:bottom w:w="0" w:type="dxa"/>
              <w:right w:w="15" w:type="dxa"/>
            </w:tcMar>
            <w:vAlign w:val="bottom"/>
            <w:hideMark/>
          </w:tcPr>
          <w:p w14:paraId="06511A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tcBorders>
              <w:bottom w:val="single" w:sz="6" w:space="0" w:color="000000"/>
            </w:tcBorders>
            <w:shd w:val="clear" w:color="auto" w:fill="FFFFFF"/>
            <w:noWrap/>
            <w:tcMar>
              <w:top w:w="15" w:type="dxa"/>
              <w:left w:w="0" w:type="dxa"/>
              <w:bottom w:w="0" w:type="dxa"/>
              <w:right w:w="15" w:type="dxa"/>
            </w:tcMar>
            <w:vAlign w:val="bottom"/>
            <w:hideMark/>
          </w:tcPr>
          <w:p w14:paraId="705FACB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30" w:type="dxa"/>
            <w:shd w:val="clear" w:color="auto" w:fill="FFFFFF"/>
            <w:noWrap/>
            <w:tcMar>
              <w:top w:w="15" w:type="dxa"/>
              <w:left w:w="0" w:type="dxa"/>
              <w:bottom w:w="0" w:type="dxa"/>
              <w:right w:w="15" w:type="dxa"/>
            </w:tcMar>
            <w:vAlign w:val="bottom"/>
            <w:hideMark/>
          </w:tcPr>
          <w:p w14:paraId="217201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EB3D281" w14:textId="77777777" w:rsidTr="00AC4931">
        <w:tc>
          <w:tcPr>
            <w:tcW w:w="10661" w:type="dxa"/>
            <w:shd w:val="clear" w:color="auto" w:fill="CFF0FC"/>
            <w:tcMar>
              <w:top w:w="15" w:type="dxa"/>
              <w:left w:w="0" w:type="dxa"/>
              <w:bottom w:w="0" w:type="dxa"/>
              <w:right w:w="15" w:type="dxa"/>
            </w:tcMar>
            <w:hideMark/>
          </w:tcPr>
          <w:p w14:paraId="39F2A4D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Carrying amount at end of year</w:t>
            </w:r>
          </w:p>
        </w:tc>
        <w:tc>
          <w:tcPr>
            <w:tcW w:w="245" w:type="dxa"/>
            <w:shd w:val="clear" w:color="auto" w:fill="CFF0FC"/>
            <w:tcMar>
              <w:top w:w="15" w:type="dxa"/>
              <w:left w:w="0" w:type="dxa"/>
              <w:bottom w:w="0" w:type="dxa"/>
              <w:right w:w="15" w:type="dxa"/>
            </w:tcMar>
            <w:vAlign w:val="bottom"/>
            <w:hideMark/>
          </w:tcPr>
          <w:p w14:paraId="2CAAEC3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34354D4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313" w:type="dxa"/>
            <w:tcBorders>
              <w:top w:val="single" w:sz="6" w:space="0" w:color="000000"/>
            </w:tcBorders>
            <w:shd w:val="clear" w:color="auto" w:fill="CFF0FC"/>
            <w:noWrap/>
            <w:tcMar>
              <w:top w:w="15" w:type="dxa"/>
              <w:left w:w="0" w:type="dxa"/>
              <w:bottom w:w="0" w:type="dxa"/>
              <w:right w:w="15" w:type="dxa"/>
            </w:tcMar>
            <w:vAlign w:val="bottom"/>
            <w:hideMark/>
          </w:tcPr>
          <w:p w14:paraId="7BE27F5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1,398.1</w:t>
            </w:r>
          </w:p>
        </w:tc>
        <w:tc>
          <w:tcPr>
            <w:tcW w:w="129" w:type="dxa"/>
            <w:shd w:val="clear" w:color="auto" w:fill="CFF0FC"/>
            <w:noWrap/>
            <w:tcMar>
              <w:top w:w="15" w:type="dxa"/>
              <w:left w:w="0" w:type="dxa"/>
              <w:bottom w:w="0" w:type="dxa"/>
              <w:right w:w="15" w:type="dxa"/>
            </w:tcMar>
            <w:vAlign w:val="bottom"/>
            <w:hideMark/>
          </w:tcPr>
          <w:p w14:paraId="3B3B678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70FF4789"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0C68340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313" w:type="dxa"/>
            <w:tcBorders>
              <w:top w:val="single" w:sz="6" w:space="0" w:color="000000"/>
            </w:tcBorders>
            <w:shd w:val="clear" w:color="auto" w:fill="CFF0FC"/>
            <w:noWrap/>
            <w:tcMar>
              <w:top w:w="15" w:type="dxa"/>
              <w:left w:w="0" w:type="dxa"/>
              <w:bottom w:w="0" w:type="dxa"/>
              <w:right w:w="15" w:type="dxa"/>
            </w:tcMar>
            <w:vAlign w:val="bottom"/>
            <w:hideMark/>
          </w:tcPr>
          <w:p w14:paraId="14A0C1B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1,387.9</w:t>
            </w:r>
          </w:p>
        </w:tc>
        <w:tc>
          <w:tcPr>
            <w:tcW w:w="130" w:type="dxa"/>
            <w:shd w:val="clear" w:color="auto" w:fill="CFF0FC"/>
            <w:noWrap/>
            <w:tcMar>
              <w:top w:w="15" w:type="dxa"/>
              <w:left w:w="0" w:type="dxa"/>
              <w:bottom w:w="0" w:type="dxa"/>
              <w:right w:w="15" w:type="dxa"/>
            </w:tcMar>
            <w:vAlign w:val="bottom"/>
            <w:hideMark/>
          </w:tcPr>
          <w:p w14:paraId="76337246"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439F6811"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55683FC6"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Approximately $1.2 billion of the Company’s goodwill is associated with the 1997 merger of Autoliv AB and the Automotive Safety Products Division of Morton International, Inc. No goodwill impairment charges were recognized during 2020, 2019 or 2018.</w:t>
      </w:r>
    </w:p>
    <w:p w14:paraId="1B63627A"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4430" w:type="dxa"/>
        <w:tblCellMar>
          <w:left w:w="0" w:type="dxa"/>
          <w:right w:w="0" w:type="dxa"/>
        </w:tblCellMar>
        <w:tblLook w:val="04A0" w:firstRow="1" w:lastRow="0" w:firstColumn="1" w:lastColumn="0" w:noHBand="0" w:noVBand="1"/>
      </w:tblPr>
      <w:tblGrid>
        <w:gridCol w:w="10713"/>
        <w:gridCol w:w="246"/>
        <w:gridCol w:w="138"/>
        <w:gridCol w:w="1336"/>
        <w:gridCol w:w="138"/>
        <w:gridCol w:w="246"/>
        <w:gridCol w:w="138"/>
        <w:gridCol w:w="1336"/>
        <w:gridCol w:w="139"/>
      </w:tblGrid>
      <w:tr w:rsidR="00AC4931" w:rsidRPr="00AC4931" w14:paraId="50F7794D" w14:textId="77777777" w:rsidTr="00AC4931">
        <w:tc>
          <w:tcPr>
            <w:tcW w:w="10661" w:type="dxa"/>
            <w:shd w:val="clear" w:color="auto" w:fill="FFFFFF"/>
            <w:tcMar>
              <w:top w:w="15" w:type="dxa"/>
              <w:left w:w="0" w:type="dxa"/>
              <w:bottom w:w="0" w:type="dxa"/>
              <w:right w:w="15" w:type="dxa"/>
            </w:tcMar>
            <w:vAlign w:val="bottom"/>
            <w:hideMark/>
          </w:tcPr>
          <w:p w14:paraId="4EC5AA1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AMORTIZABLE INTANGIBLES</w:t>
            </w:r>
          </w:p>
        </w:tc>
        <w:tc>
          <w:tcPr>
            <w:tcW w:w="245" w:type="dxa"/>
            <w:shd w:val="clear" w:color="auto" w:fill="FFFFFF"/>
            <w:tcMar>
              <w:top w:w="15" w:type="dxa"/>
              <w:left w:w="0" w:type="dxa"/>
              <w:bottom w:w="0" w:type="dxa"/>
              <w:right w:w="15" w:type="dxa"/>
            </w:tcMar>
            <w:vAlign w:val="bottom"/>
            <w:hideMark/>
          </w:tcPr>
          <w:p w14:paraId="101B81B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8" w:type="dxa"/>
            <w:gridSpan w:val="2"/>
            <w:tcBorders>
              <w:bottom w:val="single" w:sz="6" w:space="0" w:color="000000"/>
            </w:tcBorders>
            <w:shd w:val="clear" w:color="auto" w:fill="FFFFFF"/>
            <w:tcMar>
              <w:top w:w="15" w:type="dxa"/>
              <w:left w:w="0" w:type="dxa"/>
              <w:bottom w:w="0" w:type="dxa"/>
              <w:right w:w="15" w:type="dxa"/>
            </w:tcMar>
            <w:vAlign w:val="bottom"/>
            <w:hideMark/>
          </w:tcPr>
          <w:p w14:paraId="0A4CDE6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29" w:type="dxa"/>
            <w:shd w:val="clear" w:color="auto" w:fill="FFFFFF"/>
            <w:noWrap/>
            <w:tcMar>
              <w:top w:w="15" w:type="dxa"/>
              <w:left w:w="0" w:type="dxa"/>
              <w:bottom w:w="0" w:type="dxa"/>
              <w:right w:w="15" w:type="dxa"/>
            </w:tcMar>
            <w:vAlign w:val="bottom"/>
            <w:hideMark/>
          </w:tcPr>
          <w:p w14:paraId="41FD6F8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32ACAB3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8" w:type="dxa"/>
            <w:gridSpan w:val="2"/>
            <w:tcBorders>
              <w:bottom w:val="single" w:sz="6" w:space="0" w:color="000000"/>
            </w:tcBorders>
            <w:shd w:val="clear" w:color="auto" w:fill="FFFFFF"/>
            <w:tcMar>
              <w:top w:w="15" w:type="dxa"/>
              <w:left w:w="0" w:type="dxa"/>
              <w:bottom w:w="0" w:type="dxa"/>
              <w:right w:w="15" w:type="dxa"/>
            </w:tcMar>
            <w:vAlign w:val="bottom"/>
            <w:hideMark/>
          </w:tcPr>
          <w:p w14:paraId="2532468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30" w:type="dxa"/>
            <w:shd w:val="clear" w:color="auto" w:fill="FFFFFF"/>
            <w:noWrap/>
            <w:tcMar>
              <w:top w:w="15" w:type="dxa"/>
              <w:left w:w="0" w:type="dxa"/>
              <w:bottom w:w="0" w:type="dxa"/>
              <w:right w:w="15" w:type="dxa"/>
            </w:tcMar>
            <w:vAlign w:val="bottom"/>
            <w:hideMark/>
          </w:tcPr>
          <w:p w14:paraId="14C7D30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52D63AA9" w14:textId="77777777" w:rsidTr="00AC4931">
        <w:tc>
          <w:tcPr>
            <w:tcW w:w="10661" w:type="dxa"/>
            <w:shd w:val="clear" w:color="auto" w:fill="CFF0FC"/>
            <w:tcMar>
              <w:top w:w="15" w:type="dxa"/>
              <w:left w:w="0" w:type="dxa"/>
              <w:bottom w:w="0" w:type="dxa"/>
              <w:right w:w="15" w:type="dxa"/>
            </w:tcMar>
            <w:hideMark/>
          </w:tcPr>
          <w:p w14:paraId="40F55C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Gross carrying amount</w:t>
            </w:r>
          </w:p>
        </w:tc>
        <w:tc>
          <w:tcPr>
            <w:tcW w:w="245" w:type="dxa"/>
            <w:shd w:val="clear" w:color="auto" w:fill="CFF0FC"/>
            <w:tcMar>
              <w:top w:w="15" w:type="dxa"/>
              <w:left w:w="0" w:type="dxa"/>
              <w:bottom w:w="0" w:type="dxa"/>
              <w:right w:w="15" w:type="dxa"/>
            </w:tcMar>
            <w:vAlign w:val="bottom"/>
            <w:hideMark/>
          </w:tcPr>
          <w:p w14:paraId="1FFB0E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7D5998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13" w:type="dxa"/>
            <w:tcBorders>
              <w:top w:val="single" w:sz="6" w:space="0" w:color="000000"/>
            </w:tcBorders>
            <w:shd w:val="clear" w:color="auto" w:fill="CFF0FC"/>
            <w:noWrap/>
            <w:tcMar>
              <w:top w:w="15" w:type="dxa"/>
              <w:left w:w="0" w:type="dxa"/>
              <w:bottom w:w="0" w:type="dxa"/>
              <w:right w:w="15" w:type="dxa"/>
            </w:tcMar>
            <w:vAlign w:val="bottom"/>
            <w:hideMark/>
          </w:tcPr>
          <w:p w14:paraId="712FB2D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406.8</w:t>
            </w:r>
          </w:p>
        </w:tc>
        <w:tc>
          <w:tcPr>
            <w:tcW w:w="129" w:type="dxa"/>
            <w:shd w:val="clear" w:color="auto" w:fill="CFF0FC"/>
            <w:noWrap/>
            <w:tcMar>
              <w:top w:w="15" w:type="dxa"/>
              <w:left w:w="0" w:type="dxa"/>
              <w:bottom w:w="0" w:type="dxa"/>
              <w:right w:w="15" w:type="dxa"/>
            </w:tcMar>
            <w:vAlign w:val="bottom"/>
            <w:hideMark/>
          </w:tcPr>
          <w:p w14:paraId="4DEBC5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69132D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1FC046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313" w:type="dxa"/>
            <w:tcBorders>
              <w:top w:val="single" w:sz="6" w:space="0" w:color="000000"/>
            </w:tcBorders>
            <w:shd w:val="clear" w:color="auto" w:fill="CFF0FC"/>
            <w:noWrap/>
            <w:tcMar>
              <w:top w:w="15" w:type="dxa"/>
              <w:left w:w="0" w:type="dxa"/>
              <w:bottom w:w="0" w:type="dxa"/>
              <w:right w:w="15" w:type="dxa"/>
            </w:tcMar>
            <w:vAlign w:val="bottom"/>
            <w:hideMark/>
          </w:tcPr>
          <w:p w14:paraId="2E69875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398.9</w:t>
            </w:r>
          </w:p>
        </w:tc>
        <w:tc>
          <w:tcPr>
            <w:tcW w:w="130" w:type="dxa"/>
            <w:shd w:val="clear" w:color="auto" w:fill="CFF0FC"/>
            <w:noWrap/>
            <w:tcMar>
              <w:top w:w="15" w:type="dxa"/>
              <w:left w:w="0" w:type="dxa"/>
              <w:bottom w:w="0" w:type="dxa"/>
              <w:right w:w="15" w:type="dxa"/>
            </w:tcMar>
            <w:vAlign w:val="bottom"/>
            <w:hideMark/>
          </w:tcPr>
          <w:p w14:paraId="2179A5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9D31DB0" w14:textId="77777777" w:rsidTr="00AC4931">
        <w:tc>
          <w:tcPr>
            <w:tcW w:w="10661" w:type="dxa"/>
            <w:shd w:val="clear" w:color="auto" w:fill="FFFFFF"/>
            <w:tcMar>
              <w:top w:w="15" w:type="dxa"/>
              <w:left w:w="0" w:type="dxa"/>
              <w:bottom w:w="0" w:type="dxa"/>
              <w:right w:w="15" w:type="dxa"/>
            </w:tcMar>
            <w:hideMark/>
          </w:tcPr>
          <w:p w14:paraId="7F954A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Accumulated amortization</w:t>
            </w:r>
          </w:p>
        </w:tc>
        <w:tc>
          <w:tcPr>
            <w:tcW w:w="245" w:type="dxa"/>
            <w:shd w:val="clear" w:color="auto" w:fill="FFFFFF"/>
            <w:tcMar>
              <w:top w:w="15" w:type="dxa"/>
              <w:left w:w="0" w:type="dxa"/>
              <w:bottom w:w="0" w:type="dxa"/>
              <w:right w:w="15" w:type="dxa"/>
            </w:tcMar>
            <w:vAlign w:val="bottom"/>
            <w:hideMark/>
          </w:tcPr>
          <w:p w14:paraId="1D59BE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FFFFFF"/>
            <w:noWrap/>
            <w:tcMar>
              <w:top w:w="15" w:type="dxa"/>
              <w:left w:w="0" w:type="dxa"/>
              <w:bottom w:w="0" w:type="dxa"/>
              <w:right w:w="15" w:type="dxa"/>
            </w:tcMar>
            <w:vAlign w:val="bottom"/>
            <w:hideMark/>
          </w:tcPr>
          <w:p w14:paraId="16FEF4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tcBorders>
              <w:bottom w:val="single" w:sz="6" w:space="0" w:color="000000"/>
            </w:tcBorders>
            <w:shd w:val="clear" w:color="auto" w:fill="FFFFFF"/>
            <w:noWrap/>
            <w:tcMar>
              <w:top w:w="15" w:type="dxa"/>
              <w:left w:w="0" w:type="dxa"/>
              <w:bottom w:w="0" w:type="dxa"/>
              <w:right w:w="15" w:type="dxa"/>
            </w:tcMar>
            <w:vAlign w:val="bottom"/>
            <w:hideMark/>
          </w:tcPr>
          <w:p w14:paraId="4DF8864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(393.2</w:t>
            </w:r>
          </w:p>
        </w:tc>
        <w:tc>
          <w:tcPr>
            <w:tcW w:w="129" w:type="dxa"/>
            <w:shd w:val="clear" w:color="auto" w:fill="FFFFFF"/>
            <w:noWrap/>
            <w:tcMar>
              <w:top w:w="15" w:type="dxa"/>
              <w:left w:w="0" w:type="dxa"/>
              <w:bottom w:w="0" w:type="dxa"/>
              <w:right w:w="15" w:type="dxa"/>
            </w:tcMar>
            <w:vAlign w:val="bottom"/>
            <w:hideMark/>
          </w:tcPr>
          <w:p w14:paraId="524385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035D56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FFFFFF"/>
            <w:noWrap/>
            <w:tcMar>
              <w:top w:w="15" w:type="dxa"/>
              <w:left w:w="0" w:type="dxa"/>
              <w:bottom w:w="0" w:type="dxa"/>
              <w:right w:w="15" w:type="dxa"/>
            </w:tcMar>
            <w:vAlign w:val="bottom"/>
            <w:hideMark/>
          </w:tcPr>
          <w:p w14:paraId="2ED123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13" w:type="dxa"/>
            <w:tcBorders>
              <w:bottom w:val="single" w:sz="6" w:space="0" w:color="000000"/>
            </w:tcBorders>
            <w:shd w:val="clear" w:color="auto" w:fill="FFFFFF"/>
            <w:noWrap/>
            <w:tcMar>
              <w:top w:w="15" w:type="dxa"/>
              <w:left w:w="0" w:type="dxa"/>
              <w:bottom w:w="0" w:type="dxa"/>
              <w:right w:w="15" w:type="dxa"/>
            </w:tcMar>
            <w:vAlign w:val="bottom"/>
            <w:hideMark/>
          </w:tcPr>
          <w:p w14:paraId="285723A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(376.6</w:t>
            </w:r>
          </w:p>
        </w:tc>
        <w:tc>
          <w:tcPr>
            <w:tcW w:w="130" w:type="dxa"/>
            <w:shd w:val="clear" w:color="auto" w:fill="FFFFFF"/>
            <w:noWrap/>
            <w:tcMar>
              <w:top w:w="15" w:type="dxa"/>
              <w:left w:w="0" w:type="dxa"/>
              <w:bottom w:w="0" w:type="dxa"/>
              <w:right w:w="15" w:type="dxa"/>
            </w:tcMar>
            <w:vAlign w:val="bottom"/>
            <w:hideMark/>
          </w:tcPr>
          <w:p w14:paraId="31FE74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4E30B56" w14:textId="77777777" w:rsidTr="00AC4931">
        <w:tc>
          <w:tcPr>
            <w:tcW w:w="10661" w:type="dxa"/>
            <w:shd w:val="clear" w:color="auto" w:fill="CFF0FC"/>
            <w:tcMar>
              <w:top w:w="15" w:type="dxa"/>
              <w:left w:w="0" w:type="dxa"/>
              <w:bottom w:w="0" w:type="dxa"/>
              <w:right w:w="15" w:type="dxa"/>
            </w:tcMar>
            <w:hideMark/>
          </w:tcPr>
          <w:p w14:paraId="0326942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Carrying value</w:t>
            </w:r>
          </w:p>
        </w:tc>
        <w:tc>
          <w:tcPr>
            <w:tcW w:w="245" w:type="dxa"/>
            <w:shd w:val="clear" w:color="auto" w:fill="CFF0FC"/>
            <w:tcMar>
              <w:top w:w="15" w:type="dxa"/>
              <w:left w:w="0" w:type="dxa"/>
              <w:bottom w:w="0" w:type="dxa"/>
              <w:right w:w="15" w:type="dxa"/>
            </w:tcMar>
            <w:vAlign w:val="bottom"/>
            <w:hideMark/>
          </w:tcPr>
          <w:p w14:paraId="7A0F2E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33741E2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313" w:type="dxa"/>
            <w:tcBorders>
              <w:top w:val="single" w:sz="6" w:space="0" w:color="000000"/>
            </w:tcBorders>
            <w:shd w:val="clear" w:color="auto" w:fill="CFF0FC"/>
            <w:noWrap/>
            <w:tcMar>
              <w:top w:w="15" w:type="dxa"/>
              <w:left w:w="0" w:type="dxa"/>
              <w:bottom w:w="0" w:type="dxa"/>
              <w:right w:w="15" w:type="dxa"/>
            </w:tcMar>
            <w:vAlign w:val="bottom"/>
            <w:hideMark/>
          </w:tcPr>
          <w:p w14:paraId="08B4BA5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13.6</w:t>
            </w:r>
          </w:p>
        </w:tc>
        <w:tc>
          <w:tcPr>
            <w:tcW w:w="129" w:type="dxa"/>
            <w:shd w:val="clear" w:color="auto" w:fill="CFF0FC"/>
            <w:noWrap/>
            <w:tcMar>
              <w:top w:w="15" w:type="dxa"/>
              <w:left w:w="0" w:type="dxa"/>
              <w:bottom w:w="0" w:type="dxa"/>
              <w:right w:w="15" w:type="dxa"/>
            </w:tcMar>
            <w:vAlign w:val="bottom"/>
            <w:hideMark/>
          </w:tcPr>
          <w:p w14:paraId="185E94F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7F84D7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265A0BD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313" w:type="dxa"/>
            <w:tcBorders>
              <w:top w:val="single" w:sz="6" w:space="0" w:color="000000"/>
            </w:tcBorders>
            <w:shd w:val="clear" w:color="auto" w:fill="CFF0FC"/>
            <w:noWrap/>
            <w:tcMar>
              <w:top w:w="15" w:type="dxa"/>
              <w:left w:w="0" w:type="dxa"/>
              <w:bottom w:w="0" w:type="dxa"/>
              <w:right w:w="15" w:type="dxa"/>
            </w:tcMar>
            <w:vAlign w:val="bottom"/>
            <w:hideMark/>
          </w:tcPr>
          <w:p w14:paraId="6785B0F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22.3</w:t>
            </w:r>
          </w:p>
        </w:tc>
        <w:tc>
          <w:tcPr>
            <w:tcW w:w="130" w:type="dxa"/>
            <w:shd w:val="clear" w:color="auto" w:fill="CFF0FC"/>
            <w:noWrap/>
            <w:tcMar>
              <w:top w:w="15" w:type="dxa"/>
              <w:left w:w="0" w:type="dxa"/>
              <w:bottom w:w="0" w:type="dxa"/>
              <w:right w:w="15" w:type="dxa"/>
            </w:tcMar>
            <w:vAlign w:val="bottom"/>
            <w:hideMark/>
          </w:tcPr>
          <w:p w14:paraId="0EE3D159"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2536D170"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430D7E71"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At December 31, 2020, intangible assets subject to amortization mainly relate to acquired technology. No significant impairments of intangible assets were recognized during 2020, 2019 or 2018.</w:t>
      </w:r>
    </w:p>
    <w:p w14:paraId="77B89D33"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Amortization expense related to intangible assets was $10.0 million, $11.5 million and $11.3 million in 2020, 2019 and 2018, respectively. Estimated future amortization expense is (in millions): 2021: $9.9; 2022: $3.5; 2023: $0.1; 2024: $0.1 and 2025: $0.0.</w:t>
      </w:r>
    </w:p>
    <w:p w14:paraId="007399CE" w14:textId="77777777" w:rsidR="00AC4931" w:rsidRPr="00AC4931" w:rsidRDefault="00AC4931" w:rsidP="00AC4931">
      <w:pPr>
        <w:widowControl/>
        <w:jc w:val="left"/>
        <w:rPr>
          <w:rFonts w:ascii="Times New Roman" w:eastAsia="宋体" w:hAnsi="Times New Roman" w:cs="Times New Roman"/>
          <w:b/>
          <w:bCs/>
          <w:color w:val="000000"/>
          <w:kern w:val="0"/>
          <w:sz w:val="18"/>
          <w:szCs w:val="18"/>
        </w:rPr>
      </w:pPr>
      <w:r w:rsidRPr="00AC4931">
        <w:rPr>
          <w:rFonts w:ascii="Times New Roman" w:eastAsia="宋体" w:hAnsi="Times New Roman" w:cs="Times New Roman"/>
          <w:b/>
          <w:bCs/>
          <w:color w:val="000000"/>
          <w:kern w:val="0"/>
          <w:sz w:val="18"/>
          <w:szCs w:val="18"/>
        </w:rPr>
        <w:lastRenderedPageBreak/>
        <w:t> </w:t>
      </w:r>
    </w:p>
    <w:p w14:paraId="6DE01314" w14:textId="77777777" w:rsidR="00AC4931" w:rsidRPr="00AC4931" w:rsidRDefault="00AC4931" w:rsidP="00AC4931">
      <w:pPr>
        <w:widowControl/>
        <w:spacing w:before="160"/>
        <w:rPr>
          <w:rFonts w:ascii="Arial" w:eastAsia="宋体" w:hAnsi="Arial" w:cs="Arial"/>
          <w:b/>
          <w:bCs/>
          <w:kern w:val="0"/>
          <w:sz w:val="22"/>
        </w:rPr>
      </w:pPr>
      <w:r w:rsidRPr="00AC4931">
        <w:rPr>
          <w:rFonts w:ascii="Arial" w:eastAsia="宋体" w:hAnsi="Arial" w:cs="Arial"/>
          <w:b/>
          <w:bCs/>
          <w:kern w:val="0"/>
          <w:sz w:val="22"/>
        </w:rPr>
        <w:t>12. Restructuring</w:t>
      </w:r>
    </w:p>
    <w:p w14:paraId="4848DCA7"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Restructuring provisions are made on a case-by-case basis and primarily include severance costs incurred in connection with headcount reductions and plant consolidations. The Company expects to finance restructuring programs over the next several years through cash generated from its ongoing operations or through cash available under its existing credit facilities. The Company does not expect that the execution of these programs will have an adverse impact on its liquidity position. The changes in the employee-related reserves have been charged against Other income (expense), net in the Consolidated Statements of Income. The restructuring reserve balance is included within Accrued expenses in the Consolidated Balance Sheet.</w:t>
      </w:r>
    </w:p>
    <w:p w14:paraId="2E45D7BF" w14:textId="77777777" w:rsidR="00AC4931" w:rsidRPr="00AC4931" w:rsidRDefault="00AC4931" w:rsidP="00AC4931">
      <w:pPr>
        <w:widowControl/>
        <w:rPr>
          <w:rFonts w:ascii="宋体" w:eastAsia="宋体" w:hAnsi="宋体" w:cs="宋体"/>
          <w:b/>
          <w:bCs/>
          <w:kern w:val="0"/>
          <w:sz w:val="34"/>
          <w:szCs w:val="34"/>
        </w:rPr>
      </w:pPr>
      <w:r w:rsidRPr="00AC4931">
        <w:rPr>
          <w:rFonts w:ascii="宋体" w:eastAsia="宋体" w:hAnsi="宋体" w:cs="宋体"/>
          <w:b/>
          <w:bCs/>
          <w:kern w:val="0"/>
          <w:sz w:val="34"/>
          <w:szCs w:val="34"/>
        </w:rPr>
        <w:t> </w:t>
      </w:r>
    </w:p>
    <w:p w14:paraId="48729580" w14:textId="77777777" w:rsidR="00AC4931" w:rsidRPr="00AC4931" w:rsidRDefault="00AC4931" w:rsidP="00AC4931">
      <w:pPr>
        <w:widowControl/>
        <w:rPr>
          <w:rFonts w:ascii="Arial" w:eastAsia="宋体" w:hAnsi="Arial" w:cs="Arial"/>
          <w:b/>
          <w:bCs/>
          <w:kern w:val="0"/>
          <w:sz w:val="18"/>
          <w:szCs w:val="18"/>
        </w:rPr>
      </w:pPr>
      <w:r w:rsidRPr="00AC4931">
        <w:rPr>
          <w:rFonts w:ascii="Arial" w:eastAsia="宋体" w:hAnsi="Arial" w:cs="Arial"/>
          <w:b/>
          <w:bCs/>
          <w:kern w:val="0"/>
          <w:sz w:val="18"/>
          <w:szCs w:val="18"/>
        </w:rPr>
        <w:t>2020</w:t>
      </w:r>
    </w:p>
    <w:p w14:paraId="6EDE248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p w14:paraId="5B2CC88E"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Company recorded restructuring charges in 2020, mainly related to the structural efficiency program initiated in the second quarter of 2020 in the Americas and Europe and footprint optimization activities in Europe initiated in the third quarter of 2020. Cash payments mainly related to the structural efficiency program initiated in 2019. As of December 31, 2020, approximately $57 million out of the $125.9 million in total reserve balance can be attributed to the structural efficiency program initiated in the second quarter of 2020. This program is expected to be concluded in 2021. Approximately $36 million of the balance can be attributed to footprint optimization activities in Europe initiated in the third quarter of 2020. This program is expected to be concluded in 2023.</w:t>
      </w:r>
    </w:p>
    <w:p w14:paraId="6016C454"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7042"/>
        <w:gridCol w:w="200"/>
        <w:gridCol w:w="200"/>
        <w:gridCol w:w="1827"/>
        <w:gridCol w:w="201"/>
        <w:gridCol w:w="201"/>
        <w:gridCol w:w="201"/>
        <w:gridCol w:w="1575"/>
        <w:gridCol w:w="201"/>
        <w:gridCol w:w="201"/>
        <w:gridCol w:w="201"/>
        <w:gridCol w:w="1575"/>
        <w:gridCol w:w="201"/>
        <w:gridCol w:w="201"/>
        <w:gridCol w:w="201"/>
        <w:gridCol w:w="1575"/>
        <w:gridCol w:w="201"/>
        <w:gridCol w:w="201"/>
        <w:gridCol w:w="201"/>
        <w:gridCol w:w="1575"/>
        <w:gridCol w:w="201"/>
        <w:gridCol w:w="201"/>
        <w:gridCol w:w="201"/>
        <w:gridCol w:w="1828"/>
        <w:gridCol w:w="202"/>
      </w:tblGrid>
      <w:tr w:rsidR="00AC4931" w:rsidRPr="00AC4931" w14:paraId="24570ADC" w14:textId="77777777" w:rsidTr="00AC4931">
        <w:tc>
          <w:tcPr>
            <w:tcW w:w="6978" w:type="dxa"/>
            <w:shd w:val="clear" w:color="auto" w:fill="FFFFFF"/>
            <w:tcMar>
              <w:top w:w="15" w:type="dxa"/>
              <w:left w:w="0" w:type="dxa"/>
              <w:bottom w:w="0" w:type="dxa"/>
              <w:right w:w="15" w:type="dxa"/>
            </w:tcMar>
            <w:vAlign w:val="bottom"/>
            <w:hideMark/>
          </w:tcPr>
          <w:p w14:paraId="6476B510" w14:textId="77777777" w:rsidR="00AC4931" w:rsidRPr="00AC4931" w:rsidRDefault="00AC4931" w:rsidP="00AC4931">
            <w:pPr>
              <w:widowControl/>
              <w:jc w:val="center"/>
              <w:rPr>
                <w:rFonts w:ascii="宋体" w:eastAsia="宋体" w:hAnsi="宋体" w:cs="宋体"/>
                <w:b/>
                <w:bCs/>
                <w:kern w:val="0"/>
                <w:sz w:val="16"/>
                <w:szCs w:val="16"/>
              </w:rPr>
            </w:pPr>
            <w:r w:rsidRPr="00AC4931">
              <w:rPr>
                <w:rFonts w:ascii="宋体" w:eastAsia="宋体" w:hAnsi="宋体" w:cs="宋体"/>
                <w:b/>
                <w:bCs/>
                <w:kern w:val="0"/>
                <w:sz w:val="16"/>
                <w:szCs w:val="16"/>
              </w:rPr>
              <w:t> </w:t>
            </w:r>
          </w:p>
        </w:tc>
        <w:tc>
          <w:tcPr>
            <w:tcW w:w="199" w:type="dxa"/>
            <w:shd w:val="clear" w:color="auto" w:fill="FFFFFF"/>
            <w:tcMar>
              <w:top w:w="15" w:type="dxa"/>
              <w:left w:w="0" w:type="dxa"/>
              <w:bottom w:w="0" w:type="dxa"/>
              <w:right w:w="15" w:type="dxa"/>
            </w:tcMar>
            <w:vAlign w:val="bottom"/>
            <w:hideMark/>
          </w:tcPr>
          <w:p w14:paraId="390D0BE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2" w:type="dxa"/>
            <w:gridSpan w:val="2"/>
            <w:shd w:val="clear" w:color="auto" w:fill="FFFFFF"/>
            <w:tcMar>
              <w:top w:w="15" w:type="dxa"/>
              <w:left w:w="0" w:type="dxa"/>
              <w:bottom w:w="0" w:type="dxa"/>
              <w:right w:w="15" w:type="dxa"/>
            </w:tcMar>
            <w:vAlign w:val="bottom"/>
            <w:hideMark/>
          </w:tcPr>
          <w:p w14:paraId="448E04F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w:t>
            </w:r>
          </w:p>
        </w:tc>
        <w:tc>
          <w:tcPr>
            <w:tcW w:w="191" w:type="dxa"/>
            <w:shd w:val="clear" w:color="auto" w:fill="FFFFFF"/>
            <w:noWrap/>
            <w:tcMar>
              <w:top w:w="15" w:type="dxa"/>
              <w:left w:w="0" w:type="dxa"/>
              <w:bottom w:w="0" w:type="dxa"/>
              <w:right w:w="15" w:type="dxa"/>
            </w:tcMar>
            <w:vAlign w:val="bottom"/>
            <w:hideMark/>
          </w:tcPr>
          <w:p w14:paraId="1760669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684CB54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1" w:type="dxa"/>
            <w:gridSpan w:val="2"/>
            <w:shd w:val="clear" w:color="auto" w:fill="FFFFFF"/>
            <w:tcMar>
              <w:top w:w="15" w:type="dxa"/>
              <w:left w:w="0" w:type="dxa"/>
              <w:bottom w:w="0" w:type="dxa"/>
              <w:right w:w="15" w:type="dxa"/>
            </w:tcMar>
            <w:vAlign w:val="bottom"/>
            <w:hideMark/>
          </w:tcPr>
          <w:p w14:paraId="61D3396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Provision/</w:t>
            </w:r>
          </w:p>
        </w:tc>
        <w:tc>
          <w:tcPr>
            <w:tcW w:w="191" w:type="dxa"/>
            <w:shd w:val="clear" w:color="auto" w:fill="FFFFFF"/>
            <w:noWrap/>
            <w:tcMar>
              <w:top w:w="15" w:type="dxa"/>
              <w:left w:w="0" w:type="dxa"/>
              <w:bottom w:w="0" w:type="dxa"/>
              <w:right w:w="15" w:type="dxa"/>
            </w:tcMar>
            <w:vAlign w:val="bottom"/>
            <w:hideMark/>
          </w:tcPr>
          <w:p w14:paraId="7F4D679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578B5FB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1" w:type="dxa"/>
            <w:gridSpan w:val="2"/>
            <w:shd w:val="clear" w:color="auto" w:fill="FFFFFF"/>
            <w:tcMar>
              <w:top w:w="15" w:type="dxa"/>
              <w:left w:w="0" w:type="dxa"/>
              <w:bottom w:w="0" w:type="dxa"/>
              <w:right w:w="15" w:type="dxa"/>
            </w:tcMar>
            <w:vAlign w:val="bottom"/>
            <w:hideMark/>
          </w:tcPr>
          <w:p w14:paraId="18E416A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Provision/</w:t>
            </w:r>
          </w:p>
        </w:tc>
        <w:tc>
          <w:tcPr>
            <w:tcW w:w="191" w:type="dxa"/>
            <w:shd w:val="clear" w:color="auto" w:fill="FFFFFF"/>
            <w:noWrap/>
            <w:tcMar>
              <w:top w:w="15" w:type="dxa"/>
              <w:left w:w="0" w:type="dxa"/>
              <w:bottom w:w="0" w:type="dxa"/>
              <w:right w:w="15" w:type="dxa"/>
            </w:tcMar>
            <w:vAlign w:val="bottom"/>
            <w:hideMark/>
          </w:tcPr>
          <w:p w14:paraId="01459B0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6658076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1" w:type="dxa"/>
            <w:gridSpan w:val="2"/>
            <w:shd w:val="clear" w:color="auto" w:fill="FFFFFF"/>
            <w:tcMar>
              <w:top w:w="15" w:type="dxa"/>
              <w:left w:w="0" w:type="dxa"/>
              <w:bottom w:w="0" w:type="dxa"/>
              <w:right w:w="15" w:type="dxa"/>
            </w:tcMar>
            <w:vAlign w:val="bottom"/>
            <w:hideMark/>
          </w:tcPr>
          <w:p w14:paraId="5A218B7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Cash</w:t>
            </w:r>
          </w:p>
        </w:tc>
        <w:tc>
          <w:tcPr>
            <w:tcW w:w="191" w:type="dxa"/>
            <w:shd w:val="clear" w:color="auto" w:fill="FFFFFF"/>
            <w:noWrap/>
            <w:tcMar>
              <w:top w:w="15" w:type="dxa"/>
              <w:left w:w="0" w:type="dxa"/>
              <w:bottom w:w="0" w:type="dxa"/>
              <w:right w:w="15" w:type="dxa"/>
            </w:tcMar>
            <w:vAlign w:val="bottom"/>
            <w:hideMark/>
          </w:tcPr>
          <w:p w14:paraId="53EFE8E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35C7119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1" w:type="dxa"/>
            <w:gridSpan w:val="2"/>
            <w:shd w:val="clear" w:color="auto" w:fill="FFFFFF"/>
            <w:tcMar>
              <w:top w:w="15" w:type="dxa"/>
              <w:left w:w="0" w:type="dxa"/>
              <w:bottom w:w="0" w:type="dxa"/>
              <w:right w:w="15" w:type="dxa"/>
            </w:tcMar>
            <w:vAlign w:val="bottom"/>
            <w:hideMark/>
          </w:tcPr>
          <w:p w14:paraId="30FA39E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Translation</w:t>
            </w:r>
          </w:p>
        </w:tc>
        <w:tc>
          <w:tcPr>
            <w:tcW w:w="191" w:type="dxa"/>
            <w:shd w:val="clear" w:color="auto" w:fill="FFFFFF"/>
            <w:noWrap/>
            <w:tcMar>
              <w:top w:w="15" w:type="dxa"/>
              <w:left w:w="0" w:type="dxa"/>
              <w:bottom w:w="0" w:type="dxa"/>
              <w:right w:w="15" w:type="dxa"/>
            </w:tcMar>
            <w:vAlign w:val="bottom"/>
            <w:hideMark/>
          </w:tcPr>
          <w:p w14:paraId="0A8D06C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5F4AA7C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2" w:type="dxa"/>
            <w:gridSpan w:val="2"/>
            <w:shd w:val="clear" w:color="auto" w:fill="FFFFFF"/>
            <w:tcMar>
              <w:top w:w="15" w:type="dxa"/>
              <w:left w:w="0" w:type="dxa"/>
              <w:bottom w:w="0" w:type="dxa"/>
              <w:right w:w="15" w:type="dxa"/>
            </w:tcMar>
            <w:vAlign w:val="bottom"/>
            <w:hideMark/>
          </w:tcPr>
          <w:p w14:paraId="4E14990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w:t>
            </w:r>
          </w:p>
        </w:tc>
        <w:tc>
          <w:tcPr>
            <w:tcW w:w="192" w:type="dxa"/>
            <w:shd w:val="clear" w:color="auto" w:fill="FFFFFF"/>
            <w:noWrap/>
            <w:tcMar>
              <w:top w:w="15" w:type="dxa"/>
              <w:left w:w="0" w:type="dxa"/>
              <w:bottom w:w="0" w:type="dxa"/>
              <w:right w:w="15" w:type="dxa"/>
            </w:tcMar>
            <w:vAlign w:val="bottom"/>
            <w:hideMark/>
          </w:tcPr>
          <w:p w14:paraId="073F597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CFB2248" w14:textId="77777777" w:rsidTr="00AC4931">
        <w:tc>
          <w:tcPr>
            <w:tcW w:w="6978" w:type="dxa"/>
            <w:shd w:val="clear" w:color="auto" w:fill="FFFFFF"/>
            <w:tcMar>
              <w:top w:w="15" w:type="dxa"/>
              <w:left w:w="0" w:type="dxa"/>
              <w:bottom w:w="0" w:type="dxa"/>
              <w:right w:w="15" w:type="dxa"/>
            </w:tcMar>
            <w:vAlign w:val="bottom"/>
            <w:hideMark/>
          </w:tcPr>
          <w:p w14:paraId="3A48665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068B48A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2" w:type="dxa"/>
            <w:gridSpan w:val="2"/>
            <w:tcBorders>
              <w:bottom w:val="single" w:sz="6" w:space="0" w:color="000000"/>
            </w:tcBorders>
            <w:shd w:val="clear" w:color="auto" w:fill="FFFFFF"/>
            <w:tcMar>
              <w:top w:w="15" w:type="dxa"/>
              <w:left w:w="0" w:type="dxa"/>
              <w:bottom w:w="0" w:type="dxa"/>
              <w:right w:w="15" w:type="dxa"/>
            </w:tcMar>
            <w:vAlign w:val="bottom"/>
            <w:hideMark/>
          </w:tcPr>
          <w:p w14:paraId="286F5D8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1" w:type="dxa"/>
            <w:shd w:val="clear" w:color="auto" w:fill="FFFFFF"/>
            <w:noWrap/>
            <w:tcMar>
              <w:top w:w="15" w:type="dxa"/>
              <w:left w:w="0" w:type="dxa"/>
              <w:bottom w:w="0" w:type="dxa"/>
              <w:right w:w="15" w:type="dxa"/>
            </w:tcMar>
            <w:vAlign w:val="bottom"/>
            <w:hideMark/>
          </w:tcPr>
          <w:p w14:paraId="5364C21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5B77AED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1" w:type="dxa"/>
            <w:gridSpan w:val="2"/>
            <w:tcBorders>
              <w:bottom w:val="single" w:sz="6" w:space="0" w:color="000000"/>
            </w:tcBorders>
            <w:shd w:val="clear" w:color="auto" w:fill="FFFFFF"/>
            <w:tcMar>
              <w:top w:w="15" w:type="dxa"/>
              <w:left w:w="0" w:type="dxa"/>
              <w:bottom w:w="0" w:type="dxa"/>
              <w:right w:w="15" w:type="dxa"/>
            </w:tcMar>
            <w:vAlign w:val="bottom"/>
            <w:hideMark/>
          </w:tcPr>
          <w:p w14:paraId="197B8C4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Charge</w:t>
            </w:r>
          </w:p>
        </w:tc>
        <w:tc>
          <w:tcPr>
            <w:tcW w:w="191" w:type="dxa"/>
            <w:shd w:val="clear" w:color="auto" w:fill="FFFFFF"/>
            <w:noWrap/>
            <w:tcMar>
              <w:top w:w="15" w:type="dxa"/>
              <w:left w:w="0" w:type="dxa"/>
              <w:bottom w:w="0" w:type="dxa"/>
              <w:right w:w="15" w:type="dxa"/>
            </w:tcMar>
            <w:vAlign w:val="bottom"/>
            <w:hideMark/>
          </w:tcPr>
          <w:p w14:paraId="33C16AA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1E24F02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1" w:type="dxa"/>
            <w:gridSpan w:val="2"/>
            <w:tcBorders>
              <w:bottom w:val="single" w:sz="6" w:space="0" w:color="000000"/>
            </w:tcBorders>
            <w:shd w:val="clear" w:color="auto" w:fill="FFFFFF"/>
            <w:tcMar>
              <w:top w:w="15" w:type="dxa"/>
              <w:left w:w="0" w:type="dxa"/>
              <w:bottom w:w="0" w:type="dxa"/>
              <w:right w:w="15" w:type="dxa"/>
            </w:tcMar>
            <w:vAlign w:val="bottom"/>
            <w:hideMark/>
          </w:tcPr>
          <w:p w14:paraId="0A1E6C4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Reversal</w:t>
            </w:r>
          </w:p>
        </w:tc>
        <w:tc>
          <w:tcPr>
            <w:tcW w:w="191" w:type="dxa"/>
            <w:shd w:val="clear" w:color="auto" w:fill="FFFFFF"/>
            <w:noWrap/>
            <w:tcMar>
              <w:top w:w="15" w:type="dxa"/>
              <w:left w:w="0" w:type="dxa"/>
              <w:bottom w:w="0" w:type="dxa"/>
              <w:right w:w="15" w:type="dxa"/>
            </w:tcMar>
            <w:vAlign w:val="bottom"/>
            <w:hideMark/>
          </w:tcPr>
          <w:p w14:paraId="4C2BA9C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421DA2B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1" w:type="dxa"/>
            <w:gridSpan w:val="2"/>
            <w:tcBorders>
              <w:bottom w:val="single" w:sz="6" w:space="0" w:color="000000"/>
            </w:tcBorders>
            <w:shd w:val="clear" w:color="auto" w:fill="FFFFFF"/>
            <w:tcMar>
              <w:top w:w="15" w:type="dxa"/>
              <w:left w:w="0" w:type="dxa"/>
              <w:bottom w:w="0" w:type="dxa"/>
              <w:right w:w="15" w:type="dxa"/>
            </w:tcMar>
            <w:vAlign w:val="bottom"/>
            <w:hideMark/>
          </w:tcPr>
          <w:p w14:paraId="05F83BB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payments</w:t>
            </w:r>
          </w:p>
        </w:tc>
        <w:tc>
          <w:tcPr>
            <w:tcW w:w="191" w:type="dxa"/>
            <w:shd w:val="clear" w:color="auto" w:fill="FFFFFF"/>
            <w:noWrap/>
            <w:tcMar>
              <w:top w:w="15" w:type="dxa"/>
              <w:left w:w="0" w:type="dxa"/>
              <w:bottom w:w="0" w:type="dxa"/>
              <w:right w:w="15" w:type="dxa"/>
            </w:tcMar>
            <w:vAlign w:val="bottom"/>
            <w:hideMark/>
          </w:tcPr>
          <w:p w14:paraId="1F18CC2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155BDB3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1" w:type="dxa"/>
            <w:gridSpan w:val="2"/>
            <w:tcBorders>
              <w:bottom w:val="single" w:sz="6" w:space="0" w:color="000000"/>
            </w:tcBorders>
            <w:shd w:val="clear" w:color="auto" w:fill="FFFFFF"/>
            <w:tcMar>
              <w:top w:w="15" w:type="dxa"/>
              <w:left w:w="0" w:type="dxa"/>
              <w:bottom w:w="0" w:type="dxa"/>
              <w:right w:w="15" w:type="dxa"/>
            </w:tcMar>
            <w:vAlign w:val="bottom"/>
            <w:hideMark/>
          </w:tcPr>
          <w:p w14:paraId="7FF6976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difference</w:t>
            </w:r>
          </w:p>
        </w:tc>
        <w:tc>
          <w:tcPr>
            <w:tcW w:w="191" w:type="dxa"/>
            <w:shd w:val="clear" w:color="auto" w:fill="FFFFFF"/>
            <w:noWrap/>
            <w:tcMar>
              <w:top w:w="15" w:type="dxa"/>
              <w:left w:w="0" w:type="dxa"/>
              <w:bottom w:w="0" w:type="dxa"/>
              <w:right w:w="15" w:type="dxa"/>
            </w:tcMar>
            <w:vAlign w:val="bottom"/>
            <w:hideMark/>
          </w:tcPr>
          <w:p w14:paraId="321B98B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 w:type="dxa"/>
            <w:shd w:val="clear" w:color="auto" w:fill="FFFFFF"/>
            <w:tcMar>
              <w:top w:w="15" w:type="dxa"/>
              <w:left w:w="0" w:type="dxa"/>
              <w:bottom w:w="0" w:type="dxa"/>
              <w:right w:w="15" w:type="dxa"/>
            </w:tcMar>
            <w:vAlign w:val="bottom"/>
            <w:hideMark/>
          </w:tcPr>
          <w:p w14:paraId="67BDC0C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2" w:type="dxa"/>
            <w:gridSpan w:val="2"/>
            <w:tcBorders>
              <w:bottom w:val="single" w:sz="6" w:space="0" w:color="000000"/>
            </w:tcBorders>
            <w:shd w:val="clear" w:color="auto" w:fill="FFFFFF"/>
            <w:tcMar>
              <w:top w:w="15" w:type="dxa"/>
              <w:left w:w="0" w:type="dxa"/>
              <w:bottom w:w="0" w:type="dxa"/>
              <w:right w:w="15" w:type="dxa"/>
            </w:tcMar>
            <w:vAlign w:val="bottom"/>
            <w:hideMark/>
          </w:tcPr>
          <w:p w14:paraId="759868A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2" w:type="dxa"/>
            <w:shd w:val="clear" w:color="auto" w:fill="FFFFFF"/>
            <w:noWrap/>
            <w:tcMar>
              <w:top w:w="15" w:type="dxa"/>
              <w:left w:w="0" w:type="dxa"/>
              <w:bottom w:w="0" w:type="dxa"/>
              <w:right w:w="15" w:type="dxa"/>
            </w:tcMar>
            <w:vAlign w:val="bottom"/>
            <w:hideMark/>
          </w:tcPr>
          <w:p w14:paraId="72F3C5E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FE50E48" w14:textId="77777777" w:rsidTr="00AC4931">
        <w:tc>
          <w:tcPr>
            <w:tcW w:w="6978" w:type="dxa"/>
            <w:shd w:val="clear" w:color="auto" w:fill="CFF0FC"/>
            <w:tcMar>
              <w:top w:w="15" w:type="dxa"/>
              <w:left w:w="0" w:type="dxa"/>
              <w:bottom w:w="0" w:type="dxa"/>
              <w:right w:w="15" w:type="dxa"/>
            </w:tcMar>
            <w:hideMark/>
          </w:tcPr>
          <w:p w14:paraId="195EDA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Restructuring employee-related</w:t>
            </w:r>
          </w:p>
        </w:tc>
        <w:tc>
          <w:tcPr>
            <w:tcW w:w="199" w:type="dxa"/>
            <w:shd w:val="clear" w:color="auto" w:fill="CFF0FC"/>
            <w:tcMar>
              <w:top w:w="15" w:type="dxa"/>
              <w:left w:w="0" w:type="dxa"/>
              <w:bottom w:w="0" w:type="dxa"/>
              <w:right w:w="15" w:type="dxa"/>
            </w:tcMar>
            <w:vAlign w:val="bottom"/>
            <w:hideMark/>
          </w:tcPr>
          <w:p w14:paraId="66DF2F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B29B1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96" w:type="dxa"/>
            <w:tcBorders>
              <w:top w:val="single" w:sz="6" w:space="0" w:color="000000"/>
            </w:tcBorders>
            <w:shd w:val="clear" w:color="auto" w:fill="CFF0FC"/>
            <w:noWrap/>
            <w:tcMar>
              <w:top w:w="15" w:type="dxa"/>
              <w:left w:w="0" w:type="dxa"/>
              <w:bottom w:w="0" w:type="dxa"/>
              <w:right w:w="15" w:type="dxa"/>
            </w:tcMar>
            <w:vAlign w:val="bottom"/>
            <w:hideMark/>
          </w:tcPr>
          <w:p w14:paraId="298E084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55.9</w:t>
            </w:r>
          </w:p>
        </w:tc>
        <w:tc>
          <w:tcPr>
            <w:tcW w:w="191" w:type="dxa"/>
            <w:shd w:val="clear" w:color="auto" w:fill="CFF0FC"/>
            <w:noWrap/>
            <w:tcMar>
              <w:top w:w="15" w:type="dxa"/>
              <w:left w:w="0" w:type="dxa"/>
              <w:bottom w:w="0" w:type="dxa"/>
              <w:right w:w="15" w:type="dxa"/>
            </w:tcMar>
            <w:vAlign w:val="bottom"/>
            <w:hideMark/>
          </w:tcPr>
          <w:p w14:paraId="48DF73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9" w:type="dxa"/>
            <w:shd w:val="clear" w:color="auto" w:fill="CFF0FC"/>
            <w:tcMar>
              <w:top w:w="15" w:type="dxa"/>
              <w:left w:w="0" w:type="dxa"/>
              <w:bottom w:w="0" w:type="dxa"/>
              <w:right w:w="15" w:type="dxa"/>
            </w:tcMar>
            <w:vAlign w:val="bottom"/>
            <w:hideMark/>
          </w:tcPr>
          <w:p w14:paraId="3F68EA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70BBC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4" w:type="dxa"/>
            <w:tcBorders>
              <w:top w:val="single" w:sz="6" w:space="0" w:color="000000"/>
            </w:tcBorders>
            <w:shd w:val="clear" w:color="auto" w:fill="CFF0FC"/>
            <w:noWrap/>
            <w:tcMar>
              <w:top w:w="15" w:type="dxa"/>
              <w:left w:w="0" w:type="dxa"/>
              <w:bottom w:w="0" w:type="dxa"/>
              <w:right w:w="15" w:type="dxa"/>
            </w:tcMar>
            <w:vAlign w:val="bottom"/>
            <w:hideMark/>
          </w:tcPr>
          <w:p w14:paraId="5838793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108.5</w:t>
            </w:r>
          </w:p>
        </w:tc>
        <w:tc>
          <w:tcPr>
            <w:tcW w:w="191" w:type="dxa"/>
            <w:shd w:val="clear" w:color="auto" w:fill="CFF0FC"/>
            <w:noWrap/>
            <w:tcMar>
              <w:top w:w="15" w:type="dxa"/>
              <w:left w:w="0" w:type="dxa"/>
              <w:bottom w:w="0" w:type="dxa"/>
              <w:right w:w="15" w:type="dxa"/>
            </w:tcMar>
            <w:vAlign w:val="bottom"/>
            <w:hideMark/>
          </w:tcPr>
          <w:p w14:paraId="098FCA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9" w:type="dxa"/>
            <w:shd w:val="clear" w:color="auto" w:fill="CFF0FC"/>
            <w:tcMar>
              <w:top w:w="15" w:type="dxa"/>
              <w:left w:w="0" w:type="dxa"/>
              <w:bottom w:w="0" w:type="dxa"/>
              <w:right w:w="15" w:type="dxa"/>
            </w:tcMar>
            <w:vAlign w:val="bottom"/>
            <w:hideMark/>
          </w:tcPr>
          <w:p w14:paraId="6C655D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7D3A2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4" w:type="dxa"/>
            <w:tcBorders>
              <w:top w:val="single" w:sz="6" w:space="0" w:color="000000"/>
            </w:tcBorders>
            <w:shd w:val="clear" w:color="auto" w:fill="CFF0FC"/>
            <w:noWrap/>
            <w:tcMar>
              <w:top w:w="15" w:type="dxa"/>
              <w:left w:w="0" w:type="dxa"/>
              <w:bottom w:w="0" w:type="dxa"/>
              <w:right w:w="15" w:type="dxa"/>
            </w:tcMar>
            <w:vAlign w:val="bottom"/>
            <w:hideMark/>
          </w:tcPr>
          <w:p w14:paraId="5D0D0D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(10.1</w:t>
            </w:r>
          </w:p>
        </w:tc>
        <w:tc>
          <w:tcPr>
            <w:tcW w:w="191" w:type="dxa"/>
            <w:shd w:val="clear" w:color="auto" w:fill="CFF0FC"/>
            <w:noWrap/>
            <w:tcMar>
              <w:top w:w="15" w:type="dxa"/>
              <w:left w:w="0" w:type="dxa"/>
              <w:bottom w:w="0" w:type="dxa"/>
              <w:right w:w="15" w:type="dxa"/>
            </w:tcMar>
            <w:vAlign w:val="bottom"/>
            <w:hideMark/>
          </w:tcPr>
          <w:p w14:paraId="58DEA3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9" w:type="dxa"/>
            <w:shd w:val="clear" w:color="auto" w:fill="CFF0FC"/>
            <w:tcMar>
              <w:top w:w="15" w:type="dxa"/>
              <w:left w:w="0" w:type="dxa"/>
              <w:bottom w:w="0" w:type="dxa"/>
              <w:right w:w="15" w:type="dxa"/>
            </w:tcMar>
            <w:vAlign w:val="bottom"/>
            <w:hideMark/>
          </w:tcPr>
          <w:p w14:paraId="703E40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F2BC0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4" w:type="dxa"/>
            <w:tcBorders>
              <w:top w:val="single" w:sz="6" w:space="0" w:color="000000"/>
            </w:tcBorders>
            <w:shd w:val="clear" w:color="auto" w:fill="CFF0FC"/>
            <w:noWrap/>
            <w:tcMar>
              <w:top w:w="15" w:type="dxa"/>
              <w:left w:w="0" w:type="dxa"/>
              <w:bottom w:w="0" w:type="dxa"/>
              <w:right w:w="15" w:type="dxa"/>
            </w:tcMar>
            <w:vAlign w:val="bottom"/>
            <w:hideMark/>
          </w:tcPr>
          <w:p w14:paraId="6C8AE52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(38.4</w:t>
            </w:r>
          </w:p>
        </w:tc>
        <w:tc>
          <w:tcPr>
            <w:tcW w:w="191" w:type="dxa"/>
            <w:shd w:val="clear" w:color="auto" w:fill="CFF0FC"/>
            <w:noWrap/>
            <w:tcMar>
              <w:top w:w="15" w:type="dxa"/>
              <w:left w:w="0" w:type="dxa"/>
              <w:bottom w:w="0" w:type="dxa"/>
              <w:right w:w="15" w:type="dxa"/>
            </w:tcMar>
            <w:vAlign w:val="bottom"/>
            <w:hideMark/>
          </w:tcPr>
          <w:p w14:paraId="278576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9" w:type="dxa"/>
            <w:shd w:val="clear" w:color="auto" w:fill="CFF0FC"/>
            <w:tcMar>
              <w:top w:w="15" w:type="dxa"/>
              <w:left w:w="0" w:type="dxa"/>
              <w:bottom w:w="0" w:type="dxa"/>
              <w:right w:w="15" w:type="dxa"/>
            </w:tcMar>
            <w:vAlign w:val="bottom"/>
            <w:hideMark/>
          </w:tcPr>
          <w:p w14:paraId="461D70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282A7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4" w:type="dxa"/>
            <w:tcBorders>
              <w:top w:val="single" w:sz="6" w:space="0" w:color="000000"/>
            </w:tcBorders>
            <w:shd w:val="clear" w:color="auto" w:fill="CFF0FC"/>
            <w:noWrap/>
            <w:tcMar>
              <w:top w:w="15" w:type="dxa"/>
              <w:left w:w="0" w:type="dxa"/>
              <w:bottom w:w="0" w:type="dxa"/>
              <w:right w:w="15" w:type="dxa"/>
            </w:tcMar>
            <w:vAlign w:val="bottom"/>
            <w:hideMark/>
          </w:tcPr>
          <w:p w14:paraId="1965189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9.5</w:t>
            </w:r>
          </w:p>
        </w:tc>
        <w:tc>
          <w:tcPr>
            <w:tcW w:w="191" w:type="dxa"/>
            <w:shd w:val="clear" w:color="auto" w:fill="CFF0FC"/>
            <w:noWrap/>
            <w:tcMar>
              <w:top w:w="15" w:type="dxa"/>
              <w:left w:w="0" w:type="dxa"/>
              <w:bottom w:w="0" w:type="dxa"/>
              <w:right w:w="15" w:type="dxa"/>
            </w:tcMar>
            <w:vAlign w:val="bottom"/>
            <w:hideMark/>
          </w:tcPr>
          <w:p w14:paraId="566E0C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9" w:type="dxa"/>
            <w:shd w:val="clear" w:color="auto" w:fill="CFF0FC"/>
            <w:tcMar>
              <w:top w:w="15" w:type="dxa"/>
              <w:left w:w="0" w:type="dxa"/>
              <w:bottom w:w="0" w:type="dxa"/>
              <w:right w:w="15" w:type="dxa"/>
            </w:tcMar>
            <w:vAlign w:val="bottom"/>
            <w:hideMark/>
          </w:tcPr>
          <w:p w14:paraId="56D471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F0123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96" w:type="dxa"/>
            <w:tcBorders>
              <w:top w:val="single" w:sz="6" w:space="0" w:color="000000"/>
            </w:tcBorders>
            <w:shd w:val="clear" w:color="auto" w:fill="CFF0FC"/>
            <w:noWrap/>
            <w:tcMar>
              <w:top w:w="15" w:type="dxa"/>
              <w:left w:w="0" w:type="dxa"/>
              <w:bottom w:w="0" w:type="dxa"/>
              <w:right w:w="15" w:type="dxa"/>
            </w:tcMar>
            <w:vAlign w:val="bottom"/>
            <w:hideMark/>
          </w:tcPr>
          <w:p w14:paraId="59B5758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125.4</w:t>
            </w:r>
          </w:p>
        </w:tc>
        <w:tc>
          <w:tcPr>
            <w:tcW w:w="192" w:type="dxa"/>
            <w:shd w:val="clear" w:color="auto" w:fill="CFF0FC"/>
            <w:noWrap/>
            <w:tcMar>
              <w:top w:w="15" w:type="dxa"/>
              <w:left w:w="0" w:type="dxa"/>
              <w:bottom w:w="0" w:type="dxa"/>
              <w:right w:w="15" w:type="dxa"/>
            </w:tcMar>
            <w:vAlign w:val="bottom"/>
            <w:hideMark/>
          </w:tcPr>
          <w:p w14:paraId="2169B8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18A7876" w14:textId="77777777" w:rsidTr="00AC4931">
        <w:tc>
          <w:tcPr>
            <w:tcW w:w="6978" w:type="dxa"/>
            <w:shd w:val="clear" w:color="auto" w:fill="FFFFFF"/>
            <w:tcMar>
              <w:top w:w="15" w:type="dxa"/>
              <w:left w:w="0" w:type="dxa"/>
              <w:bottom w:w="0" w:type="dxa"/>
              <w:right w:w="15" w:type="dxa"/>
            </w:tcMar>
            <w:hideMark/>
          </w:tcPr>
          <w:p w14:paraId="4161DB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w:t>
            </w:r>
          </w:p>
        </w:tc>
        <w:tc>
          <w:tcPr>
            <w:tcW w:w="199" w:type="dxa"/>
            <w:shd w:val="clear" w:color="auto" w:fill="FFFFFF"/>
            <w:tcMar>
              <w:top w:w="15" w:type="dxa"/>
              <w:left w:w="0" w:type="dxa"/>
              <w:bottom w:w="0" w:type="dxa"/>
              <w:right w:w="15" w:type="dxa"/>
            </w:tcMar>
            <w:vAlign w:val="bottom"/>
            <w:hideMark/>
          </w:tcPr>
          <w:p w14:paraId="623C82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677AF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96" w:type="dxa"/>
            <w:tcBorders>
              <w:bottom w:val="single" w:sz="6" w:space="0" w:color="000000"/>
            </w:tcBorders>
            <w:shd w:val="clear" w:color="auto" w:fill="FFFFFF"/>
            <w:noWrap/>
            <w:tcMar>
              <w:top w:w="15" w:type="dxa"/>
              <w:left w:w="0" w:type="dxa"/>
              <w:bottom w:w="0" w:type="dxa"/>
              <w:right w:w="15" w:type="dxa"/>
            </w:tcMar>
            <w:vAlign w:val="bottom"/>
            <w:hideMark/>
          </w:tcPr>
          <w:p w14:paraId="78961B1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91" w:type="dxa"/>
            <w:shd w:val="clear" w:color="auto" w:fill="FFFFFF"/>
            <w:noWrap/>
            <w:tcMar>
              <w:top w:w="15" w:type="dxa"/>
              <w:left w:w="0" w:type="dxa"/>
              <w:bottom w:w="0" w:type="dxa"/>
              <w:right w:w="15" w:type="dxa"/>
            </w:tcMar>
            <w:vAlign w:val="bottom"/>
            <w:hideMark/>
          </w:tcPr>
          <w:p w14:paraId="319B53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9" w:type="dxa"/>
            <w:shd w:val="clear" w:color="auto" w:fill="FFFFFF"/>
            <w:tcMar>
              <w:top w:w="15" w:type="dxa"/>
              <w:left w:w="0" w:type="dxa"/>
              <w:bottom w:w="0" w:type="dxa"/>
              <w:right w:w="15" w:type="dxa"/>
            </w:tcMar>
            <w:vAlign w:val="bottom"/>
            <w:hideMark/>
          </w:tcPr>
          <w:p w14:paraId="2EED63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401EA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4" w:type="dxa"/>
            <w:tcBorders>
              <w:bottom w:val="single" w:sz="6" w:space="0" w:color="000000"/>
            </w:tcBorders>
            <w:shd w:val="clear" w:color="auto" w:fill="FFFFFF"/>
            <w:noWrap/>
            <w:tcMar>
              <w:top w:w="15" w:type="dxa"/>
              <w:left w:w="0" w:type="dxa"/>
              <w:bottom w:w="0" w:type="dxa"/>
              <w:right w:w="15" w:type="dxa"/>
            </w:tcMar>
            <w:vAlign w:val="bottom"/>
            <w:hideMark/>
          </w:tcPr>
          <w:p w14:paraId="389C31B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91" w:type="dxa"/>
            <w:shd w:val="clear" w:color="auto" w:fill="FFFFFF"/>
            <w:noWrap/>
            <w:tcMar>
              <w:top w:w="15" w:type="dxa"/>
              <w:left w:w="0" w:type="dxa"/>
              <w:bottom w:w="0" w:type="dxa"/>
              <w:right w:w="15" w:type="dxa"/>
            </w:tcMar>
            <w:vAlign w:val="bottom"/>
            <w:hideMark/>
          </w:tcPr>
          <w:p w14:paraId="5B2C4F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9" w:type="dxa"/>
            <w:shd w:val="clear" w:color="auto" w:fill="FFFFFF"/>
            <w:tcMar>
              <w:top w:w="15" w:type="dxa"/>
              <w:left w:w="0" w:type="dxa"/>
              <w:bottom w:w="0" w:type="dxa"/>
              <w:right w:w="15" w:type="dxa"/>
            </w:tcMar>
            <w:vAlign w:val="bottom"/>
            <w:hideMark/>
          </w:tcPr>
          <w:p w14:paraId="4DEC7A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43294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4" w:type="dxa"/>
            <w:tcBorders>
              <w:bottom w:val="single" w:sz="6" w:space="0" w:color="000000"/>
            </w:tcBorders>
            <w:shd w:val="clear" w:color="auto" w:fill="FFFFFF"/>
            <w:noWrap/>
            <w:tcMar>
              <w:top w:w="15" w:type="dxa"/>
              <w:left w:w="0" w:type="dxa"/>
              <w:bottom w:w="0" w:type="dxa"/>
              <w:right w:w="15" w:type="dxa"/>
            </w:tcMar>
            <w:vAlign w:val="bottom"/>
            <w:hideMark/>
          </w:tcPr>
          <w:p w14:paraId="237E9E9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4B97F1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9" w:type="dxa"/>
            <w:shd w:val="clear" w:color="auto" w:fill="FFFFFF"/>
            <w:tcMar>
              <w:top w:w="15" w:type="dxa"/>
              <w:left w:w="0" w:type="dxa"/>
              <w:bottom w:w="0" w:type="dxa"/>
              <w:right w:w="15" w:type="dxa"/>
            </w:tcMar>
            <w:vAlign w:val="bottom"/>
            <w:hideMark/>
          </w:tcPr>
          <w:p w14:paraId="1F0D67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05AC6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4" w:type="dxa"/>
            <w:tcBorders>
              <w:bottom w:val="single" w:sz="6" w:space="0" w:color="000000"/>
            </w:tcBorders>
            <w:shd w:val="clear" w:color="auto" w:fill="FFFFFF"/>
            <w:noWrap/>
            <w:tcMar>
              <w:top w:w="15" w:type="dxa"/>
              <w:left w:w="0" w:type="dxa"/>
              <w:bottom w:w="0" w:type="dxa"/>
              <w:right w:w="15" w:type="dxa"/>
            </w:tcMar>
            <w:vAlign w:val="bottom"/>
            <w:hideMark/>
          </w:tcPr>
          <w:p w14:paraId="1590208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553D1F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9" w:type="dxa"/>
            <w:shd w:val="clear" w:color="auto" w:fill="FFFFFF"/>
            <w:tcMar>
              <w:top w:w="15" w:type="dxa"/>
              <w:left w:w="0" w:type="dxa"/>
              <w:bottom w:w="0" w:type="dxa"/>
              <w:right w:w="15" w:type="dxa"/>
            </w:tcMar>
            <w:vAlign w:val="bottom"/>
            <w:hideMark/>
          </w:tcPr>
          <w:p w14:paraId="24DD3C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6678B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4" w:type="dxa"/>
            <w:tcBorders>
              <w:bottom w:val="single" w:sz="6" w:space="0" w:color="000000"/>
            </w:tcBorders>
            <w:shd w:val="clear" w:color="auto" w:fill="FFFFFF"/>
            <w:noWrap/>
            <w:tcMar>
              <w:top w:w="15" w:type="dxa"/>
              <w:left w:w="0" w:type="dxa"/>
              <w:bottom w:w="0" w:type="dxa"/>
              <w:right w:w="15" w:type="dxa"/>
            </w:tcMar>
            <w:vAlign w:val="bottom"/>
            <w:hideMark/>
          </w:tcPr>
          <w:p w14:paraId="5D5B435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91" w:type="dxa"/>
            <w:shd w:val="clear" w:color="auto" w:fill="FFFFFF"/>
            <w:noWrap/>
            <w:tcMar>
              <w:top w:w="15" w:type="dxa"/>
              <w:left w:w="0" w:type="dxa"/>
              <w:bottom w:w="0" w:type="dxa"/>
              <w:right w:w="15" w:type="dxa"/>
            </w:tcMar>
            <w:vAlign w:val="bottom"/>
            <w:hideMark/>
          </w:tcPr>
          <w:p w14:paraId="113303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9" w:type="dxa"/>
            <w:shd w:val="clear" w:color="auto" w:fill="FFFFFF"/>
            <w:tcMar>
              <w:top w:w="15" w:type="dxa"/>
              <w:left w:w="0" w:type="dxa"/>
              <w:bottom w:w="0" w:type="dxa"/>
              <w:right w:w="15" w:type="dxa"/>
            </w:tcMar>
            <w:vAlign w:val="bottom"/>
            <w:hideMark/>
          </w:tcPr>
          <w:p w14:paraId="6D09B8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8FDED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96" w:type="dxa"/>
            <w:tcBorders>
              <w:bottom w:val="single" w:sz="6" w:space="0" w:color="000000"/>
            </w:tcBorders>
            <w:shd w:val="clear" w:color="auto" w:fill="FFFFFF"/>
            <w:noWrap/>
            <w:tcMar>
              <w:top w:w="15" w:type="dxa"/>
              <w:left w:w="0" w:type="dxa"/>
              <w:bottom w:w="0" w:type="dxa"/>
              <w:right w:w="15" w:type="dxa"/>
            </w:tcMar>
            <w:vAlign w:val="bottom"/>
            <w:hideMark/>
          </w:tcPr>
          <w:p w14:paraId="3080EA2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w:t>
            </w:r>
          </w:p>
        </w:tc>
        <w:tc>
          <w:tcPr>
            <w:tcW w:w="192" w:type="dxa"/>
            <w:shd w:val="clear" w:color="auto" w:fill="FFFFFF"/>
            <w:noWrap/>
            <w:tcMar>
              <w:top w:w="15" w:type="dxa"/>
              <w:left w:w="0" w:type="dxa"/>
              <w:bottom w:w="0" w:type="dxa"/>
              <w:right w:w="15" w:type="dxa"/>
            </w:tcMar>
            <w:vAlign w:val="bottom"/>
            <w:hideMark/>
          </w:tcPr>
          <w:p w14:paraId="5CA2ED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31B1A28" w14:textId="77777777" w:rsidTr="00AC4931">
        <w:tc>
          <w:tcPr>
            <w:tcW w:w="6978" w:type="dxa"/>
            <w:shd w:val="clear" w:color="auto" w:fill="CFF0FC"/>
            <w:tcMar>
              <w:top w:w="15" w:type="dxa"/>
              <w:left w:w="0" w:type="dxa"/>
              <w:bottom w:w="0" w:type="dxa"/>
              <w:right w:w="15" w:type="dxa"/>
            </w:tcMar>
            <w:hideMark/>
          </w:tcPr>
          <w:p w14:paraId="683C4BA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reserve</w:t>
            </w:r>
          </w:p>
        </w:tc>
        <w:tc>
          <w:tcPr>
            <w:tcW w:w="199" w:type="dxa"/>
            <w:shd w:val="clear" w:color="auto" w:fill="CFF0FC"/>
            <w:tcMar>
              <w:top w:w="15" w:type="dxa"/>
              <w:left w:w="0" w:type="dxa"/>
              <w:bottom w:w="0" w:type="dxa"/>
              <w:right w:w="15" w:type="dxa"/>
            </w:tcMar>
            <w:vAlign w:val="bottom"/>
            <w:hideMark/>
          </w:tcPr>
          <w:p w14:paraId="6C2EA7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4D5DF5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9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BE5CB7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56.1</w:t>
            </w:r>
          </w:p>
        </w:tc>
        <w:tc>
          <w:tcPr>
            <w:tcW w:w="191" w:type="dxa"/>
            <w:shd w:val="clear" w:color="auto" w:fill="CFF0FC"/>
            <w:noWrap/>
            <w:tcMar>
              <w:top w:w="15" w:type="dxa"/>
              <w:left w:w="0" w:type="dxa"/>
              <w:bottom w:w="0" w:type="dxa"/>
              <w:right w:w="15" w:type="dxa"/>
            </w:tcMar>
            <w:vAlign w:val="bottom"/>
            <w:hideMark/>
          </w:tcPr>
          <w:p w14:paraId="29BBA3A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9" w:type="dxa"/>
            <w:shd w:val="clear" w:color="auto" w:fill="CFF0FC"/>
            <w:tcMar>
              <w:top w:w="15" w:type="dxa"/>
              <w:left w:w="0" w:type="dxa"/>
              <w:bottom w:w="0" w:type="dxa"/>
              <w:right w:w="15" w:type="dxa"/>
            </w:tcMar>
            <w:vAlign w:val="bottom"/>
            <w:hideMark/>
          </w:tcPr>
          <w:p w14:paraId="1E81BD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25902D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4"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BCE72E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108.8</w:t>
            </w:r>
          </w:p>
        </w:tc>
        <w:tc>
          <w:tcPr>
            <w:tcW w:w="191" w:type="dxa"/>
            <w:shd w:val="clear" w:color="auto" w:fill="CFF0FC"/>
            <w:noWrap/>
            <w:tcMar>
              <w:top w:w="15" w:type="dxa"/>
              <w:left w:w="0" w:type="dxa"/>
              <w:bottom w:w="0" w:type="dxa"/>
              <w:right w:w="15" w:type="dxa"/>
            </w:tcMar>
            <w:vAlign w:val="bottom"/>
            <w:hideMark/>
          </w:tcPr>
          <w:p w14:paraId="1A1BEE4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9" w:type="dxa"/>
            <w:shd w:val="clear" w:color="auto" w:fill="CFF0FC"/>
            <w:tcMar>
              <w:top w:w="15" w:type="dxa"/>
              <w:left w:w="0" w:type="dxa"/>
              <w:bottom w:w="0" w:type="dxa"/>
              <w:right w:w="15" w:type="dxa"/>
            </w:tcMar>
            <w:vAlign w:val="bottom"/>
            <w:hideMark/>
          </w:tcPr>
          <w:p w14:paraId="3C91D1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124805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4"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05C0B1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(10.1</w:t>
            </w:r>
          </w:p>
        </w:tc>
        <w:tc>
          <w:tcPr>
            <w:tcW w:w="191" w:type="dxa"/>
            <w:shd w:val="clear" w:color="auto" w:fill="CFF0FC"/>
            <w:noWrap/>
            <w:tcMar>
              <w:top w:w="15" w:type="dxa"/>
              <w:left w:w="0" w:type="dxa"/>
              <w:bottom w:w="0" w:type="dxa"/>
              <w:right w:w="15" w:type="dxa"/>
            </w:tcMar>
            <w:vAlign w:val="bottom"/>
            <w:hideMark/>
          </w:tcPr>
          <w:p w14:paraId="5622D68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9" w:type="dxa"/>
            <w:shd w:val="clear" w:color="auto" w:fill="CFF0FC"/>
            <w:tcMar>
              <w:top w:w="15" w:type="dxa"/>
              <w:left w:w="0" w:type="dxa"/>
              <w:bottom w:w="0" w:type="dxa"/>
              <w:right w:w="15" w:type="dxa"/>
            </w:tcMar>
            <w:vAlign w:val="bottom"/>
            <w:hideMark/>
          </w:tcPr>
          <w:p w14:paraId="118E1E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42CDDC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4"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8447CB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(38.4</w:t>
            </w:r>
          </w:p>
        </w:tc>
        <w:tc>
          <w:tcPr>
            <w:tcW w:w="191" w:type="dxa"/>
            <w:shd w:val="clear" w:color="auto" w:fill="CFF0FC"/>
            <w:noWrap/>
            <w:tcMar>
              <w:top w:w="15" w:type="dxa"/>
              <w:left w:w="0" w:type="dxa"/>
              <w:bottom w:w="0" w:type="dxa"/>
              <w:right w:w="15" w:type="dxa"/>
            </w:tcMar>
            <w:vAlign w:val="bottom"/>
            <w:hideMark/>
          </w:tcPr>
          <w:p w14:paraId="16719AD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99" w:type="dxa"/>
            <w:shd w:val="clear" w:color="auto" w:fill="CFF0FC"/>
            <w:tcMar>
              <w:top w:w="15" w:type="dxa"/>
              <w:left w:w="0" w:type="dxa"/>
              <w:bottom w:w="0" w:type="dxa"/>
              <w:right w:w="15" w:type="dxa"/>
            </w:tcMar>
            <w:vAlign w:val="bottom"/>
            <w:hideMark/>
          </w:tcPr>
          <w:p w14:paraId="1F4E68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E031F6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4"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8D92B7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9.5</w:t>
            </w:r>
          </w:p>
        </w:tc>
        <w:tc>
          <w:tcPr>
            <w:tcW w:w="191" w:type="dxa"/>
            <w:shd w:val="clear" w:color="auto" w:fill="CFF0FC"/>
            <w:noWrap/>
            <w:tcMar>
              <w:top w:w="15" w:type="dxa"/>
              <w:left w:w="0" w:type="dxa"/>
              <w:bottom w:w="0" w:type="dxa"/>
              <w:right w:w="15" w:type="dxa"/>
            </w:tcMar>
            <w:vAlign w:val="bottom"/>
            <w:hideMark/>
          </w:tcPr>
          <w:p w14:paraId="3E65DED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9" w:type="dxa"/>
            <w:shd w:val="clear" w:color="auto" w:fill="CFF0FC"/>
            <w:tcMar>
              <w:top w:w="15" w:type="dxa"/>
              <w:left w:w="0" w:type="dxa"/>
              <w:bottom w:w="0" w:type="dxa"/>
              <w:right w:w="15" w:type="dxa"/>
            </w:tcMar>
            <w:vAlign w:val="bottom"/>
            <w:hideMark/>
          </w:tcPr>
          <w:p w14:paraId="652260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2DA27A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9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62F839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125.9</w:t>
            </w:r>
          </w:p>
        </w:tc>
        <w:tc>
          <w:tcPr>
            <w:tcW w:w="192" w:type="dxa"/>
            <w:shd w:val="clear" w:color="auto" w:fill="CFF0FC"/>
            <w:noWrap/>
            <w:tcMar>
              <w:top w:w="15" w:type="dxa"/>
              <w:left w:w="0" w:type="dxa"/>
              <w:bottom w:w="0" w:type="dxa"/>
              <w:right w:w="15" w:type="dxa"/>
            </w:tcMar>
            <w:vAlign w:val="bottom"/>
            <w:hideMark/>
          </w:tcPr>
          <w:p w14:paraId="57D7F692"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11C71F37" w14:textId="77777777" w:rsidR="00AC4931" w:rsidRPr="00AC4931" w:rsidRDefault="00AC4931" w:rsidP="00AC4931">
      <w:pPr>
        <w:widowControl/>
        <w:rPr>
          <w:rFonts w:ascii="宋体" w:eastAsia="宋体" w:hAnsi="宋体" w:cs="宋体"/>
          <w:b/>
          <w:bCs/>
          <w:kern w:val="0"/>
          <w:sz w:val="24"/>
          <w:szCs w:val="24"/>
        </w:rPr>
      </w:pPr>
      <w:r w:rsidRPr="00AC4931">
        <w:rPr>
          <w:rFonts w:ascii="宋体" w:eastAsia="宋体" w:hAnsi="宋体" w:cs="宋体"/>
          <w:b/>
          <w:bCs/>
          <w:kern w:val="0"/>
          <w:sz w:val="24"/>
          <w:szCs w:val="24"/>
        </w:rPr>
        <w:t> </w:t>
      </w:r>
    </w:p>
    <w:p w14:paraId="1F053AAD" w14:textId="77777777" w:rsidR="00AC4931" w:rsidRPr="00AC4931" w:rsidRDefault="00AC4931" w:rsidP="00AC4931">
      <w:pPr>
        <w:widowControl/>
        <w:spacing w:before="100"/>
        <w:rPr>
          <w:rFonts w:ascii="Arial" w:eastAsia="宋体" w:hAnsi="Arial" w:cs="Arial"/>
          <w:b/>
          <w:bCs/>
          <w:kern w:val="0"/>
          <w:sz w:val="18"/>
          <w:szCs w:val="18"/>
        </w:rPr>
      </w:pPr>
      <w:r w:rsidRPr="00AC4931">
        <w:rPr>
          <w:rFonts w:ascii="Arial" w:eastAsia="宋体" w:hAnsi="Arial" w:cs="Arial"/>
          <w:b/>
          <w:bCs/>
          <w:kern w:val="0"/>
          <w:sz w:val="18"/>
          <w:szCs w:val="18"/>
        </w:rPr>
        <w:t>2019</w:t>
      </w:r>
    </w:p>
    <w:p w14:paraId="26A8D372"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provision recorded in 2019 of $56.9 million mainly related to the Structural efficiency program initiated in the second quarter of 2019. The total cost of the Structural efficiency program was expected to be $52.0 million, and as of December 31, 2019, approximately $23 million out of the $56.1 million total reserve balance could be attributed to these activities. The remaining balance related to older restructuring programs, primarily in Western Europe. Cash payments in 2019 </w:t>
      </w:r>
      <w:r w:rsidRPr="00AC4931">
        <w:rPr>
          <w:rFonts w:ascii="Arial" w:eastAsia="宋体" w:hAnsi="Arial" w:cs="Arial"/>
          <w:color w:val="000000"/>
          <w:kern w:val="0"/>
          <w:sz w:val="18"/>
          <w:szCs w:val="18"/>
        </w:rPr>
        <w:t>mainly related to the Structural efficiency program initiated in 2019</w:t>
      </w:r>
      <w:r w:rsidRPr="00AC4931">
        <w:rPr>
          <w:rFonts w:ascii="Arial" w:eastAsia="宋体" w:hAnsi="Arial" w:cs="Arial"/>
          <w:kern w:val="0"/>
          <w:sz w:val="18"/>
          <w:szCs w:val="18"/>
        </w:rPr>
        <w:t>. The table below summarizes the change in the balance sheet position of the restructuring reserves from December 31, 2018 to December 31, 2019 (dollars in millions).</w:t>
      </w:r>
    </w:p>
    <w:p w14:paraId="35C472AA"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7041"/>
        <w:gridCol w:w="201"/>
        <w:gridCol w:w="201"/>
        <w:gridCol w:w="1824"/>
        <w:gridCol w:w="201"/>
        <w:gridCol w:w="202"/>
        <w:gridCol w:w="201"/>
        <w:gridCol w:w="1575"/>
        <w:gridCol w:w="201"/>
        <w:gridCol w:w="202"/>
        <w:gridCol w:w="201"/>
        <w:gridCol w:w="1575"/>
        <w:gridCol w:w="201"/>
        <w:gridCol w:w="202"/>
        <w:gridCol w:w="201"/>
        <w:gridCol w:w="1575"/>
        <w:gridCol w:w="201"/>
        <w:gridCol w:w="202"/>
        <w:gridCol w:w="201"/>
        <w:gridCol w:w="1575"/>
        <w:gridCol w:w="201"/>
        <w:gridCol w:w="202"/>
        <w:gridCol w:w="201"/>
        <w:gridCol w:w="1824"/>
        <w:gridCol w:w="203"/>
      </w:tblGrid>
      <w:tr w:rsidR="00AC4931" w:rsidRPr="00AC4931" w14:paraId="65196F7B" w14:textId="77777777" w:rsidTr="00AC4931">
        <w:tc>
          <w:tcPr>
            <w:tcW w:w="6978" w:type="dxa"/>
            <w:shd w:val="clear" w:color="auto" w:fill="FFFFFF"/>
            <w:tcMar>
              <w:top w:w="15" w:type="dxa"/>
              <w:left w:w="0" w:type="dxa"/>
              <w:bottom w:w="0" w:type="dxa"/>
              <w:right w:w="15" w:type="dxa"/>
            </w:tcMar>
            <w:vAlign w:val="bottom"/>
            <w:hideMark/>
          </w:tcPr>
          <w:p w14:paraId="4C6FAAB7"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00" w:type="dxa"/>
            <w:shd w:val="clear" w:color="auto" w:fill="FFFFFF"/>
            <w:tcMar>
              <w:top w:w="15" w:type="dxa"/>
              <w:left w:w="0" w:type="dxa"/>
              <w:bottom w:w="0" w:type="dxa"/>
              <w:right w:w="15" w:type="dxa"/>
            </w:tcMar>
            <w:vAlign w:val="bottom"/>
            <w:hideMark/>
          </w:tcPr>
          <w:p w14:paraId="72F508D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9" w:type="dxa"/>
            <w:gridSpan w:val="2"/>
            <w:shd w:val="clear" w:color="auto" w:fill="FFFFFF"/>
            <w:tcMar>
              <w:top w:w="15" w:type="dxa"/>
              <w:left w:w="0" w:type="dxa"/>
              <w:bottom w:w="0" w:type="dxa"/>
              <w:right w:w="15" w:type="dxa"/>
            </w:tcMar>
            <w:vAlign w:val="bottom"/>
            <w:hideMark/>
          </w:tcPr>
          <w:p w14:paraId="3D61228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w:t>
            </w:r>
          </w:p>
        </w:tc>
        <w:tc>
          <w:tcPr>
            <w:tcW w:w="191" w:type="dxa"/>
            <w:shd w:val="clear" w:color="auto" w:fill="FFFFFF"/>
            <w:noWrap/>
            <w:tcMar>
              <w:top w:w="15" w:type="dxa"/>
              <w:left w:w="0" w:type="dxa"/>
              <w:bottom w:w="0" w:type="dxa"/>
              <w:right w:w="15" w:type="dxa"/>
            </w:tcMar>
            <w:vAlign w:val="bottom"/>
            <w:hideMark/>
          </w:tcPr>
          <w:p w14:paraId="5277849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4E25867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shd w:val="clear" w:color="auto" w:fill="FFFFFF"/>
            <w:tcMar>
              <w:top w:w="15" w:type="dxa"/>
              <w:left w:w="0" w:type="dxa"/>
              <w:bottom w:w="0" w:type="dxa"/>
              <w:right w:w="15" w:type="dxa"/>
            </w:tcMar>
            <w:vAlign w:val="bottom"/>
            <w:hideMark/>
          </w:tcPr>
          <w:p w14:paraId="10A5651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Provision/</w:t>
            </w:r>
          </w:p>
        </w:tc>
        <w:tc>
          <w:tcPr>
            <w:tcW w:w="191" w:type="dxa"/>
            <w:shd w:val="clear" w:color="auto" w:fill="FFFFFF"/>
            <w:noWrap/>
            <w:tcMar>
              <w:top w:w="15" w:type="dxa"/>
              <w:left w:w="0" w:type="dxa"/>
              <w:bottom w:w="0" w:type="dxa"/>
              <w:right w:w="15" w:type="dxa"/>
            </w:tcMar>
            <w:vAlign w:val="bottom"/>
            <w:hideMark/>
          </w:tcPr>
          <w:p w14:paraId="3425057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B4F90B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shd w:val="clear" w:color="auto" w:fill="FFFFFF"/>
            <w:tcMar>
              <w:top w:w="15" w:type="dxa"/>
              <w:left w:w="0" w:type="dxa"/>
              <w:bottom w:w="0" w:type="dxa"/>
              <w:right w:w="15" w:type="dxa"/>
            </w:tcMar>
            <w:vAlign w:val="bottom"/>
            <w:hideMark/>
          </w:tcPr>
          <w:p w14:paraId="066F278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Provision/</w:t>
            </w:r>
          </w:p>
        </w:tc>
        <w:tc>
          <w:tcPr>
            <w:tcW w:w="191" w:type="dxa"/>
            <w:shd w:val="clear" w:color="auto" w:fill="FFFFFF"/>
            <w:noWrap/>
            <w:tcMar>
              <w:top w:w="15" w:type="dxa"/>
              <w:left w:w="0" w:type="dxa"/>
              <w:bottom w:w="0" w:type="dxa"/>
              <w:right w:w="15" w:type="dxa"/>
            </w:tcMar>
            <w:vAlign w:val="bottom"/>
            <w:hideMark/>
          </w:tcPr>
          <w:p w14:paraId="714B38B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DCC58F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shd w:val="clear" w:color="auto" w:fill="FFFFFF"/>
            <w:tcMar>
              <w:top w:w="15" w:type="dxa"/>
              <w:left w:w="0" w:type="dxa"/>
              <w:bottom w:w="0" w:type="dxa"/>
              <w:right w:w="15" w:type="dxa"/>
            </w:tcMar>
            <w:vAlign w:val="bottom"/>
            <w:hideMark/>
          </w:tcPr>
          <w:p w14:paraId="537DDF7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Cash</w:t>
            </w:r>
          </w:p>
        </w:tc>
        <w:tc>
          <w:tcPr>
            <w:tcW w:w="191" w:type="dxa"/>
            <w:shd w:val="clear" w:color="auto" w:fill="FFFFFF"/>
            <w:noWrap/>
            <w:tcMar>
              <w:top w:w="15" w:type="dxa"/>
              <w:left w:w="0" w:type="dxa"/>
              <w:bottom w:w="0" w:type="dxa"/>
              <w:right w:w="15" w:type="dxa"/>
            </w:tcMar>
            <w:vAlign w:val="bottom"/>
            <w:hideMark/>
          </w:tcPr>
          <w:p w14:paraId="1EF282B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88D7FF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shd w:val="clear" w:color="auto" w:fill="FFFFFF"/>
            <w:tcMar>
              <w:top w:w="15" w:type="dxa"/>
              <w:left w:w="0" w:type="dxa"/>
              <w:bottom w:w="0" w:type="dxa"/>
              <w:right w:w="15" w:type="dxa"/>
            </w:tcMar>
            <w:vAlign w:val="bottom"/>
            <w:hideMark/>
          </w:tcPr>
          <w:p w14:paraId="47723C1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Translation</w:t>
            </w:r>
          </w:p>
        </w:tc>
        <w:tc>
          <w:tcPr>
            <w:tcW w:w="191" w:type="dxa"/>
            <w:shd w:val="clear" w:color="auto" w:fill="FFFFFF"/>
            <w:noWrap/>
            <w:tcMar>
              <w:top w:w="15" w:type="dxa"/>
              <w:left w:w="0" w:type="dxa"/>
              <w:bottom w:w="0" w:type="dxa"/>
              <w:right w:w="15" w:type="dxa"/>
            </w:tcMar>
            <w:vAlign w:val="bottom"/>
            <w:hideMark/>
          </w:tcPr>
          <w:p w14:paraId="0478C5C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8493C3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9" w:type="dxa"/>
            <w:gridSpan w:val="2"/>
            <w:shd w:val="clear" w:color="auto" w:fill="FFFFFF"/>
            <w:tcMar>
              <w:top w:w="15" w:type="dxa"/>
              <w:left w:w="0" w:type="dxa"/>
              <w:bottom w:w="0" w:type="dxa"/>
              <w:right w:w="15" w:type="dxa"/>
            </w:tcMar>
            <w:vAlign w:val="bottom"/>
            <w:hideMark/>
          </w:tcPr>
          <w:p w14:paraId="1C96DAC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w:t>
            </w:r>
          </w:p>
        </w:tc>
        <w:tc>
          <w:tcPr>
            <w:tcW w:w="193" w:type="dxa"/>
            <w:shd w:val="clear" w:color="auto" w:fill="FFFFFF"/>
            <w:noWrap/>
            <w:tcMar>
              <w:top w:w="15" w:type="dxa"/>
              <w:left w:w="0" w:type="dxa"/>
              <w:bottom w:w="0" w:type="dxa"/>
              <w:right w:w="15" w:type="dxa"/>
            </w:tcMar>
            <w:vAlign w:val="bottom"/>
            <w:hideMark/>
          </w:tcPr>
          <w:p w14:paraId="6254AA6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4E0EA9E0" w14:textId="77777777" w:rsidTr="00AC4931">
        <w:tc>
          <w:tcPr>
            <w:tcW w:w="6978" w:type="dxa"/>
            <w:shd w:val="clear" w:color="auto" w:fill="FFFFFF"/>
            <w:tcMar>
              <w:top w:w="15" w:type="dxa"/>
              <w:left w:w="0" w:type="dxa"/>
              <w:bottom w:w="0" w:type="dxa"/>
              <w:right w:w="15" w:type="dxa"/>
            </w:tcMar>
            <w:vAlign w:val="bottom"/>
            <w:hideMark/>
          </w:tcPr>
          <w:p w14:paraId="1BD6A18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3FF2B0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9" w:type="dxa"/>
            <w:gridSpan w:val="2"/>
            <w:tcBorders>
              <w:bottom w:val="single" w:sz="6" w:space="0" w:color="000000"/>
            </w:tcBorders>
            <w:shd w:val="clear" w:color="auto" w:fill="FFFFFF"/>
            <w:tcMar>
              <w:top w:w="15" w:type="dxa"/>
              <w:left w:w="0" w:type="dxa"/>
              <w:bottom w:w="0" w:type="dxa"/>
              <w:right w:w="15" w:type="dxa"/>
            </w:tcMar>
            <w:vAlign w:val="bottom"/>
            <w:hideMark/>
          </w:tcPr>
          <w:p w14:paraId="3F21AE5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91" w:type="dxa"/>
            <w:shd w:val="clear" w:color="auto" w:fill="FFFFFF"/>
            <w:noWrap/>
            <w:tcMar>
              <w:top w:w="15" w:type="dxa"/>
              <w:left w:w="0" w:type="dxa"/>
              <w:bottom w:w="0" w:type="dxa"/>
              <w:right w:w="15" w:type="dxa"/>
            </w:tcMar>
            <w:vAlign w:val="bottom"/>
            <w:hideMark/>
          </w:tcPr>
          <w:p w14:paraId="0A2A057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91F7E9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tcBorders>
              <w:bottom w:val="single" w:sz="6" w:space="0" w:color="000000"/>
            </w:tcBorders>
            <w:shd w:val="clear" w:color="auto" w:fill="FFFFFF"/>
            <w:tcMar>
              <w:top w:w="15" w:type="dxa"/>
              <w:left w:w="0" w:type="dxa"/>
              <w:bottom w:w="0" w:type="dxa"/>
              <w:right w:w="15" w:type="dxa"/>
            </w:tcMar>
            <w:vAlign w:val="bottom"/>
            <w:hideMark/>
          </w:tcPr>
          <w:p w14:paraId="1849409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Charge</w:t>
            </w:r>
          </w:p>
        </w:tc>
        <w:tc>
          <w:tcPr>
            <w:tcW w:w="191" w:type="dxa"/>
            <w:shd w:val="clear" w:color="auto" w:fill="FFFFFF"/>
            <w:noWrap/>
            <w:tcMar>
              <w:top w:w="15" w:type="dxa"/>
              <w:left w:w="0" w:type="dxa"/>
              <w:bottom w:w="0" w:type="dxa"/>
              <w:right w:w="15" w:type="dxa"/>
            </w:tcMar>
            <w:vAlign w:val="bottom"/>
            <w:hideMark/>
          </w:tcPr>
          <w:p w14:paraId="4D3F24B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A6F534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tcBorders>
              <w:bottom w:val="single" w:sz="6" w:space="0" w:color="000000"/>
            </w:tcBorders>
            <w:shd w:val="clear" w:color="auto" w:fill="FFFFFF"/>
            <w:tcMar>
              <w:top w:w="15" w:type="dxa"/>
              <w:left w:w="0" w:type="dxa"/>
              <w:bottom w:w="0" w:type="dxa"/>
              <w:right w:w="15" w:type="dxa"/>
            </w:tcMar>
            <w:vAlign w:val="bottom"/>
            <w:hideMark/>
          </w:tcPr>
          <w:p w14:paraId="6BD9738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Reversal</w:t>
            </w:r>
          </w:p>
        </w:tc>
        <w:tc>
          <w:tcPr>
            <w:tcW w:w="191" w:type="dxa"/>
            <w:shd w:val="clear" w:color="auto" w:fill="FFFFFF"/>
            <w:noWrap/>
            <w:tcMar>
              <w:top w:w="15" w:type="dxa"/>
              <w:left w:w="0" w:type="dxa"/>
              <w:bottom w:w="0" w:type="dxa"/>
              <w:right w:w="15" w:type="dxa"/>
            </w:tcMar>
            <w:vAlign w:val="bottom"/>
            <w:hideMark/>
          </w:tcPr>
          <w:p w14:paraId="1031BB2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EE5177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tcBorders>
              <w:bottom w:val="single" w:sz="6" w:space="0" w:color="000000"/>
            </w:tcBorders>
            <w:shd w:val="clear" w:color="auto" w:fill="FFFFFF"/>
            <w:tcMar>
              <w:top w:w="15" w:type="dxa"/>
              <w:left w:w="0" w:type="dxa"/>
              <w:bottom w:w="0" w:type="dxa"/>
              <w:right w:w="15" w:type="dxa"/>
            </w:tcMar>
            <w:vAlign w:val="bottom"/>
            <w:hideMark/>
          </w:tcPr>
          <w:p w14:paraId="15C108D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payments</w:t>
            </w:r>
          </w:p>
        </w:tc>
        <w:tc>
          <w:tcPr>
            <w:tcW w:w="191" w:type="dxa"/>
            <w:shd w:val="clear" w:color="auto" w:fill="FFFFFF"/>
            <w:noWrap/>
            <w:tcMar>
              <w:top w:w="15" w:type="dxa"/>
              <w:left w:w="0" w:type="dxa"/>
              <w:bottom w:w="0" w:type="dxa"/>
              <w:right w:w="15" w:type="dxa"/>
            </w:tcMar>
            <w:vAlign w:val="bottom"/>
            <w:hideMark/>
          </w:tcPr>
          <w:p w14:paraId="297D023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3BC9BC5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tcBorders>
              <w:bottom w:val="single" w:sz="6" w:space="0" w:color="000000"/>
            </w:tcBorders>
            <w:shd w:val="clear" w:color="auto" w:fill="FFFFFF"/>
            <w:tcMar>
              <w:top w:w="15" w:type="dxa"/>
              <w:left w:w="0" w:type="dxa"/>
              <w:bottom w:w="0" w:type="dxa"/>
              <w:right w:w="15" w:type="dxa"/>
            </w:tcMar>
            <w:vAlign w:val="bottom"/>
            <w:hideMark/>
          </w:tcPr>
          <w:p w14:paraId="454BF5D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difference</w:t>
            </w:r>
          </w:p>
        </w:tc>
        <w:tc>
          <w:tcPr>
            <w:tcW w:w="191" w:type="dxa"/>
            <w:shd w:val="clear" w:color="auto" w:fill="FFFFFF"/>
            <w:noWrap/>
            <w:tcMar>
              <w:top w:w="15" w:type="dxa"/>
              <w:left w:w="0" w:type="dxa"/>
              <w:bottom w:w="0" w:type="dxa"/>
              <w:right w:w="15" w:type="dxa"/>
            </w:tcMar>
            <w:vAlign w:val="bottom"/>
            <w:hideMark/>
          </w:tcPr>
          <w:p w14:paraId="0E23A3A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84945D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9" w:type="dxa"/>
            <w:gridSpan w:val="2"/>
            <w:tcBorders>
              <w:bottom w:val="single" w:sz="6" w:space="0" w:color="000000"/>
            </w:tcBorders>
            <w:shd w:val="clear" w:color="auto" w:fill="FFFFFF"/>
            <w:tcMar>
              <w:top w:w="15" w:type="dxa"/>
              <w:left w:w="0" w:type="dxa"/>
              <w:bottom w:w="0" w:type="dxa"/>
              <w:right w:w="15" w:type="dxa"/>
            </w:tcMar>
            <w:vAlign w:val="bottom"/>
            <w:hideMark/>
          </w:tcPr>
          <w:p w14:paraId="7E09D1C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3" w:type="dxa"/>
            <w:shd w:val="clear" w:color="auto" w:fill="FFFFFF"/>
            <w:noWrap/>
            <w:tcMar>
              <w:top w:w="15" w:type="dxa"/>
              <w:left w:w="0" w:type="dxa"/>
              <w:bottom w:w="0" w:type="dxa"/>
              <w:right w:w="15" w:type="dxa"/>
            </w:tcMar>
            <w:vAlign w:val="bottom"/>
            <w:hideMark/>
          </w:tcPr>
          <w:p w14:paraId="59C0A1D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9B4616D" w14:textId="77777777" w:rsidTr="00AC4931">
        <w:tc>
          <w:tcPr>
            <w:tcW w:w="6978" w:type="dxa"/>
            <w:shd w:val="clear" w:color="auto" w:fill="CFF0FC"/>
            <w:tcMar>
              <w:top w:w="15" w:type="dxa"/>
              <w:left w:w="0" w:type="dxa"/>
              <w:bottom w:w="0" w:type="dxa"/>
              <w:right w:w="15" w:type="dxa"/>
            </w:tcMar>
            <w:hideMark/>
          </w:tcPr>
          <w:p w14:paraId="2397C3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Restructuring employee-related</w:t>
            </w:r>
          </w:p>
        </w:tc>
        <w:tc>
          <w:tcPr>
            <w:tcW w:w="200" w:type="dxa"/>
            <w:shd w:val="clear" w:color="auto" w:fill="CFF0FC"/>
            <w:tcMar>
              <w:top w:w="15" w:type="dxa"/>
              <w:left w:w="0" w:type="dxa"/>
              <w:bottom w:w="0" w:type="dxa"/>
              <w:right w:w="15" w:type="dxa"/>
            </w:tcMar>
            <w:vAlign w:val="bottom"/>
            <w:hideMark/>
          </w:tcPr>
          <w:p w14:paraId="102A56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33313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93" w:type="dxa"/>
            <w:tcBorders>
              <w:top w:val="single" w:sz="6" w:space="0" w:color="000000"/>
            </w:tcBorders>
            <w:shd w:val="clear" w:color="auto" w:fill="CFF0FC"/>
            <w:noWrap/>
            <w:tcMar>
              <w:top w:w="15" w:type="dxa"/>
              <w:left w:w="0" w:type="dxa"/>
              <w:bottom w:w="0" w:type="dxa"/>
              <w:right w:w="15" w:type="dxa"/>
            </w:tcMar>
            <w:vAlign w:val="bottom"/>
            <w:hideMark/>
          </w:tcPr>
          <w:p w14:paraId="1992119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33.2</w:t>
            </w:r>
          </w:p>
        </w:tc>
        <w:tc>
          <w:tcPr>
            <w:tcW w:w="191" w:type="dxa"/>
            <w:shd w:val="clear" w:color="auto" w:fill="CFF0FC"/>
            <w:noWrap/>
            <w:tcMar>
              <w:top w:w="15" w:type="dxa"/>
              <w:left w:w="0" w:type="dxa"/>
              <w:bottom w:w="0" w:type="dxa"/>
              <w:right w:w="15" w:type="dxa"/>
            </w:tcMar>
            <w:vAlign w:val="bottom"/>
            <w:hideMark/>
          </w:tcPr>
          <w:p w14:paraId="13B9E1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CFF0FC"/>
            <w:tcMar>
              <w:top w:w="15" w:type="dxa"/>
              <w:left w:w="0" w:type="dxa"/>
              <w:bottom w:w="0" w:type="dxa"/>
              <w:right w:w="15" w:type="dxa"/>
            </w:tcMar>
            <w:vAlign w:val="bottom"/>
            <w:hideMark/>
          </w:tcPr>
          <w:p w14:paraId="5D16E5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26032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5" w:type="dxa"/>
            <w:tcBorders>
              <w:top w:val="single" w:sz="6" w:space="0" w:color="000000"/>
            </w:tcBorders>
            <w:shd w:val="clear" w:color="auto" w:fill="CFF0FC"/>
            <w:noWrap/>
            <w:tcMar>
              <w:top w:w="15" w:type="dxa"/>
              <w:left w:w="0" w:type="dxa"/>
              <w:bottom w:w="0" w:type="dxa"/>
              <w:right w:w="15" w:type="dxa"/>
            </w:tcMar>
            <w:vAlign w:val="bottom"/>
            <w:hideMark/>
          </w:tcPr>
          <w:p w14:paraId="4F8D5F3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56.9</w:t>
            </w:r>
          </w:p>
        </w:tc>
        <w:tc>
          <w:tcPr>
            <w:tcW w:w="191" w:type="dxa"/>
            <w:shd w:val="clear" w:color="auto" w:fill="CFF0FC"/>
            <w:noWrap/>
            <w:tcMar>
              <w:top w:w="15" w:type="dxa"/>
              <w:left w:w="0" w:type="dxa"/>
              <w:bottom w:w="0" w:type="dxa"/>
              <w:right w:w="15" w:type="dxa"/>
            </w:tcMar>
            <w:vAlign w:val="bottom"/>
            <w:hideMark/>
          </w:tcPr>
          <w:p w14:paraId="7D8AD3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CFF0FC"/>
            <w:tcMar>
              <w:top w:w="15" w:type="dxa"/>
              <w:left w:w="0" w:type="dxa"/>
              <w:bottom w:w="0" w:type="dxa"/>
              <w:right w:w="15" w:type="dxa"/>
            </w:tcMar>
            <w:vAlign w:val="bottom"/>
            <w:hideMark/>
          </w:tcPr>
          <w:p w14:paraId="51F379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480C0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5" w:type="dxa"/>
            <w:tcBorders>
              <w:top w:val="single" w:sz="6" w:space="0" w:color="000000"/>
            </w:tcBorders>
            <w:shd w:val="clear" w:color="auto" w:fill="CFF0FC"/>
            <w:noWrap/>
            <w:tcMar>
              <w:top w:w="15" w:type="dxa"/>
              <w:left w:w="0" w:type="dxa"/>
              <w:bottom w:w="0" w:type="dxa"/>
              <w:right w:w="15" w:type="dxa"/>
            </w:tcMar>
            <w:vAlign w:val="bottom"/>
            <w:hideMark/>
          </w:tcPr>
          <w:p w14:paraId="5A623C4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w:t>
            </w:r>
          </w:p>
        </w:tc>
        <w:tc>
          <w:tcPr>
            <w:tcW w:w="191" w:type="dxa"/>
            <w:shd w:val="clear" w:color="auto" w:fill="CFF0FC"/>
            <w:noWrap/>
            <w:tcMar>
              <w:top w:w="15" w:type="dxa"/>
              <w:left w:w="0" w:type="dxa"/>
              <w:bottom w:w="0" w:type="dxa"/>
              <w:right w:w="15" w:type="dxa"/>
            </w:tcMar>
            <w:vAlign w:val="bottom"/>
            <w:hideMark/>
          </w:tcPr>
          <w:p w14:paraId="05AF82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39313B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0BA53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5" w:type="dxa"/>
            <w:tcBorders>
              <w:top w:val="single" w:sz="6" w:space="0" w:color="000000"/>
            </w:tcBorders>
            <w:shd w:val="clear" w:color="auto" w:fill="CFF0FC"/>
            <w:noWrap/>
            <w:tcMar>
              <w:top w:w="15" w:type="dxa"/>
              <w:left w:w="0" w:type="dxa"/>
              <w:bottom w:w="0" w:type="dxa"/>
              <w:right w:w="15" w:type="dxa"/>
            </w:tcMar>
            <w:vAlign w:val="bottom"/>
            <w:hideMark/>
          </w:tcPr>
          <w:p w14:paraId="773455D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(30.3</w:t>
            </w:r>
          </w:p>
        </w:tc>
        <w:tc>
          <w:tcPr>
            <w:tcW w:w="191" w:type="dxa"/>
            <w:shd w:val="clear" w:color="auto" w:fill="CFF0FC"/>
            <w:noWrap/>
            <w:tcMar>
              <w:top w:w="15" w:type="dxa"/>
              <w:left w:w="0" w:type="dxa"/>
              <w:bottom w:w="0" w:type="dxa"/>
              <w:right w:w="15" w:type="dxa"/>
            </w:tcMar>
            <w:vAlign w:val="bottom"/>
            <w:hideMark/>
          </w:tcPr>
          <w:p w14:paraId="2DCEFA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7868B8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48C2E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5" w:type="dxa"/>
            <w:tcBorders>
              <w:top w:val="single" w:sz="6" w:space="0" w:color="000000"/>
            </w:tcBorders>
            <w:shd w:val="clear" w:color="auto" w:fill="CFF0FC"/>
            <w:noWrap/>
            <w:tcMar>
              <w:top w:w="15" w:type="dxa"/>
              <w:left w:w="0" w:type="dxa"/>
              <w:bottom w:w="0" w:type="dxa"/>
              <w:right w:w="15" w:type="dxa"/>
            </w:tcMar>
            <w:vAlign w:val="bottom"/>
            <w:hideMark/>
          </w:tcPr>
          <w:p w14:paraId="70D9FD4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w:t>
            </w:r>
          </w:p>
        </w:tc>
        <w:tc>
          <w:tcPr>
            <w:tcW w:w="191" w:type="dxa"/>
            <w:shd w:val="clear" w:color="auto" w:fill="CFF0FC"/>
            <w:noWrap/>
            <w:tcMar>
              <w:top w:w="15" w:type="dxa"/>
              <w:left w:w="0" w:type="dxa"/>
              <w:bottom w:w="0" w:type="dxa"/>
              <w:right w:w="15" w:type="dxa"/>
            </w:tcMar>
            <w:vAlign w:val="bottom"/>
            <w:hideMark/>
          </w:tcPr>
          <w:p w14:paraId="75D709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55982D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A1224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93" w:type="dxa"/>
            <w:tcBorders>
              <w:top w:val="single" w:sz="6" w:space="0" w:color="000000"/>
            </w:tcBorders>
            <w:shd w:val="clear" w:color="auto" w:fill="CFF0FC"/>
            <w:noWrap/>
            <w:tcMar>
              <w:top w:w="15" w:type="dxa"/>
              <w:left w:w="0" w:type="dxa"/>
              <w:bottom w:w="0" w:type="dxa"/>
              <w:right w:w="15" w:type="dxa"/>
            </w:tcMar>
            <w:vAlign w:val="bottom"/>
            <w:hideMark/>
          </w:tcPr>
          <w:p w14:paraId="34FEE96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55.9</w:t>
            </w:r>
          </w:p>
        </w:tc>
        <w:tc>
          <w:tcPr>
            <w:tcW w:w="193" w:type="dxa"/>
            <w:shd w:val="clear" w:color="auto" w:fill="CFF0FC"/>
            <w:noWrap/>
            <w:tcMar>
              <w:top w:w="15" w:type="dxa"/>
              <w:left w:w="0" w:type="dxa"/>
              <w:bottom w:w="0" w:type="dxa"/>
              <w:right w:w="15" w:type="dxa"/>
            </w:tcMar>
            <w:vAlign w:val="bottom"/>
            <w:hideMark/>
          </w:tcPr>
          <w:p w14:paraId="324E1C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EC59004" w14:textId="77777777" w:rsidTr="00AC4931">
        <w:tc>
          <w:tcPr>
            <w:tcW w:w="6978" w:type="dxa"/>
            <w:shd w:val="clear" w:color="auto" w:fill="FFFFFF"/>
            <w:tcMar>
              <w:top w:w="15" w:type="dxa"/>
              <w:left w:w="0" w:type="dxa"/>
              <w:bottom w:w="0" w:type="dxa"/>
              <w:right w:w="15" w:type="dxa"/>
            </w:tcMar>
            <w:hideMark/>
          </w:tcPr>
          <w:p w14:paraId="180A9B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w:t>
            </w:r>
          </w:p>
        </w:tc>
        <w:tc>
          <w:tcPr>
            <w:tcW w:w="200" w:type="dxa"/>
            <w:shd w:val="clear" w:color="auto" w:fill="FFFFFF"/>
            <w:tcMar>
              <w:top w:w="15" w:type="dxa"/>
              <w:left w:w="0" w:type="dxa"/>
              <w:bottom w:w="0" w:type="dxa"/>
              <w:right w:w="15" w:type="dxa"/>
            </w:tcMar>
            <w:vAlign w:val="bottom"/>
            <w:hideMark/>
          </w:tcPr>
          <w:p w14:paraId="69F085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B475C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93" w:type="dxa"/>
            <w:tcBorders>
              <w:bottom w:val="single" w:sz="6" w:space="0" w:color="000000"/>
            </w:tcBorders>
            <w:shd w:val="clear" w:color="auto" w:fill="FFFFFF"/>
            <w:noWrap/>
            <w:tcMar>
              <w:top w:w="15" w:type="dxa"/>
              <w:left w:w="0" w:type="dxa"/>
              <w:bottom w:w="0" w:type="dxa"/>
              <w:right w:w="15" w:type="dxa"/>
            </w:tcMar>
            <w:vAlign w:val="bottom"/>
            <w:hideMark/>
          </w:tcPr>
          <w:p w14:paraId="0BB2C23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91" w:type="dxa"/>
            <w:shd w:val="clear" w:color="auto" w:fill="FFFFFF"/>
            <w:noWrap/>
            <w:tcMar>
              <w:top w:w="15" w:type="dxa"/>
              <w:left w:w="0" w:type="dxa"/>
              <w:bottom w:w="0" w:type="dxa"/>
              <w:right w:w="15" w:type="dxa"/>
            </w:tcMar>
            <w:vAlign w:val="bottom"/>
            <w:hideMark/>
          </w:tcPr>
          <w:p w14:paraId="63D12C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FFFFFF"/>
            <w:tcMar>
              <w:top w:w="15" w:type="dxa"/>
              <w:left w:w="0" w:type="dxa"/>
              <w:bottom w:w="0" w:type="dxa"/>
              <w:right w:w="15" w:type="dxa"/>
            </w:tcMar>
            <w:vAlign w:val="bottom"/>
            <w:hideMark/>
          </w:tcPr>
          <w:p w14:paraId="6AA885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E1D42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5" w:type="dxa"/>
            <w:tcBorders>
              <w:bottom w:val="single" w:sz="6" w:space="0" w:color="000000"/>
            </w:tcBorders>
            <w:shd w:val="clear" w:color="auto" w:fill="FFFFFF"/>
            <w:noWrap/>
            <w:tcMar>
              <w:top w:w="15" w:type="dxa"/>
              <w:left w:w="0" w:type="dxa"/>
              <w:bottom w:w="0" w:type="dxa"/>
              <w:right w:w="15" w:type="dxa"/>
            </w:tcMar>
            <w:vAlign w:val="bottom"/>
            <w:hideMark/>
          </w:tcPr>
          <w:p w14:paraId="238BE2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488745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FFFFFF"/>
            <w:tcMar>
              <w:top w:w="15" w:type="dxa"/>
              <w:left w:w="0" w:type="dxa"/>
              <w:bottom w:w="0" w:type="dxa"/>
              <w:right w:w="15" w:type="dxa"/>
            </w:tcMar>
            <w:vAlign w:val="bottom"/>
            <w:hideMark/>
          </w:tcPr>
          <w:p w14:paraId="088715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15CD5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5" w:type="dxa"/>
            <w:tcBorders>
              <w:bottom w:val="single" w:sz="6" w:space="0" w:color="000000"/>
            </w:tcBorders>
            <w:shd w:val="clear" w:color="auto" w:fill="FFFFFF"/>
            <w:noWrap/>
            <w:tcMar>
              <w:top w:w="15" w:type="dxa"/>
              <w:left w:w="0" w:type="dxa"/>
              <w:bottom w:w="0" w:type="dxa"/>
              <w:right w:w="15" w:type="dxa"/>
            </w:tcMar>
            <w:vAlign w:val="bottom"/>
            <w:hideMark/>
          </w:tcPr>
          <w:p w14:paraId="21675E8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15A1F0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FFFFFF"/>
            <w:tcMar>
              <w:top w:w="15" w:type="dxa"/>
              <w:left w:w="0" w:type="dxa"/>
              <w:bottom w:w="0" w:type="dxa"/>
              <w:right w:w="15" w:type="dxa"/>
            </w:tcMar>
            <w:vAlign w:val="bottom"/>
            <w:hideMark/>
          </w:tcPr>
          <w:p w14:paraId="009921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DB7B8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5" w:type="dxa"/>
            <w:tcBorders>
              <w:bottom w:val="single" w:sz="6" w:space="0" w:color="000000"/>
            </w:tcBorders>
            <w:shd w:val="clear" w:color="auto" w:fill="FFFFFF"/>
            <w:noWrap/>
            <w:tcMar>
              <w:top w:w="15" w:type="dxa"/>
              <w:left w:w="0" w:type="dxa"/>
              <w:bottom w:w="0" w:type="dxa"/>
              <w:right w:w="15" w:type="dxa"/>
            </w:tcMar>
            <w:vAlign w:val="bottom"/>
            <w:hideMark/>
          </w:tcPr>
          <w:p w14:paraId="5C34791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6415A4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FFFFFF"/>
            <w:tcMar>
              <w:top w:w="15" w:type="dxa"/>
              <w:left w:w="0" w:type="dxa"/>
              <w:bottom w:w="0" w:type="dxa"/>
              <w:right w:w="15" w:type="dxa"/>
            </w:tcMar>
            <w:vAlign w:val="bottom"/>
            <w:hideMark/>
          </w:tcPr>
          <w:p w14:paraId="2D42AC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1CF9D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5" w:type="dxa"/>
            <w:tcBorders>
              <w:bottom w:val="single" w:sz="6" w:space="0" w:color="000000"/>
            </w:tcBorders>
            <w:shd w:val="clear" w:color="auto" w:fill="FFFFFF"/>
            <w:noWrap/>
            <w:tcMar>
              <w:top w:w="15" w:type="dxa"/>
              <w:left w:w="0" w:type="dxa"/>
              <w:bottom w:w="0" w:type="dxa"/>
              <w:right w:w="15" w:type="dxa"/>
            </w:tcMar>
            <w:vAlign w:val="bottom"/>
            <w:hideMark/>
          </w:tcPr>
          <w:p w14:paraId="44DB3B5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91" w:type="dxa"/>
            <w:shd w:val="clear" w:color="auto" w:fill="FFFFFF"/>
            <w:noWrap/>
            <w:tcMar>
              <w:top w:w="15" w:type="dxa"/>
              <w:left w:w="0" w:type="dxa"/>
              <w:bottom w:w="0" w:type="dxa"/>
              <w:right w:w="15" w:type="dxa"/>
            </w:tcMar>
            <w:vAlign w:val="bottom"/>
            <w:hideMark/>
          </w:tcPr>
          <w:p w14:paraId="297FE5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FFFFFF"/>
            <w:tcMar>
              <w:top w:w="15" w:type="dxa"/>
              <w:left w:w="0" w:type="dxa"/>
              <w:bottom w:w="0" w:type="dxa"/>
              <w:right w:w="15" w:type="dxa"/>
            </w:tcMar>
            <w:vAlign w:val="bottom"/>
            <w:hideMark/>
          </w:tcPr>
          <w:p w14:paraId="2AA56C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73A80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93" w:type="dxa"/>
            <w:tcBorders>
              <w:bottom w:val="single" w:sz="6" w:space="0" w:color="000000"/>
            </w:tcBorders>
            <w:shd w:val="clear" w:color="auto" w:fill="FFFFFF"/>
            <w:noWrap/>
            <w:tcMar>
              <w:top w:w="15" w:type="dxa"/>
              <w:left w:w="0" w:type="dxa"/>
              <w:bottom w:w="0" w:type="dxa"/>
              <w:right w:w="15" w:type="dxa"/>
            </w:tcMar>
            <w:vAlign w:val="bottom"/>
            <w:hideMark/>
          </w:tcPr>
          <w:p w14:paraId="0A68423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93" w:type="dxa"/>
            <w:shd w:val="clear" w:color="auto" w:fill="FFFFFF"/>
            <w:noWrap/>
            <w:tcMar>
              <w:top w:w="15" w:type="dxa"/>
              <w:left w:w="0" w:type="dxa"/>
              <w:bottom w:w="0" w:type="dxa"/>
              <w:right w:w="15" w:type="dxa"/>
            </w:tcMar>
            <w:vAlign w:val="bottom"/>
            <w:hideMark/>
          </w:tcPr>
          <w:p w14:paraId="5CC14D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363868F" w14:textId="77777777" w:rsidTr="00AC4931">
        <w:tc>
          <w:tcPr>
            <w:tcW w:w="6978" w:type="dxa"/>
            <w:shd w:val="clear" w:color="auto" w:fill="CFF0FC"/>
            <w:tcMar>
              <w:top w:w="15" w:type="dxa"/>
              <w:left w:w="0" w:type="dxa"/>
              <w:bottom w:w="0" w:type="dxa"/>
              <w:right w:w="15" w:type="dxa"/>
            </w:tcMar>
            <w:hideMark/>
          </w:tcPr>
          <w:p w14:paraId="7C32D5B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Total reserve</w:t>
            </w:r>
          </w:p>
        </w:tc>
        <w:tc>
          <w:tcPr>
            <w:tcW w:w="200" w:type="dxa"/>
            <w:shd w:val="clear" w:color="auto" w:fill="CFF0FC"/>
            <w:tcMar>
              <w:top w:w="15" w:type="dxa"/>
              <w:left w:w="0" w:type="dxa"/>
              <w:bottom w:w="0" w:type="dxa"/>
              <w:right w:w="15" w:type="dxa"/>
            </w:tcMar>
            <w:vAlign w:val="bottom"/>
            <w:hideMark/>
          </w:tcPr>
          <w:p w14:paraId="453E06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77FE2C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93"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02CFFB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33.4</w:t>
            </w:r>
          </w:p>
        </w:tc>
        <w:tc>
          <w:tcPr>
            <w:tcW w:w="191" w:type="dxa"/>
            <w:shd w:val="clear" w:color="auto" w:fill="CFF0FC"/>
            <w:noWrap/>
            <w:tcMar>
              <w:top w:w="15" w:type="dxa"/>
              <w:left w:w="0" w:type="dxa"/>
              <w:bottom w:w="0" w:type="dxa"/>
              <w:right w:w="15" w:type="dxa"/>
            </w:tcMar>
            <w:vAlign w:val="bottom"/>
            <w:hideMark/>
          </w:tcPr>
          <w:p w14:paraId="595A9AC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00" w:type="dxa"/>
            <w:shd w:val="clear" w:color="auto" w:fill="CFF0FC"/>
            <w:tcMar>
              <w:top w:w="15" w:type="dxa"/>
              <w:left w:w="0" w:type="dxa"/>
              <w:bottom w:w="0" w:type="dxa"/>
              <w:right w:w="15" w:type="dxa"/>
            </w:tcMar>
            <w:vAlign w:val="bottom"/>
            <w:hideMark/>
          </w:tcPr>
          <w:p w14:paraId="03F148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A63D93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3916CD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56.9</w:t>
            </w:r>
          </w:p>
        </w:tc>
        <w:tc>
          <w:tcPr>
            <w:tcW w:w="191" w:type="dxa"/>
            <w:shd w:val="clear" w:color="auto" w:fill="CFF0FC"/>
            <w:noWrap/>
            <w:tcMar>
              <w:top w:w="15" w:type="dxa"/>
              <w:left w:w="0" w:type="dxa"/>
              <w:bottom w:w="0" w:type="dxa"/>
              <w:right w:w="15" w:type="dxa"/>
            </w:tcMar>
            <w:vAlign w:val="bottom"/>
            <w:hideMark/>
          </w:tcPr>
          <w:p w14:paraId="3D0A88F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00" w:type="dxa"/>
            <w:shd w:val="clear" w:color="auto" w:fill="CFF0FC"/>
            <w:tcMar>
              <w:top w:w="15" w:type="dxa"/>
              <w:left w:w="0" w:type="dxa"/>
              <w:bottom w:w="0" w:type="dxa"/>
              <w:right w:w="15" w:type="dxa"/>
            </w:tcMar>
            <w:vAlign w:val="bottom"/>
            <w:hideMark/>
          </w:tcPr>
          <w:p w14:paraId="58346E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E8F563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BEBE5C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(3.0</w:t>
            </w:r>
          </w:p>
        </w:tc>
        <w:tc>
          <w:tcPr>
            <w:tcW w:w="191" w:type="dxa"/>
            <w:shd w:val="clear" w:color="auto" w:fill="CFF0FC"/>
            <w:noWrap/>
            <w:tcMar>
              <w:top w:w="15" w:type="dxa"/>
              <w:left w:w="0" w:type="dxa"/>
              <w:bottom w:w="0" w:type="dxa"/>
              <w:right w:w="15" w:type="dxa"/>
            </w:tcMar>
            <w:vAlign w:val="bottom"/>
            <w:hideMark/>
          </w:tcPr>
          <w:p w14:paraId="73DA128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100590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08DCE5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B32B8B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(30.3</w:t>
            </w:r>
          </w:p>
        </w:tc>
        <w:tc>
          <w:tcPr>
            <w:tcW w:w="191" w:type="dxa"/>
            <w:shd w:val="clear" w:color="auto" w:fill="CFF0FC"/>
            <w:noWrap/>
            <w:tcMar>
              <w:top w:w="15" w:type="dxa"/>
              <w:left w:w="0" w:type="dxa"/>
              <w:bottom w:w="0" w:type="dxa"/>
              <w:right w:w="15" w:type="dxa"/>
            </w:tcMar>
            <w:vAlign w:val="bottom"/>
            <w:hideMark/>
          </w:tcPr>
          <w:p w14:paraId="03E5837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16F192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C9C4DA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35BD4F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(0.9</w:t>
            </w:r>
          </w:p>
        </w:tc>
        <w:tc>
          <w:tcPr>
            <w:tcW w:w="191" w:type="dxa"/>
            <w:shd w:val="clear" w:color="auto" w:fill="CFF0FC"/>
            <w:noWrap/>
            <w:tcMar>
              <w:top w:w="15" w:type="dxa"/>
              <w:left w:w="0" w:type="dxa"/>
              <w:bottom w:w="0" w:type="dxa"/>
              <w:right w:w="15" w:type="dxa"/>
            </w:tcMar>
            <w:vAlign w:val="bottom"/>
            <w:hideMark/>
          </w:tcPr>
          <w:p w14:paraId="1504C9C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73BE12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DDCEEC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93"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C0DE6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56.1</w:t>
            </w:r>
          </w:p>
        </w:tc>
        <w:tc>
          <w:tcPr>
            <w:tcW w:w="193" w:type="dxa"/>
            <w:shd w:val="clear" w:color="auto" w:fill="CFF0FC"/>
            <w:noWrap/>
            <w:tcMar>
              <w:top w:w="15" w:type="dxa"/>
              <w:left w:w="0" w:type="dxa"/>
              <w:bottom w:w="0" w:type="dxa"/>
              <w:right w:w="15" w:type="dxa"/>
            </w:tcMar>
            <w:vAlign w:val="bottom"/>
            <w:hideMark/>
          </w:tcPr>
          <w:p w14:paraId="2520B8F0"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4C2DFEB4"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1B9128D1"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73</w:t>
      </w:r>
    </w:p>
    <w:p w14:paraId="2AD7A33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D9CF47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95AFBED"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27FA19E"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2C15E99">
          <v:rect id="_x0000_i1100" style="width:0;height:1.5pt" o:hralign="center" o:hrstd="t" o:hrnoshade="t" o:hr="t" fillcolor="black" stroked="f"/>
        </w:pict>
      </w:r>
    </w:p>
    <w:p w14:paraId="6568013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2046F01"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F235E2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ADF70AE" w14:textId="77777777" w:rsidR="00AC4931" w:rsidRPr="00AC4931" w:rsidRDefault="00AC4931" w:rsidP="00AC4931">
      <w:pPr>
        <w:widowControl/>
        <w:jc w:val="left"/>
        <w:rPr>
          <w:rFonts w:ascii="Times New Roman" w:eastAsia="宋体" w:hAnsi="Times New Roman" w:cs="Times New Roman" w:hint="eastAsia"/>
          <w:kern w:val="0"/>
          <w:sz w:val="22"/>
        </w:rPr>
      </w:pPr>
      <w:r w:rsidRPr="00AC4931">
        <w:rPr>
          <w:rFonts w:ascii="Times New Roman" w:eastAsia="宋体" w:hAnsi="Times New Roman" w:cs="Times New Roman"/>
          <w:kern w:val="0"/>
          <w:sz w:val="22"/>
        </w:rPr>
        <w:t> </w:t>
      </w:r>
    </w:p>
    <w:p w14:paraId="18F2A8BE"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2018</w:t>
      </w:r>
    </w:p>
    <w:p w14:paraId="3040394C"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In 2018, the restructuring provisions and cash payments related mainly to headcount reductions in high-cost countries in Western Europe. The table below summarizes the change in the balance sheet position of the restructuring reserves from December 31, 2017 to December 31, 2018 (dollars in millions).</w:t>
      </w:r>
    </w:p>
    <w:p w14:paraId="2AE2DBE6"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7041"/>
        <w:gridCol w:w="201"/>
        <w:gridCol w:w="201"/>
        <w:gridCol w:w="1824"/>
        <w:gridCol w:w="201"/>
        <w:gridCol w:w="202"/>
        <w:gridCol w:w="201"/>
        <w:gridCol w:w="1575"/>
        <w:gridCol w:w="201"/>
        <w:gridCol w:w="202"/>
        <w:gridCol w:w="201"/>
        <w:gridCol w:w="1575"/>
        <w:gridCol w:w="201"/>
        <w:gridCol w:w="202"/>
        <w:gridCol w:w="201"/>
        <w:gridCol w:w="1575"/>
        <w:gridCol w:w="201"/>
        <w:gridCol w:w="202"/>
        <w:gridCol w:w="201"/>
        <w:gridCol w:w="1575"/>
        <w:gridCol w:w="201"/>
        <w:gridCol w:w="202"/>
        <w:gridCol w:w="201"/>
        <w:gridCol w:w="1824"/>
        <w:gridCol w:w="203"/>
      </w:tblGrid>
      <w:tr w:rsidR="00AC4931" w:rsidRPr="00AC4931" w14:paraId="71870470" w14:textId="77777777" w:rsidTr="00AC4931">
        <w:tc>
          <w:tcPr>
            <w:tcW w:w="6978" w:type="dxa"/>
            <w:shd w:val="clear" w:color="auto" w:fill="FFFFFF"/>
            <w:tcMar>
              <w:top w:w="15" w:type="dxa"/>
              <w:left w:w="0" w:type="dxa"/>
              <w:bottom w:w="0" w:type="dxa"/>
              <w:right w:w="15" w:type="dxa"/>
            </w:tcMar>
            <w:vAlign w:val="bottom"/>
            <w:hideMark/>
          </w:tcPr>
          <w:p w14:paraId="5C1ABE60"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00" w:type="dxa"/>
            <w:shd w:val="clear" w:color="auto" w:fill="FFFFFF"/>
            <w:tcMar>
              <w:top w:w="15" w:type="dxa"/>
              <w:left w:w="0" w:type="dxa"/>
              <w:bottom w:w="0" w:type="dxa"/>
              <w:right w:w="15" w:type="dxa"/>
            </w:tcMar>
            <w:vAlign w:val="bottom"/>
            <w:hideMark/>
          </w:tcPr>
          <w:p w14:paraId="09064F1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9" w:type="dxa"/>
            <w:gridSpan w:val="2"/>
            <w:shd w:val="clear" w:color="auto" w:fill="FFFFFF"/>
            <w:tcMar>
              <w:top w:w="15" w:type="dxa"/>
              <w:left w:w="0" w:type="dxa"/>
              <w:bottom w:w="0" w:type="dxa"/>
              <w:right w:w="15" w:type="dxa"/>
            </w:tcMar>
            <w:vAlign w:val="bottom"/>
            <w:hideMark/>
          </w:tcPr>
          <w:p w14:paraId="521482D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w:t>
            </w:r>
          </w:p>
        </w:tc>
        <w:tc>
          <w:tcPr>
            <w:tcW w:w="191" w:type="dxa"/>
            <w:shd w:val="clear" w:color="auto" w:fill="FFFFFF"/>
            <w:noWrap/>
            <w:tcMar>
              <w:top w:w="15" w:type="dxa"/>
              <w:left w:w="0" w:type="dxa"/>
              <w:bottom w:w="0" w:type="dxa"/>
              <w:right w:w="15" w:type="dxa"/>
            </w:tcMar>
            <w:vAlign w:val="bottom"/>
            <w:hideMark/>
          </w:tcPr>
          <w:p w14:paraId="77EB498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87032A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shd w:val="clear" w:color="auto" w:fill="FFFFFF"/>
            <w:tcMar>
              <w:top w:w="15" w:type="dxa"/>
              <w:left w:w="0" w:type="dxa"/>
              <w:bottom w:w="0" w:type="dxa"/>
              <w:right w:w="15" w:type="dxa"/>
            </w:tcMar>
            <w:vAlign w:val="bottom"/>
            <w:hideMark/>
          </w:tcPr>
          <w:p w14:paraId="2353371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Provision/</w:t>
            </w:r>
          </w:p>
        </w:tc>
        <w:tc>
          <w:tcPr>
            <w:tcW w:w="191" w:type="dxa"/>
            <w:shd w:val="clear" w:color="auto" w:fill="FFFFFF"/>
            <w:noWrap/>
            <w:tcMar>
              <w:top w:w="15" w:type="dxa"/>
              <w:left w:w="0" w:type="dxa"/>
              <w:bottom w:w="0" w:type="dxa"/>
              <w:right w:w="15" w:type="dxa"/>
            </w:tcMar>
            <w:vAlign w:val="bottom"/>
            <w:hideMark/>
          </w:tcPr>
          <w:p w14:paraId="4A741BD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35D7F7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shd w:val="clear" w:color="auto" w:fill="FFFFFF"/>
            <w:tcMar>
              <w:top w:w="15" w:type="dxa"/>
              <w:left w:w="0" w:type="dxa"/>
              <w:bottom w:w="0" w:type="dxa"/>
              <w:right w:w="15" w:type="dxa"/>
            </w:tcMar>
            <w:vAlign w:val="bottom"/>
            <w:hideMark/>
          </w:tcPr>
          <w:p w14:paraId="14F0E3E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Provision/</w:t>
            </w:r>
          </w:p>
        </w:tc>
        <w:tc>
          <w:tcPr>
            <w:tcW w:w="191" w:type="dxa"/>
            <w:shd w:val="clear" w:color="auto" w:fill="FFFFFF"/>
            <w:noWrap/>
            <w:tcMar>
              <w:top w:w="15" w:type="dxa"/>
              <w:left w:w="0" w:type="dxa"/>
              <w:bottom w:w="0" w:type="dxa"/>
              <w:right w:w="15" w:type="dxa"/>
            </w:tcMar>
            <w:vAlign w:val="bottom"/>
            <w:hideMark/>
          </w:tcPr>
          <w:p w14:paraId="7865158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8F79D6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shd w:val="clear" w:color="auto" w:fill="FFFFFF"/>
            <w:tcMar>
              <w:top w:w="15" w:type="dxa"/>
              <w:left w:w="0" w:type="dxa"/>
              <w:bottom w:w="0" w:type="dxa"/>
              <w:right w:w="15" w:type="dxa"/>
            </w:tcMar>
            <w:vAlign w:val="bottom"/>
            <w:hideMark/>
          </w:tcPr>
          <w:p w14:paraId="2E5D7B1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Cash</w:t>
            </w:r>
          </w:p>
        </w:tc>
        <w:tc>
          <w:tcPr>
            <w:tcW w:w="191" w:type="dxa"/>
            <w:shd w:val="clear" w:color="auto" w:fill="FFFFFF"/>
            <w:noWrap/>
            <w:tcMar>
              <w:top w:w="15" w:type="dxa"/>
              <w:left w:w="0" w:type="dxa"/>
              <w:bottom w:w="0" w:type="dxa"/>
              <w:right w:w="15" w:type="dxa"/>
            </w:tcMar>
            <w:vAlign w:val="bottom"/>
            <w:hideMark/>
          </w:tcPr>
          <w:p w14:paraId="5346F31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3E7E6B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shd w:val="clear" w:color="auto" w:fill="FFFFFF"/>
            <w:tcMar>
              <w:top w:w="15" w:type="dxa"/>
              <w:left w:w="0" w:type="dxa"/>
              <w:bottom w:w="0" w:type="dxa"/>
              <w:right w:w="15" w:type="dxa"/>
            </w:tcMar>
            <w:vAlign w:val="bottom"/>
            <w:hideMark/>
          </w:tcPr>
          <w:p w14:paraId="528AA08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Translation</w:t>
            </w:r>
          </w:p>
        </w:tc>
        <w:tc>
          <w:tcPr>
            <w:tcW w:w="191" w:type="dxa"/>
            <w:shd w:val="clear" w:color="auto" w:fill="FFFFFF"/>
            <w:noWrap/>
            <w:tcMar>
              <w:top w:w="15" w:type="dxa"/>
              <w:left w:w="0" w:type="dxa"/>
              <w:bottom w:w="0" w:type="dxa"/>
              <w:right w:w="15" w:type="dxa"/>
            </w:tcMar>
            <w:vAlign w:val="bottom"/>
            <w:hideMark/>
          </w:tcPr>
          <w:p w14:paraId="2B3DD8D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7EB3F8C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9" w:type="dxa"/>
            <w:gridSpan w:val="2"/>
            <w:shd w:val="clear" w:color="auto" w:fill="FFFFFF"/>
            <w:tcMar>
              <w:top w:w="15" w:type="dxa"/>
              <w:left w:w="0" w:type="dxa"/>
              <w:bottom w:w="0" w:type="dxa"/>
              <w:right w:w="15" w:type="dxa"/>
            </w:tcMar>
            <w:vAlign w:val="bottom"/>
            <w:hideMark/>
          </w:tcPr>
          <w:p w14:paraId="595CF51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w:t>
            </w:r>
          </w:p>
        </w:tc>
        <w:tc>
          <w:tcPr>
            <w:tcW w:w="193" w:type="dxa"/>
            <w:shd w:val="clear" w:color="auto" w:fill="FFFFFF"/>
            <w:noWrap/>
            <w:tcMar>
              <w:top w:w="15" w:type="dxa"/>
              <w:left w:w="0" w:type="dxa"/>
              <w:bottom w:w="0" w:type="dxa"/>
              <w:right w:w="15" w:type="dxa"/>
            </w:tcMar>
            <w:vAlign w:val="bottom"/>
            <w:hideMark/>
          </w:tcPr>
          <w:p w14:paraId="5E334FB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8647F3A" w14:textId="77777777" w:rsidTr="00AC4931">
        <w:tc>
          <w:tcPr>
            <w:tcW w:w="6978" w:type="dxa"/>
            <w:shd w:val="clear" w:color="auto" w:fill="FFFFFF"/>
            <w:tcMar>
              <w:top w:w="15" w:type="dxa"/>
              <w:left w:w="0" w:type="dxa"/>
              <w:bottom w:w="0" w:type="dxa"/>
              <w:right w:w="15" w:type="dxa"/>
            </w:tcMar>
            <w:vAlign w:val="bottom"/>
            <w:hideMark/>
          </w:tcPr>
          <w:p w14:paraId="63C2236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9D5748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9" w:type="dxa"/>
            <w:gridSpan w:val="2"/>
            <w:tcBorders>
              <w:bottom w:val="single" w:sz="6" w:space="0" w:color="000000"/>
            </w:tcBorders>
            <w:shd w:val="clear" w:color="auto" w:fill="FFFFFF"/>
            <w:tcMar>
              <w:top w:w="15" w:type="dxa"/>
              <w:left w:w="0" w:type="dxa"/>
              <w:bottom w:w="0" w:type="dxa"/>
              <w:right w:w="15" w:type="dxa"/>
            </w:tcMar>
            <w:vAlign w:val="bottom"/>
            <w:hideMark/>
          </w:tcPr>
          <w:p w14:paraId="7CE4ECE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2017</w:t>
            </w:r>
          </w:p>
        </w:tc>
        <w:tc>
          <w:tcPr>
            <w:tcW w:w="191" w:type="dxa"/>
            <w:shd w:val="clear" w:color="auto" w:fill="FFFFFF"/>
            <w:noWrap/>
            <w:tcMar>
              <w:top w:w="15" w:type="dxa"/>
              <w:left w:w="0" w:type="dxa"/>
              <w:bottom w:w="0" w:type="dxa"/>
              <w:right w:w="15" w:type="dxa"/>
            </w:tcMar>
            <w:vAlign w:val="bottom"/>
            <w:hideMark/>
          </w:tcPr>
          <w:p w14:paraId="7562710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5C9607A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tcBorders>
              <w:bottom w:val="single" w:sz="6" w:space="0" w:color="000000"/>
            </w:tcBorders>
            <w:shd w:val="clear" w:color="auto" w:fill="FFFFFF"/>
            <w:tcMar>
              <w:top w:w="15" w:type="dxa"/>
              <w:left w:w="0" w:type="dxa"/>
              <w:bottom w:w="0" w:type="dxa"/>
              <w:right w:w="15" w:type="dxa"/>
            </w:tcMar>
            <w:vAlign w:val="bottom"/>
            <w:hideMark/>
          </w:tcPr>
          <w:p w14:paraId="02B09F3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Charge</w:t>
            </w:r>
          </w:p>
        </w:tc>
        <w:tc>
          <w:tcPr>
            <w:tcW w:w="191" w:type="dxa"/>
            <w:shd w:val="clear" w:color="auto" w:fill="FFFFFF"/>
            <w:noWrap/>
            <w:tcMar>
              <w:top w:w="15" w:type="dxa"/>
              <w:left w:w="0" w:type="dxa"/>
              <w:bottom w:w="0" w:type="dxa"/>
              <w:right w:w="15" w:type="dxa"/>
            </w:tcMar>
            <w:vAlign w:val="bottom"/>
            <w:hideMark/>
          </w:tcPr>
          <w:p w14:paraId="4CD892A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2B7F588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tcBorders>
              <w:bottom w:val="single" w:sz="6" w:space="0" w:color="000000"/>
            </w:tcBorders>
            <w:shd w:val="clear" w:color="auto" w:fill="FFFFFF"/>
            <w:tcMar>
              <w:top w:w="15" w:type="dxa"/>
              <w:left w:w="0" w:type="dxa"/>
              <w:bottom w:w="0" w:type="dxa"/>
              <w:right w:w="15" w:type="dxa"/>
            </w:tcMar>
            <w:vAlign w:val="bottom"/>
            <w:hideMark/>
          </w:tcPr>
          <w:p w14:paraId="4F73280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Reversal</w:t>
            </w:r>
          </w:p>
        </w:tc>
        <w:tc>
          <w:tcPr>
            <w:tcW w:w="191" w:type="dxa"/>
            <w:shd w:val="clear" w:color="auto" w:fill="FFFFFF"/>
            <w:noWrap/>
            <w:tcMar>
              <w:top w:w="15" w:type="dxa"/>
              <w:left w:w="0" w:type="dxa"/>
              <w:bottom w:w="0" w:type="dxa"/>
              <w:right w:w="15" w:type="dxa"/>
            </w:tcMar>
            <w:vAlign w:val="bottom"/>
            <w:hideMark/>
          </w:tcPr>
          <w:p w14:paraId="0FD456B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6010463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tcBorders>
              <w:bottom w:val="single" w:sz="6" w:space="0" w:color="000000"/>
            </w:tcBorders>
            <w:shd w:val="clear" w:color="auto" w:fill="FFFFFF"/>
            <w:tcMar>
              <w:top w:w="15" w:type="dxa"/>
              <w:left w:w="0" w:type="dxa"/>
              <w:bottom w:w="0" w:type="dxa"/>
              <w:right w:w="15" w:type="dxa"/>
            </w:tcMar>
            <w:vAlign w:val="bottom"/>
            <w:hideMark/>
          </w:tcPr>
          <w:p w14:paraId="6B6340C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payments</w:t>
            </w:r>
          </w:p>
        </w:tc>
        <w:tc>
          <w:tcPr>
            <w:tcW w:w="191" w:type="dxa"/>
            <w:shd w:val="clear" w:color="auto" w:fill="FFFFFF"/>
            <w:noWrap/>
            <w:tcMar>
              <w:top w:w="15" w:type="dxa"/>
              <w:left w:w="0" w:type="dxa"/>
              <w:bottom w:w="0" w:type="dxa"/>
              <w:right w:w="15" w:type="dxa"/>
            </w:tcMar>
            <w:vAlign w:val="bottom"/>
            <w:hideMark/>
          </w:tcPr>
          <w:p w14:paraId="59B8784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14EBAE0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752" w:type="dxa"/>
            <w:gridSpan w:val="2"/>
            <w:tcBorders>
              <w:bottom w:val="single" w:sz="6" w:space="0" w:color="000000"/>
            </w:tcBorders>
            <w:shd w:val="clear" w:color="auto" w:fill="FFFFFF"/>
            <w:tcMar>
              <w:top w:w="15" w:type="dxa"/>
              <w:left w:w="0" w:type="dxa"/>
              <w:bottom w:w="0" w:type="dxa"/>
              <w:right w:w="15" w:type="dxa"/>
            </w:tcMar>
            <w:vAlign w:val="bottom"/>
            <w:hideMark/>
          </w:tcPr>
          <w:p w14:paraId="3080727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difference</w:t>
            </w:r>
          </w:p>
        </w:tc>
        <w:tc>
          <w:tcPr>
            <w:tcW w:w="191" w:type="dxa"/>
            <w:shd w:val="clear" w:color="auto" w:fill="FFFFFF"/>
            <w:noWrap/>
            <w:tcMar>
              <w:top w:w="15" w:type="dxa"/>
              <w:left w:w="0" w:type="dxa"/>
              <w:bottom w:w="0" w:type="dxa"/>
              <w:right w:w="15" w:type="dxa"/>
            </w:tcMar>
            <w:vAlign w:val="bottom"/>
            <w:hideMark/>
          </w:tcPr>
          <w:p w14:paraId="4AB478A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0" w:type="dxa"/>
            <w:shd w:val="clear" w:color="auto" w:fill="FFFFFF"/>
            <w:tcMar>
              <w:top w:w="15" w:type="dxa"/>
              <w:left w:w="0" w:type="dxa"/>
              <w:bottom w:w="0" w:type="dxa"/>
              <w:right w:w="15" w:type="dxa"/>
            </w:tcMar>
            <w:vAlign w:val="bottom"/>
            <w:hideMark/>
          </w:tcPr>
          <w:p w14:paraId="0886743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99" w:type="dxa"/>
            <w:gridSpan w:val="2"/>
            <w:tcBorders>
              <w:bottom w:val="single" w:sz="6" w:space="0" w:color="000000"/>
            </w:tcBorders>
            <w:shd w:val="clear" w:color="auto" w:fill="FFFFFF"/>
            <w:tcMar>
              <w:top w:w="15" w:type="dxa"/>
              <w:left w:w="0" w:type="dxa"/>
              <w:bottom w:w="0" w:type="dxa"/>
              <w:right w:w="15" w:type="dxa"/>
            </w:tcMar>
            <w:vAlign w:val="bottom"/>
            <w:hideMark/>
          </w:tcPr>
          <w:p w14:paraId="2924527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93" w:type="dxa"/>
            <w:shd w:val="clear" w:color="auto" w:fill="FFFFFF"/>
            <w:noWrap/>
            <w:tcMar>
              <w:top w:w="15" w:type="dxa"/>
              <w:left w:w="0" w:type="dxa"/>
              <w:bottom w:w="0" w:type="dxa"/>
              <w:right w:w="15" w:type="dxa"/>
            </w:tcMar>
            <w:vAlign w:val="bottom"/>
            <w:hideMark/>
          </w:tcPr>
          <w:p w14:paraId="717D8BA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CFF7AB4" w14:textId="77777777" w:rsidTr="00AC4931">
        <w:tc>
          <w:tcPr>
            <w:tcW w:w="6978" w:type="dxa"/>
            <w:shd w:val="clear" w:color="auto" w:fill="CFF0FC"/>
            <w:tcMar>
              <w:top w:w="15" w:type="dxa"/>
              <w:left w:w="0" w:type="dxa"/>
              <w:bottom w:w="0" w:type="dxa"/>
              <w:right w:w="15" w:type="dxa"/>
            </w:tcMar>
            <w:hideMark/>
          </w:tcPr>
          <w:p w14:paraId="4271DF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Restructuring employee-related</w:t>
            </w:r>
          </w:p>
        </w:tc>
        <w:tc>
          <w:tcPr>
            <w:tcW w:w="200" w:type="dxa"/>
            <w:shd w:val="clear" w:color="auto" w:fill="CFF0FC"/>
            <w:tcMar>
              <w:top w:w="15" w:type="dxa"/>
              <w:left w:w="0" w:type="dxa"/>
              <w:bottom w:w="0" w:type="dxa"/>
              <w:right w:w="15" w:type="dxa"/>
            </w:tcMar>
            <w:vAlign w:val="bottom"/>
            <w:hideMark/>
          </w:tcPr>
          <w:p w14:paraId="2592C0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9DDFD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93" w:type="dxa"/>
            <w:tcBorders>
              <w:top w:val="single" w:sz="6" w:space="0" w:color="000000"/>
            </w:tcBorders>
            <w:shd w:val="clear" w:color="auto" w:fill="CFF0FC"/>
            <w:noWrap/>
            <w:tcMar>
              <w:top w:w="15" w:type="dxa"/>
              <w:left w:w="0" w:type="dxa"/>
              <w:bottom w:w="0" w:type="dxa"/>
              <w:right w:w="15" w:type="dxa"/>
            </w:tcMar>
            <w:vAlign w:val="bottom"/>
            <w:hideMark/>
          </w:tcPr>
          <w:p w14:paraId="2453D8D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39.4</w:t>
            </w:r>
          </w:p>
        </w:tc>
        <w:tc>
          <w:tcPr>
            <w:tcW w:w="191" w:type="dxa"/>
            <w:shd w:val="clear" w:color="auto" w:fill="CFF0FC"/>
            <w:noWrap/>
            <w:tcMar>
              <w:top w:w="15" w:type="dxa"/>
              <w:left w:w="0" w:type="dxa"/>
              <w:bottom w:w="0" w:type="dxa"/>
              <w:right w:w="15" w:type="dxa"/>
            </w:tcMar>
            <w:vAlign w:val="bottom"/>
            <w:hideMark/>
          </w:tcPr>
          <w:p w14:paraId="3FB398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CFF0FC"/>
            <w:tcMar>
              <w:top w:w="15" w:type="dxa"/>
              <w:left w:w="0" w:type="dxa"/>
              <w:bottom w:w="0" w:type="dxa"/>
              <w:right w:w="15" w:type="dxa"/>
            </w:tcMar>
            <w:vAlign w:val="bottom"/>
            <w:hideMark/>
          </w:tcPr>
          <w:p w14:paraId="67F467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62CFC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5" w:type="dxa"/>
            <w:tcBorders>
              <w:top w:val="single" w:sz="6" w:space="0" w:color="000000"/>
            </w:tcBorders>
            <w:shd w:val="clear" w:color="auto" w:fill="CFF0FC"/>
            <w:noWrap/>
            <w:tcMar>
              <w:top w:w="15" w:type="dxa"/>
              <w:left w:w="0" w:type="dxa"/>
              <w:bottom w:w="0" w:type="dxa"/>
              <w:right w:w="15" w:type="dxa"/>
            </w:tcMar>
            <w:vAlign w:val="bottom"/>
            <w:hideMark/>
          </w:tcPr>
          <w:p w14:paraId="26ECE9E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9.0</w:t>
            </w:r>
          </w:p>
        </w:tc>
        <w:tc>
          <w:tcPr>
            <w:tcW w:w="191" w:type="dxa"/>
            <w:shd w:val="clear" w:color="auto" w:fill="CFF0FC"/>
            <w:noWrap/>
            <w:tcMar>
              <w:top w:w="15" w:type="dxa"/>
              <w:left w:w="0" w:type="dxa"/>
              <w:bottom w:w="0" w:type="dxa"/>
              <w:right w:w="15" w:type="dxa"/>
            </w:tcMar>
            <w:vAlign w:val="bottom"/>
            <w:hideMark/>
          </w:tcPr>
          <w:p w14:paraId="69D6DB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CFF0FC"/>
            <w:tcMar>
              <w:top w:w="15" w:type="dxa"/>
              <w:left w:w="0" w:type="dxa"/>
              <w:bottom w:w="0" w:type="dxa"/>
              <w:right w:w="15" w:type="dxa"/>
            </w:tcMar>
            <w:vAlign w:val="bottom"/>
            <w:hideMark/>
          </w:tcPr>
          <w:p w14:paraId="72ADA7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AED0E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5" w:type="dxa"/>
            <w:tcBorders>
              <w:top w:val="single" w:sz="6" w:space="0" w:color="000000"/>
            </w:tcBorders>
            <w:shd w:val="clear" w:color="auto" w:fill="CFF0FC"/>
            <w:noWrap/>
            <w:tcMar>
              <w:top w:w="15" w:type="dxa"/>
              <w:left w:w="0" w:type="dxa"/>
              <w:bottom w:w="0" w:type="dxa"/>
              <w:right w:w="15" w:type="dxa"/>
            </w:tcMar>
            <w:vAlign w:val="bottom"/>
            <w:hideMark/>
          </w:tcPr>
          <w:p w14:paraId="4362AF9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91" w:type="dxa"/>
            <w:shd w:val="clear" w:color="auto" w:fill="CFF0FC"/>
            <w:noWrap/>
            <w:tcMar>
              <w:top w:w="15" w:type="dxa"/>
              <w:left w:w="0" w:type="dxa"/>
              <w:bottom w:w="0" w:type="dxa"/>
              <w:right w:w="15" w:type="dxa"/>
            </w:tcMar>
            <w:vAlign w:val="bottom"/>
            <w:hideMark/>
          </w:tcPr>
          <w:p w14:paraId="3BF6A8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00BB05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1C660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5" w:type="dxa"/>
            <w:tcBorders>
              <w:top w:val="single" w:sz="6" w:space="0" w:color="000000"/>
            </w:tcBorders>
            <w:shd w:val="clear" w:color="auto" w:fill="CFF0FC"/>
            <w:noWrap/>
            <w:tcMar>
              <w:top w:w="15" w:type="dxa"/>
              <w:left w:w="0" w:type="dxa"/>
              <w:bottom w:w="0" w:type="dxa"/>
              <w:right w:w="15" w:type="dxa"/>
            </w:tcMar>
            <w:vAlign w:val="bottom"/>
            <w:hideMark/>
          </w:tcPr>
          <w:p w14:paraId="52782F5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(13.6</w:t>
            </w:r>
          </w:p>
        </w:tc>
        <w:tc>
          <w:tcPr>
            <w:tcW w:w="191" w:type="dxa"/>
            <w:shd w:val="clear" w:color="auto" w:fill="CFF0FC"/>
            <w:noWrap/>
            <w:tcMar>
              <w:top w:w="15" w:type="dxa"/>
              <w:left w:w="0" w:type="dxa"/>
              <w:bottom w:w="0" w:type="dxa"/>
              <w:right w:w="15" w:type="dxa"/>
            </w:tcMar>
            <w:vAlign w:val="bottom"/>
            <w:hideMark/>
          </w:tcPr>
          <w:p w14:paraId="67BD9F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709211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EBF7D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45" w:type="dxa"/>
            <w:tcBorders>
              <w:top w:val="single" w:sz="6" w:space="0" w:color="000000"/>
            </w:tcBorders>
            <w:shd w:val="clear" w:color="auto" w:fill="CFF0FC"/>
            <w:noWrap/>
            <w:tcMar>
              <w:top w:w="15" w:type="dxa"/>
              <w:left w:w="0" w:type="dxa"/>
              <w:bottom w:w="0" w:type="dxa"/>
              <w:right w:w="15" w:type="dxa"/>
            </w:tcMar>
            <w:vAlign w:val="bottom"/>
            <w:hideMark/>
          </w:tcPr>
          <w:p w14:paraId="033197B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w:t>
            </w:r>
          </w:p>
        </w:tc>
        <w:tc>
          <w:tcPr>
            <w:tcW w:w="191" w:type="dxa"/>
            <w:shd w:val="clear" w:color="auto" w:fill="CFF0FC"/>
            <w:noWrap/>
            <w:tcMar>
              <w:top w:w="15" w:type="dxa"/>
              <w:left w:w="0" w:type="dxa"/>
              <w:bottom w:w="0" w:type="dxa"/>
              <w:right w:w="15" w:type="dxa"/>
            </w:tcMar>
            <w:vAlign w:val="bottom"/>
            <w:hideMark/>
          </w:tcPr>
          <w:p w14:paraId="209516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128185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DEBBB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93" w:type="dxa"/>
            <w:tcBorders>
              <w:top w:val="single" w:sz="6" w:space="0" w:color="000000"/>
            </w:tcBorders>
            <w:shd w:val="clear" w:color="auto" w:fill="CFF0FC"/>
            <w:noWrap/>
            <w:tcMar>
              <w:top w:w="15" w:type="dxa"/>
              <w:left w:w="0" w:type="dxa"/>
              <w:bottom w:w="0" w:type="dxa"/>
              <w:right w:w="15" w:type="dxa"/>
            </w:tcMar>
            <w:vAlign w:val="bottom"/>
            <w:hideMark/>
          </w:tcPr>
          <w:p w14:paraId="277387A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33.2</w:t>
            </w:r>
          </w:p>
        </w:tc>
        <w:tc>
          <w:tcPr>
            <w:tcW w:w="193" w:type="dxa"/>
            <w:shd w:val="clear" w:color="auto" w:fill="CFF0FC"/>
            <w:noWrap/>
            <w:tcMar>
              <w:top w:w="15" w:type="dxa"/>
              <w:left w:w="0" w:type="dxa"/>
              <w:bottom w:w="0" w:type="dxa"/>
              <w:right w:w="15" w:type="dxa"/>
            </w:tcMar>
            <w:vAlign w:val="bottom"/>
            <w:hideMark/>
          </w:tcPr>
          <w:p w14:paraId="16274E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730D68F" w14:textId="77777777" w:rsidTr="00AC4931">
        <w:tc>
          <w:tcPr>
            <w:tcW w:w="6978" w:type="dxa"/>
            <w:shd w:val="clear" w:color="auto" w:fill="FFFFFF"/>
            <w:tcMar>
              <w:top w:w="15" w:type="dxa"/>
              <w:left w:w="0" w:type="dxa"/>
              <w:bottom w:w="0" w:type="dxa"/>
              <w:right w:w="15" w:type="dxa"/>
            </w:tcMar>
            <w:hideMark/>
          </w:tcPr>
          <w:p w14:paraId="701348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w:t>
            </w:r>
          </w:p>
        </w:tc>
        <w:tc>
          <w:tcPr>
            <w:tcW w:w="200" w:type="dxa"/>
            <w:shd w:val="clear" w:color="auto" w:fill="FFFFFF"/>
            <w:tcMar>
              <w:top w:w="15" w:type="dxa"/>
              <w:left w:w="0" w:type="dxa"/>
              <w:bottom w:w="0" w:type="dxa"/>
              <w:right w:w="15" w:type="dxa"/>
            </w:tcMar>
            <w:vAlign w:val="bottom"/>
            <w:hideMark/>
          </w:tcPr>
          <w:p w14:paraId="2EE05C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04E1B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93" w:type="dxa"/>
            <w:tcBorders>
              <w:bottom w:val="single" w:sz="6" w:space="0" w:color="000000"/>
            </w:tcBorders>
            <w:shd w:val="clear" w:color="auto" w:fill="FFFFFF"/>
            <w:noWrap/>
            <w:tcMar>
              <w:top w:w="15" w:type="dxa"/>
              <w:left w:w="0" w:type="dxa"/>
              <w:bottom w:w="0" w:type="dxa"/>
              <w:right w:w="15" w:type="dxa"/>
            </w:tcMar>
            <w:vAlign w:val="bottom"/>
            <w:hideMark/>
          </w:tcPr>
          <w:p w14:paraId="7F72780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91" w:type="dxa"/>
            <w:shd w:val="clear" w:color="auto" w:fill="FFFFFF"/>
            <w:noWrap/>
            <w:tcMar>
              <w:top w:w="15" w:type="dxa"/>
              <w:left w:w="0" w:type="dxa"/>
              <w:bottom w:w="0" w:type="dxa"/>
              <w:right w:w="15" w:type="dxa"/>
            </w:tcMar>
            <w:vAlign w:val="bottom"/>
            <w:hideMark/>
          </w:tcPr>
          <w:p w14:paraId="65739E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FFFFFF"/>
            <w:tcMar>
              <w:top w:w="15" w:type="dxa"/>
              <w:left w:w="0" w:type="dxa"/>
              <w:bottom w:w="0" w:type="dxa"/>
              <w:right w:w="15" w:type="dxa"/>
            </w:tcMar>
            <w:vAlign w:val="bottom"/>
            <w:hideMark/>
          </w:tcPr>
          <w:p w14:paraId="1F9E0F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DC4B2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5" w:type="dxa"/>
            <w:tcBorders>
              <w:bottom w:val="single" w:sz="6" w:space="0" w:color="000000"/>
            </w:tcBorders>
            <w:shd w:val="clear" w:color="auto" w:fill="FFFFFF"/>
            <w:noWrap/>
            <w:tcMar>
              <w:top w:w="15" w:type="dxa"/>
              <w:left w:w="0" w:type="dxa"/>
              <w:bottom w:w="0" w:type="dxa"/>
              <w:right w:w="15" w:type="dxa"/>
            </w:tcMar>
            <w:vAlign w:val="bottom"/>
            <w:hideMark/>
          </w:tcPr>
          <w:p w14:paraId="4DFF050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91" w:type="dxa"/>
            <w:shd w:val="clear" w:color="auto" w:fill="FFFFFF"/>
            <w:noWrap/>
            <w:tcMar>
              <w:top w:w="15" w:type="dxa"/>
              <w:left w:w="0" w:type="dxa"/>
              <w:bottom w:w="0" w:type="dxa"/>
              <w:right w:w="15" w:type="dxa"/>
            </w:tcMar>
            <w:vAlign w:val="bottom"/>
            <w:hideMark/>
          </w:tcPr>
          <w:p w14:paraId="4B6FAA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FFFFFF"/>
            <w:tcMar>
              <w:top w:w="15" w:type="dxa"/>
              <w:left w:w="0" w:type="dxa"/>
              <w:bottom w:w="0" w:type="dxa"/>
              <w:right w:w="15" w:type="dxa"/>
            </w:tcMar>
            <w:vAlign w:val="bottom"/>
            <w:hideMark/>
          </w:tcPr>
          <w:p w14:paraId="15E5AC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71E85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5" w:type="dxa"/>
            <w:tcBorders>
              <w:bottom w:val="single" w:sz="6" w:space="0" w:color="000000"/>
            </w:tcBorders>
            <w:shd w:val="clear" w:color="auto" w:fill="FFFFFF"/>
            <w:noWrap/>
            <w:tcMar>
              <w:top w:w="15" w:type="dxa"/>
              <w:left w:w="0" w:type="dxa"/>
              <w:bottom w:w="0" w:type="dxa"/>
              <w:right w:w="15" w:type="dxa"/>
            </w:tcMar>
            <w:vAlign w:val="bottom"/>
            <w:hideMark/>
          </w:tcPr>
          <w:p w14:paraId="58F2586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643565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FFFFFF"/>
            <w:tcMar>
              <w:top w:w="15" w:type="dxa"/>
              <w:left w:w="0" w:type="dxa"/>
              <w:bottom w:w="0" w:type="dxa"/>
              <w:right w:w="15" w:type="dxa"/>
            </w:tcMar>
            <w:vAlign w:val="bottom"/>
            <w:hideMark/>
          </w:tcPr>
          <w:p w14:paraId="6F892D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CAB26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5" w:type="dxa"/>
            <w:tcBorders>
              <w:bottom w:val="single" w:sz="6" w:space="0" w:color="000000"/>
            </w:tcBorders>
            <w:shd w:val="clear" w:color="auto" w:fill="FFFFFF"/>
            <w:noWrap/>
            <w:tcMar>
              <w:top w:w="15" w:type="dxa"/>
              <w:left w:w="0" w:type="dxa"/>
              <w:bottom w:w="0" w:type="dxa"/>
              <w:right w:w="15" w:type="dxa"/>
            </w:tcMar>
            <w:vAlign w:val="bottom"/>
            <w:hideMark/>
          </w:tcPr>
          <w:p w14:paraId="4CE3CF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5AA514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0" w:type="dxa"/>
            <w:shd w:val="clear" w:color="auto" w:fill="FFFFFF"/>
            <w:tcMar>
              <w:top w:w="15" w:type="dxa"/>
              <w:left w:w="0" w:type="dxa"/>
              <w:bottom w:w="0" w:type="dxa"/>
              <w:right w:w="15" w:type="dxa"/>
            </w:tcMar>
            <w:vAlign w:val="bottom"/>
            <w:hideMark/>
          </w:tcPr>
          <w:p w14:paraId="0A1E83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FBA0D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45" w:type="dxa"/>
            <w:tcBorders>
              <w:bottom w:val="single" w:sz="6" w:space="0" w:color="000000"/>
            </w:tcBorders>
            <w:shd w:val="clear" w:color="auto" w:fill="FFFFFF"/>
            <w:noWrap/>
            <w:tcMar>
              <w:top w:w="15" w:type="dxa"/>
              <w:left w:w="0" w:type="dxa"/>
              <w:bottom w:w="0" w:type="dxa"/>
              <w:right w:w="15" w:type="dxa"/>
            </w:tcMar>
            <w:vAlign w:val="bottom"/>
            <w:hideMark/>
          </w:tcPr>
          <w:p w14:paraId="2F9C0F2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91" w:type="dxa"/>
            <w:shd w:val="clear" w:color="auto" w:fill="FFFFFF"/>
            <w:noWrap/>
            <w:tcMar>
              <w:top w:w="15" w:type="dxa"/>
              <w:left w:w="0" w:type="dxa"/>
              <w:bottom w:w="0" w:type="dxa"/>
              <w:right w:w="15" w:type="dxa"/>
            </w:tcMar>
            <w:vAlign w:val="bottom"/>
            <w:hideMark/>
          </w:tcPr>
          <w:p w14:paraId="10FDDA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0" w:type="dxa"/>
            <w:shd w:val="clear" w:color="auto" w:fill="FFFFFF"/>
            <w:tcMar>
              <w:top w:w="15" w:type="dxa"/>
              <w:left w:w="0" w:type="dxa"/>
              <w:bottom w:w="0" w:type="dxa"/>
              <w:right w:w="15" w:type="dxa"/>
            </w:tcMar>
            <w:vAlign w:val="bottom"/>
            <w:hideMark/>
          </w:tcPr>
          <w:p w14:paraId="75BB0F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455C1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93" w:type="dxa"/>
            <w:tcBorders>
              <w:bottom w:val="single" w:sz="6" w:space="0" w:color="000000"/>
            </w:tcBorders>
            <w:shd w:val="clear" w:color="auto" w:fill="FFFFFF"/>
            <w:noWrap/>
            <w:tcMar>
              <w:top w:w="15" w:type="dxa"/>
              <w:left w:w="0" w:type="dxa"/>
              <w:bottom w:w="0" w:type="dxa"/>
              <w:right w:w="15" w:type="dxa"/>
            </w:tcMar>
            <w:vAlign w:val="bottom"/>
            <w:hideMark/>
          </w:tcPr>
          <w:p w14:paraId="08FCBB9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93" w:type="dxa"/>
            <w:shd w:val="clear" w:color="auto" w:fill="FFFFFF"/>
            <w:noWrap/>
            <w:tcMar>
              <w:top w:w="15" w:type="dxa"/>
              <w:left w:w="0" w:type="dxa"/>
              <w:bottom w:w="0" w:type="dxa"/>
              <w:right w:w="15" w:type="dxa"/>
            </w:tcMar>
            <w:vAlign w:val="bottom"/>
            <w:hideMark/>
          </w:tcPr>
          <w:p w14:paraId="62B4A5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E61E19A" w14:textId="77777777" w:rsidTr="00AC4931">
        <w:tc>
          <w:tcPr>
            <w:tcW w:w="6978" w:type="dxa"/>
            <w:shd w:val="clear" w:color="auto" w:fill="CFF0FC"/>
            <w:tcMar>
              <w:top w:w="15" w:type="dxa"/>
              <w:left w:w="0" w:type="dxa"/>
              <w:bottom w:w="0" w:type="dxa"/>
              <w:right w:w="15" w:type="dxa"/>
            </w:tcMar>
            <w:hideMark/>
          </w:tcPr>
          <w:p w14:paraId="37A3FC6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reserve</w:t>
            </w:r>
          </w:p>
        </w:tc>
        <w:tc>
          <w:tcPr>
            <w:tcW w:w="200" w:type="dxa"/>
            <w:shd w:val="clear" w:color="auto" w:fill="CFF0FC"/>
            <w:tcMar>
              <w:top w:w="15" w:type="dxa"/>
              <w:left w:w="0" w:type="dxa"/>
              <w:bottom w:w="0" w:type="dxa"/>
              <w:right w:w="15" w:type="dxa"/>
            </w:tcMar>
            <w:vAlign w:val="bottom"/>
            <w:hideMark/>
          </w:tcPr>
          <w:p w14:paraId="291798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937862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93"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221FF3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39.6</w:t>
            </w:r>
          </w:p>
        </w:tc>
        <w:tc>
          <w:tcPr>
            <w:tcW w:w="191" w:type="dxa"/>
            <w:shd w:val="clear" w:color="auto" w:fill="CFF0FC"/>
            <w:noWrap/>
            <w:tcMar>
              <w:top w:w="15" w:type="dxa"/>
              <w:left w:w="0" w:type="dxa"/>
              <w:bottom w:w="0" w:type="dxa"/>
              <w:right w:w="15" w:type="dxa"/>
            </w:tcMar>
            <w:vAlign w:val="bottom"/>
            <w:hideMark/>
          </w:tcPr>
          <w:p w14:paraId="5D48257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00" w:type="dxa"/>
            <w:shd w:val="clear" w:color="auto" w:fill="CFF0FC"/>
            <w:tcMar>
              <w:top w:w="15" w:type="dxa"/>
              <w:left w:w="0" w:type="dxa"/>
              <w:bottom w:w="0" w:type="dxa"/>
              <w:right w:w="15" w:type="dxa"/>
            </w:tcMar>
            <w:vAlign w:val="bottom"/>
            <w:hideMark/>
          </w:tcPr>
          <w:p w14:paraId="33D2FD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05BE5A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0868D9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9.2</w:t>
            </w:r>
          </w:p>
        </w:tc>
        <w:tc>
          <w:tcPr>
            <w:tcW w:w="191" w:type="dxa"/>
            <w:shd w:val="clear" w:color="auto" w:fill="CFF0FC"/>
            <w:noWrap/>
            <w:tcMar>
              <w:top w:w="15" w:type="dxa"/>
              <w:left w:w="0" w:type="dxa"/>
              <w:bottom w:w="0" w:type="dxa"/>
              <w:right w:w="15" w:type="dxa"/>
            </w:tcMar>
            <w:vAlign w:val="bottom"/>
            <w:hideMark/>
          </w:tcPr>
          <w:p w14:paraId="64F2A3B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00" w:type="dxa"/>
            <w:shd w:val="clear" w:color="auto" w:fill="CFF0FC"/>
            <w:tcMar>
              <w:top w:w="15" w:type="dxa"/>
              <w:left w:w="0" w:type="dxa"/>
              <w:bottom w:w="0" w:type="dxa"/>
              <w:right w:w="15" w:type="dxa"/>
            </w:tcMar>
            <w:vAlign w:val="bottom"/>
            <w:hideMark/>
          </w:tcPr>
          <w:p w14:paraId="4B8040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245F2E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08512E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(0.1</w:t>
            </w:r>
          </w:p>
        </w:tc>
        <w:tc>
          <w:tcPr>
            <w:tcW w:w="191" w:type="dxa"/>
            <w:shd w:val="clear" w:color="auto" w:fill="CFF0FC"/>
            <w:noWrap/>
            <w:tcMar>
              <w:top w:w="15" w:type="dxa"/>
              <w:left w:w="0" w:type="dxa"/>
              <w:bottom w:w="0" w:type="dxa"/>
              <w:right w:w="15" w:type="dxa"/>
            </w:tcMar>
            <w:vAlign w:val="bottom"/>
            <w:hideMark/>
          </w:tcPr>
          <w:p w14:paraId="2C326F6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25E95D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4BD53B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E41F86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(13.6</w:t>
            </w:r>
          </w:p>
        </w:tc>
        <w:tc>
          <w:tcPr>
            <w:tcW w:w="191" w:type="dxa"/>
            <w:shd w:val="clear" w:color="auto" w:fill="CFF0FC"/>
            <w:noWrap/>
            <w:tcMar>
              <w:top w:w="15" w:type="dxa"/>
              <w:left w:w="0" w:type="dxa"/>
              <w:bottom w:w="0" w:type="dxa"/>
              <w:right w:w="15" w:type="dxa"/>
            </w:tcMar>
            <w:vAlign w:val="bottom"/>
            <w:hideMark/>
          </w:tcPr>
          <w:p w14:paraId="73E2C46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5D96A1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6BDA65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4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4A3AD2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(1.7</w:t>
            </w:r>
          </w:p>
        </w:tc>
        <w:tc>
          <w:tcPr>
            <w:tcW w:w="191" w:type="dxa"/>
            <w:shd w:val="clear" w:color="auto" w:fill="CFF0FC"/>
            <w:noWrap/>
            <w:tcMar>
              <w:top w:w="15" w:type="dxa"/>
              <w:left w:w="0" w:type="dxa"/>
              <w:bottom w:w="0" w:type="dxa"/>
              <w:right w:w="15" w:type="dxa"/>
            </w:tcMar>
            <w:vAlign w:val="bottom"/>
            <w:hideMark/>
          </w:tcPr>
          <w:p w14:paraId="76367EB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00" w:type="dxa"/>
            <w:shd w:val="clear" w:color="auto" w:fill="CFF0FC"/>
            <w:tcMar>
              <w:top w:w="15" w:type="dxa"/>
              <w:left w:w="0" w:type="dxa"/>
              <w:bottom w:w="0" w:type="dxa"/>
              <w:right w:w="15" w:type="dxa"/>
            </w:tcMar>
            <w:vAlign w:val="bottom"/>
            <w:hideMark/>
          </w:tcPr>
          <w:p w14:paraId="23A832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6AA558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93"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9FE12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33.4</w:t>
            </w:r>
          </w:p>
        </w:tc>
        <w:tc>
          <w:tcPr>
            <w:tcW w:w="193" w:type="dxa"/>
            <w:shd w:val="clear" w:color="auto" w:fill="CFF0FC"/>
            <w:noWrap/>
            <w:tcMar>
              <w:top w:w="15" w:type="dxa"/>
              <w:left w:w="0" w:type="dxa"/>
              <w:bottom w:w="0" w:type="dxa"/>
              <w:right w:w="15" w:type="dxa"/>
            </w:tcMar>
            <w:vAlign w:val="bottom"/>
            <w:hideMark/>
          </w:tcPr>
          <w:p w14:paraId="438C7499"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0C18D0DA"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2F10F112" w14:textId="77777777" w:rsidR="00AC4931" w:rsidRPr="00AC4931" w:rsidRDefault="00AC4931" w:rsidP="00AC4931">
      <w:pPr>
        <w:widowControl/>
        <w:spacing w:before="100"/>
        <w:rPr>
          <w:rFonts w:ascii="Arial" w:eastAsia="宋体" w:hAnsi="Arial" w:cs="Arial"/>
          <w:b/>
          <w:bCs/>
          <w:kern w:val="0"/>
          <w:sz w:val="22"/>
        </w:rPr>
      </w:pPr>
      <w:r w:rsidRPr="00AC4931">
        <w:rPr>
          <w:rFonts w:ascii="Arial" w:eastAsia="宋体" w:hAnsi="Arial" w:cs="Arial"/>
          <w:b/>
          <w:bCs/>
          <w:kern w:val="0"/>
          <w:sz w:val="22"/>
        </w:rPr>
        <w:t>13. Product Related Liabilities</w:t>
      </w:r>
    </w:p>
    <w:p w14:paraId="37FD0A05"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Autoliv is exposed to product liability and warranty claims in the event that the Company’s products fail to perform as represented and such failure results, or is alleged to result, in bodily injury, and/or property damage or other loss. The Company has reserves for product risks. Such reserves are related to product performance issues including recall, product liability and warranty issues. For further information, see Note 18.</w:t>
      </w:r>
    </w:p>
    <w:p w14:paraId="01762A6D"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records liabilities for product related risks when probable claims are identified and when it is possible to reasonably estimate costs. Changes in reserve for warranty claims are estimated based on prior experience, likely changes in performance of newer products, and the mix and volume of the products sold. The changes in reserve are recorded on an accrual basis.</w:t>
      </w:r>
    </w:p>
    <w:p w14:paraId="2D464B73"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Pursuant to the Spin-off Agreements, Autoliv is also required to indemnify Veoneer for recalls related to certain qualified Electronics products. At December 31, 2020, the reserves for indemnification liabilities were approximately $10 million and were included within accrued expenses on the Consolidated Balance Sheet.</w:t>
      </w:r>
    </w:p>
    <w:p w14:paraId="7CC948ED"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50FFA2BF" w14:textId="77777777" w:rsidR="00AC4931" w:rsidRPr="00AC4931" w:rsidRDefault="00AC4931" w:rsidP="00AC4931">
      <w:pPr>
        <w:widowControl/>
        <w:spacing w:after="200"/>
        <w:rPr>
          <w:rFonts w:ascii="Arial" w:eastAsia="宋体" w:hAnsi="Arial" w:cs="Arial"/>
          <w:kern w:val="0"/>
          <w:sz w:val="18"/>
          <w:szCs w:val="18"/>
        </w:rPr>
      </w:pPr>
      <w:r w:rsidRPr="00AC4931">
        <w:rPr>
          <w:rFonts w:ascii="Arial" w:eastAsia="宋体" w:hAnsi="Arial" w:cs="Arial"/>
          <w:kern w:val="0"/>
          <w:sz w:val="18"/>
          <w:szCs w:val="18"/>
        </w:rPr>
        <w:t>In 2020, the change in reserve for product related liabilities mainly related to recall related issues, whereof the “Toyota Recall” represented the major recall issue (for further information, see Note 18). </w:t>
      </w:r>
      <w:r w:rsidRPr="00AC4931">
        <w:rPr>
          <w:rFonts w:ascii="Arial" w:eastAsia="宋体" w:hAnsi="Arial" w:cs="Arial"/>
          <w:color w:val="000000"/>
          <w:kern w:val="0"/>
          <w:sz w:val="18"/>
          <w:szCs w:val="18"/>
          <w:shd w:val="clear" w:color="auto" w:fill="FFFFFF"/>
        </w:rPr>
        <w:t xml:space="preserve">In 2018 and 2019, changes in the reserve mainly related to other recall and warranty related issues. In 2018, 2019 </w:t>
      </w:r>
      <w:r w:rsidRPr="00AC4931">
        <w:rPr>
          <w:rFonts w:ascii="Arial" w:eastAsia="宋体" w:hAnsi="Arial" w:cs="Arial"/>
          <w:color w:val="000000"/>
          <w:kern w:val="0"/>
          <w:sz w:val="18"/>
          <w:szCs w:val="18"/>
          <w:shd w:val="clear" w:color="auto" w:fill="FFFFFF"/>
        </w:rPr>
        <w:lastRenderedPageBreak/>
        <w:t>and 2020, cash payments primarily relate to recall and warranty related issues. The reserve for product related liabilities is included in accrued expenses on the Consolidated Balance Sheet.</w:t>
      </w:r>
    </w:p>
    <w:p w14:paraId="7A13582B" w14:textId="77777777" w:rsidR="00AC4931" w:rsidRPr="00AC4931" w:rsidRDefault="00AC4931" w:rsidP="00AC4931">
      <w:pPr>
        <w:widowControl/>
        <w:spacing w:after="200"/>
        <w:rPr>
          <w:rFonts w:ascii="Arial" w:eastAsia="宋体" w:hAnsi="Arial" w:cs="Arial"/>
          <w:kern w:val="0"/>
          <w:sz w:val="18"/>
          <w:szCs w:val="18"/>
        </w:rPr>
      </w:pPr>
      <w:r w:rsidRPr="00AC4931">
        <w:rPr>
          <w:rFonts w:ascii="Arial" w:eastAsia="宋体" w:hAnsi="Arial" w:cs="Arial"/>
          <w:kern w:val="0"/>
          <w:sz w:val="18"/>
          <w:szCs w:val="18"/>
        </w:rPr>
        <w:t>A majority of the Company’s recall related issues as of December 31, 2020 are covered by insurance. Insurance receivables are included within other current and non-current assets on the Consolidated Balance Sheet. As of December 31, 2020, the Company had total insurance receivables related to recall issues of $343 million. The total product liability reserve currently is less than the product liability insurance receivable because the timing of insurance recoveries does not match the timing of our product liability.</w:t>
      </w:r>
    </w:p>
    <w:p w14:paraId="532A6135"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table below summarizes the change in the balance sheet position of the product related liabilities (dollars in millions).</w:t>
      </w:r>
    </w:p>
    <w:p w14:paraId="1BE00433"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48"/>
        <w:gridCol w:w="248"/>
        <w:gridCol w:w="159"/>
        <w:gridCol w:w="1315"/>
        <w:gridCol w:w="159"/>
        <w:gridCol w:w="248"/>
        <w:gridCol w:w="159"/>
        <w:gridCol w:w="1315"/>
        <w:gridCol w:w="159"/>
        <w:gridCol w:w="248"/>
        <w:gridCol w:w="159"/>
        <w:gridCol w:w="1315"/>
        <w:gridCol w:w="159"/>
      </w:tblGrid>
      <w:tr w:rsidR="00AC4931" w:rsidRPr="00AC4931" w14:paraId="49AF34C9" w14:textId="77777777" w:rsidTr="00AC4931">
        <w:tc>
          <w:tcPr>
            <w:tcW w:w="10783" w:type="dxa"/>
            <w:shd w:val="clear" w:color="auto" w:fill="FFFFFF"/>
            <w:tcMar>
              <w:top w:w="15" w:type="dxa"/>
              <w:left w:w="0" w:type="dxa"/>
              <w:bottom w:w="0" w:type="dxa"/>
              <w:right w:w="15" w:type="dxa"/>
            </w:tcMar>
            <w:vAlign w:val="bottom"/>
            <w:hideMark/>
          </w:tcPr>
          <w:p w14:paraId="7C0DD91D" w14:textId="77777777" w:rsidR="00AC4931" w:rsidRPr="00AC4931" w:rsidRDefault="00AC4931" w:rsidP="00AC4931">
            <w:pPr>
              <w:widowControl/>
              <w:jc w:val="left"/>
              <w:rPr>
                <w:rFonts w:ascii="Arial" w:eastAsia="宋体" w:hAnsi="Arial" w:cs="Arial"/>
                <w:kern w:val="0"/>
                <w:sz w:val="20"/>
                <w:szCs w:val="20"/>
              </w:rPr>
            </w:pPr>
            <w:r w:rsidRPr="00AC4931">
              <w:rPr>
                <w:rFonts w:ascii="Arial" w:eastAsia="宋体" w:hAnsi="Arial" w:cs="Arial"/>
                <w:kern w:val="0"/>
                <w:sz w:val="20"/>
                <w:szCs w:val="20"/>
              </w:rPr>
              <w:t> </w:t>
            </w:r>
          </w:p>
        </w:tc>
        <w:tc>
          <w:tcPr>
            <w:tcW w:w="246" w:type="dxa"/>
            <w:shd w:val="clear" w:color="auto" w:fill="FFFFFF"/>
            <w:tcMar>
              <w:top w:w="15" w:type="dxa"/>
              <w:left w:w="0" w:type="dxa"/>
              <w:bottom w:w="0" w:type="dxa"/>
              <w:right w:w="15" w:type="dxa"/>
            </w:tcMar>
            <w:vAlign w:val="bottom"/>
            <w:hideMark/>
          </w:tcPr>
          <w:p w14:paraId="3A4F1D6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7" w:type="dxa"/>
            <w:gridSpan w:val="2"/>
            <w:tcBorders>
              <w:bottom w:val="single" w:sz="6" w:space="0" w:color="000000"/>
            </w:tcBorders>
            <w:shd w:val="clear" w:color="auto" w:fill="FFFFFF"/>
            <w:tcMar>
              <w:top w:w="15" w:type="dxa"/>
              <w:left w:w="0" w:type="dxa"/>
              <w:bottom w:w="0" w:type="dxa"/>
              <w:right w:w="15" w:type="dxa"/>
            </w:tcMar>
            <w:vAlign w:val="bottom"/>
            <w:hideMark/>
          </w:tcPr>
          <w:p w14:paraId="0827D99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7BD3B2F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6" w:type="dxa"/>
            <w:shd w:val="clear" w:color="auto" w:fill="FFFFFF"/>
            <w:tcMar>
              <w:top w:w="15" w:type="dxa"/>
              <w:left w:w="0" w:type="dxa"/>
              <w:bottom w:w="0" w:type="dxa"/>
              <w:right w:w="15" w:type="dxa"/>
            </w:tcMar>
            <w:vAlign w:val="bottom"/>
            <w:hideMark/>
          </w:tcPr>
          <w:p w14:paraId="0385E5F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7" w:type="dxa"/>
            <w:gridSpan w:val="2"/>
            <w:tcBorders>
              <w:bottom w:val="single" w:sz="6" w:space="0" w:color="000000"/>
            </w:tcBorders>
            <w:shd w:val="clear" w:color="auto" w:fill="FFFFFF"/>
            <w:tcMar>
              <w:top w:w="15" w:type="dxa"/>
              <w:left w:w="0" w:type="dxa"/>
              <w:bottom w:w="0" w:type="dxa"/>
              <w:right w:w="15" w:type="dxa"/>
            </w:tcMar>
            <w:vAlign w:val="bottom"/>
            <w:hideMark/>
          </w:tcPr>
          <w:p w14:paraId="42D49AD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7144D69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6" w:type="dxa"/>
            <w:shd w:val="clear" w:color="auto" w:fill="FFFFFF"/>
            <w:tcMar>
              <w:top w:w="15" w:type="dxa"/>
              <w:left w:w="0" w:type="dxa"/>
              <w:bottom w:w="0" w:type="dxa"/>
              <w:right w:w="15" w:type="dxa"/>
            </w:tcMar>
            <w:vAlign w:val="bottom"/>
            <w:hideMark/>
          </w:tcPr>
          <w:p w14:paraId="78EA1AD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7" w:type="dxa"/>
            <w:gridSpan w:val="2"/>
            <w:tcBorders>
              <w:bottom w:val="single" w:sz="6" w:space="0" w:color="000000"/>
            </w:tcBorders>
            <w:shd w:val="clear" w:color="auto" w:fill="FFFFFF"/>
            <w:tcMar>
              <w:top w:w="15" w:type="dxa"/>
              <w:left w:w="0" w:type="dxa"/>
              <w:bottom w:w="0" w:type="dxa"/>
              <w:right w:w="15" w:type="dxa"/>
            </w:tcMar>
            <w:vAlign w:val="bottom"/>
            <w:hideMark/>
          </w:tcPr>
          <w:p w14:paraId="4814101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0" w:type="dxa"/>
            <w:shd w:val="clear" w:color="auto" w:fill="FFFFFF"/>
            <w:noWrap/>
            <w:tcMar>
              <w:top w:w="15" w:type="dxa"/>
              <w:left w:w="0" w:type="dxa"/>
              <w:bottom w:w="0" w:type="dxa"/>
              <w:right w:w="15" w:type="dxa"/>
            </w:tcMar>
            <w:vAlign w:val="bottom"/>
            <w:hideMark/>
          </w:tcPr>
          <w:p w14:paraId="44BAB49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5CA253F5" w14:textId="77777777" w:rsidTr="00AC4931">
        <w:tc>
          <w:tcPr>
            <w:tcW w:w="10783" w:type="dxa"/>
            <w:shd w:val="clear" w:color="auto" w:fill="CFF0FC"/>
            <w:tcMar>
              <w:top w:w="15" w:type="dxa"/>
              <w:left w:w="0" w:type="dxa"/>
              <w:bottom w:w="0" w:type="dxa"/>
              <w:right w:w="15" w:type="dxa"/>
            </w:tcMar>
            <w:vAlign w:val="center"/>
            <w:hideMark/>
          </w:tcPr>
          <w:p w14:paraId="6188EFB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Reserve at beginning of the year</w:t>
            </w:r>
          </w:p>
        </w:tc>
        <w:tc>
          <w:tcPr>
            <w:tcW w:w="246" w:type="dxa"/>
            <w:shd w:val="clear" w:color="auto" w:fill="CFF0FC"/>
            <w:tcMar>
              <w:top w:w="15" w:type="dxa"/>
              <w:left w:w="0" w:type="dxa"/>
              <w:bottom w:w="0" w:type="dxa"/>
              <w:right w:w="15" w:type="dxa"/>
            </w:tcMar>
            <w:vAlign w:val="bottom"/>
            <w:hideMark/>
          </w:tcPr>
          <w:p w14:paraId="5D6215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center"/>
            <w:hideMark/>
          </w:tcPr>
          <w:p w14:paraId="16CC9E0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center"/>
            <w:hideMark/>
          </w:tcPr>
          <w:p w14:paraId="42D85EF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72.1</w:t>
            </w:r>
          </w:p>
        </w:tc>
        <w:tc>
          <w:tcPr>
            <w:tcW w:w="150" w:type="dxa"/>
            <w:shd w:val="clear" w:color="auto" w:fill="CFF0FC"/>
            <w:noWrap/>
            <w:tcMar>
              <w:top w:w="15" w:type="dxa"/>
              <w:left w:w="0" w:type="dxa"/>
              <w:bottom w:w="0" w:type="dxa"/>
              <w:right w:w="15" w:type="dxa"/>
            </w:tcMar>
            <w:vAlign w:val="center"/>
            <w:hideMark/>
          </w:tcPr>
          <w:p w14:paraId="01C1234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6973D9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center"/>
            <w:hideMark/>
          </w:tcPr>
          <w:p w14:paraId="1C5C80A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center"/>
            <w:hideMark/>
          </w:tcPr>
          <w:p w14:paraId="23C07F1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62.2</w:t>
            </w:r>
          </w:p>
        </w:tc>
        <w:tc>
          <w:tcPr>
            <w:tcW w:w="150" w:type="dxa"/>
            <w:shd w:val="clear" w:color="auto" w:fill="CFF0FC"/>
            <w:noWrap/>
            <w:tcMar>
              <w:top w:w="15" w:type="dxa"/>
              <w:left w:w="0" w:type="dxa"/>
              <w:bottom w:w="0" w:type="dxa"/>
              <w:right w:w="15" w:type="dxa"/>
            </w:tcMar>
            <w:vAlign w:val="center"/>
            <w:hideMark/>
          </w:tcPr>
          <w:p w14:paraId="2AD7F82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3A5710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center"/>
            <w:hideMark/>
          </w:tcPr>
          <w:p w14:paraId="391A80D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center"/>
            <w:hideMark/>
          </w:tcPr>
          <w:p w14:paraId="48CEA56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95.6</w:t>
            </w:r>
          </w:p>
        </w:tc>
        <w:tc>
          <w:tcPr>
            <w:tcW w:w="150" w:type="dxa"/>
            <w:shd w:val="clear" w:color="auto" w:fill="CFF0FC"/>
            <w:noWrap/>
            <w:tcMar>
              <w:top w:w="15" w:type="dxa"/>
              <w:left w:w="0" w:type="dxa"/>
              <w:bottom w:w="0" w:type="dxa"/>
              <w:right w:w="15" w:type="dxa"/>
            </w:tcMar>
            <w:vAlign w:val="center"/>
            <w:hideMark/>
          </w:tcPr>
          <w:p w14:paraId="3AAB672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2918DF5" w14:textId="77777777" w:rsidTr="00AC4931">
        <w:tc>
          <w:tcPr>
            <w:tcW w:w="10783" w:type="dxa"/>
            <w:shd w:val="clear" w:color="auto" w:fill="FFFFFF"/>
            <w:tcMar>
              <w:top w:w="15" w:type="dxa"/>
              <w:left w:w="0" w:type="dxa"/>
              <w:bottom w:w="0" w:type="dxa"/>
              <w:right w:w="15" w:type="dxa"/>
            </w:tcMar>
            <w:vAlign w:val="center"/>
            <w:hideMark/>
          </w:tcPr>
          <w:p w14:paraId="5A7BCE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Change in reserve</w:t>
            </w:r>
          </w:p>
        </w:tc>
        <w:tc>
          <w:tcPr>
            <w:tcW w:w="246" w:type="dxa"/>
            <w:shd w:val="clear" w:color="auto" w:fill="FFFFFF"/>
            <w:tcMar>
              <w:top w:w="15" w:type="dxa"/>
              <w:left w:w="0" w:type="dxa"/>
              <w:bottom w:w="0" w:type="dxa"/>
              <w:right w:w="15" w:type="dxa"/>
            </w:tcMar>
            <w:vAlign w:val="bottom"/>
            <w:hideMark/>
          </w:tcPr>
          <w:p w14:paraId="5AB563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center"/>
            <w:hideMark/>
          </w:tcPr>
          <w:p w14:paraId="7BBE86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center"/>
            <w:hideMark/>
          </w:tcPr>
          <w:p w14:paraId="572C20A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303.5</w:t>
            </w:r>
          </w:p>
        </w:tc>
        <w:tc>
          <w:tcPr>
            <w:tcW w:w="150" w:type="dxa"/>
            <w:shd w:val="clear" w:color="auto" w:fill="FFFFFF"/>
            <w:noWrap/>
            <w:tcMar>
              <w:top w:w="15" w:type="dxa"/>
              <w:left w:w="0" w:type="dxa"/>
              <w:bottom w:w="0" w:type="dxa"/>
              <w:right w:w="15" w:type="dxa"/>
            </w:tcMar>
            <w:vAlign w:val="center"/>
            <w:hideMark/>
          </w:tcPr>
          <w:p w14:paraId="52EDE5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FFFFFF"/>
            <w:tcMar>
              <w:top w:w="15" w:type="dxa"/>
              <w:left w:w="0" w:type="dxa"/>
              <w:bottom w:w="0" w:type="dxa"/>
              <w:right w:w="15" w:type="dxa"/>
            </w:tcMar>
            <w:vAlign w:val="bottom"/>
            <w:hideMark/>
          </w:tcPr>
          <w:p w14:paraId="0B905E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center"/>
            <w:hideMark/>
          </w:tcPr>
          <w:p w14:paraId="3C7ED5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center"/>
            <w:hideMark/>
          </w:tcPr>
          <w:p w14:paraId="68CB3FD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39.3</w:t>
            </w:r>
          </w:p>
        </w:tc>
        <w:tc>
          <w:tcPr>
            <w:tcW w:w="150" w:type="dxa"/>
            <w:shd w:val="clear" w:color="auto" w:fill="FFFFFF"/>
            <w:noWrap/>
            <w:tcMar>
              <w:top w:w="15" w:type="dxa"/>
              <w:left w:w="0" w:type="dxa"/>
              <w:bottom w:w="0" w:type="dxa"/>
              <w:right w:w="15" w:type="dxa"/>
            </w:tcMar>
            <w:vAlign w:val="center"/>
            <w:hideMark/>
          </w:tcPr>
          <w:p w14:paraId="585E42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FFFFFF"/>
            <w:tcMar>
              <w:top w:w="15" w:type="dxa"/>
              <w:left w:w="0" w:type="dxa"/>
              <w:bottom w:w="0" w:type="dxa"/>
              <w:right w:w="15" w:type="dxa"/>
            </w:tcMar>
            <w:vAlign w:val="bottom"/>
            <w:hideMark/>
          </w:tcPr>
          <w:p w14:paraId="333C39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center"/>
            <w:hideMark/>
          </w:tcPr>
          <w:p w14:paraId="286585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center"/>
            <w:hideMark/>
          </w:tcPr>
          <w:p w14:paraId="59BDBC4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20.6</w:t>
            </w:r>
          </w:p>
        </w:tc>
        <w:tc>
          <w:tcPr>
            <w:tcW w:w="150" w:type="dxa"/>
            <w:shd w:val="clear" w:color="auto" w:fill="FFFFFF"/>
            <w:noWrap/>
            <w:tcMar>
              <w:top w:w="15" w:type="dxa"/>
              <w:left w:w="0" w:type="dxa"/>
              <w:bottom w:w="0" w:type="dxa"/>
              <w:right w:w="15" w:type="dxa"/>
            </w:tcMar>
            <w:vAlign w:val="center"/>
            <w:hideMark/>
          </w:tcPr>
          <w:p w14:paraId="5EEC19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DA43294" w14:textId="77777777" w:rsidTr="00AC4931">
        <w:tc>
          <w:tcPr>
            <w:tcW w:w="10783" w:type="dxa"/>
            <w:shd w:val="clear" w:color="auto" w:fill="CFF0FC"/>
            <w:tcMar>
              <w:top w:w="15" w:type="dxa"/>
              <w:left w:w="0" w:type="dxa"/>
              <w:bottom w:w="0" w:type="dxa"/>
              <w:right w:w="15" w:type="dxa"/>
            </w:tcMar>
            <w:vAlign w:val="center"/>
            <w:hideMark/>
          </w:tcPr>
          <w:p w14:paraId="44FFC4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Cash payments</w:t>
            </w:r>
          </w:p>
        </w:tc>
        <w:tc>
          <w:tcPr>
            <w:tcW w:w="246" w:type="dxa"/>
            <w:shd w:val="clear" w:color="auto" w:fill="CFF0FC"/>
            <w:tcMar>
              <w:top w:w="15" w:type="dxa"/>
              <w:left w:w="0" w:type="dxa"/>
              <w:bottom w:w="0" w:type="dxa"/>
              <w:right w:w="15" w:type="dxa"/>
            </w:tcMar>
            <w:vAlign w:val="bottom"/>
            <w:hideMark/>
          </w:tcPr>
          <w:p w14:paraId="23203E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center"/>
            <w:hideMark/>
          </w:tcPr>
          <w:p w14:paraId="2708B7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center"/>
            <w:hideMark/>
          </w:tcPr>
          <w:p w14:paraId="146E5E3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(36.0</w:t>
            </w:r>
          </w:p>
        </w:tc>
        <w:tc>
          <w:tcPr>
            <w:tcW w:w="150" w:type="dxa"/>
            <w:shd w:val="clear" w:color="auto" w:fill="CFF0FC"/>
            <w:noWrap/>
            <w:tcMar>
              <w:top w:w="15" w:type="dxa"/>
              <w:left w:w="0" w:type="dxa"/>
              <w:bottom w:w="0" w:type="dxa"/>
              <w:right w:w="15" w:type="dxa"/>
            </w:tcMar>
            <w:vAlign w:val="center"/>
            <w:hideMark/>
          </w:tcPr>
          <w:p w14:paraId="69216D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6" w:type="dxa"/>
            <w:shd w:val="clear" w:color="auto" w:fill="CFF0FC"/>
            <w:tcMar>
              <w:top w:w="15" w:type="dxa"/>
              <w:left w:w="0" w:type="dxa"/>
              <w:bottom w:w="0" w:type="dxa"/>
              <w:right w:w="15" w:type="dxa"/>
            </w:tcMar>
            <w:vAlign w:val="bottom"/>
            <w:hideMark/>
          </w:tcPr>
          <w:p w14:paraId="4271A0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center"/>
            <w:hideMark/>
          </w:tcPr>
          <w:p w14:paraId="1C2F33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center"/>
            <w:hideMark/>
          </w:tcPr>
          <w:p w14:paraId="59CCC1A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(29.1</w:t>
            </w:r>
          </w:p>
        </w:tc>
        <w:tc>
          <w:tcPr>
            <w:tcW w:w="150" w:type="dxa"/>
            <w:shd w:val="clear" w:color="auto" w:fill="CFF0FC"/>
            <w:noWrap/>
            <w:tcMar>
              <w:top w:w="15" w:type="dxa"/>
              <w:left w:w="0" w:type="dxa"/>
              <w:bottom w:w="0" w:type="dxa"/>
              <w:right w:w="15" w:type="dxa"/>
            </w:tcMar>
            <w:vAlign w:val="center"/>
            <w:hideMark/>
          </w:tcPr>
          <w:p w14:paraId="1F2E53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6" w:type="dxa"/>
            <w:shd w:val="clear" w:color="auto" w:fill="CFF0FC"/>
            <w:tcMar>
              <w:top w:w="15" w:type="dxa"/>
              <w:left w:w="0" w:type="dxa"/>
              <w:bottom w:w="0" w:type="dxa"/>
              <w:right w:w="15" w:type="dxa"/>
            </w:tcMar>
            <w:vAlign w:val="bottom"/>
            <w:hideMark/>
          </w:tcPr>
          <w:p w14:paraId="4F52A0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center"/>
            <w:hideMark/>
          </w:tcPr>
          <w:p w14:paraId="2FF413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CFF0FC"/>
            <w:noWrap/>
            <w:tcMar>
              <w:top w:w="15" w:type="dxa"/>
              <w:left w:w="0" w:type="dxa"/>
              <w:bottom w:w="0" w:type="dxa"/>
              <w:right w:w="15" w:type="dxa"/>
            </w:tcMar>
            <w:vAlign w:val="center"/>
            <w:hideMark/>
          </w:tcPr>
          <w:p w14:paraId="41AFA8B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(54.3</w:t>
            </w:r>
          </w:p>
        </w:tc>
        <w:tc>
          <w:tcPr>
            <w:tcW w:w="150" w:type="dxa"/>
            <w:shd w:val="clear" w:color="auto" w:fill="CFF0FC"/>
            <w:noWrap/>
            <w:tcMar>
              <w:top w:w="15" w:type="dxa"/>
              <w:left w:w="0" w:type="dxa"/>
              <w:bottom w:w="0" w:type="dxa"/>
              <w:right w:w="15" w:type="dxa"/>
            </w:tcMar>
            <w:vAlign w:val="center"/>
            <w:hideMark/>
          </w:tcPr>
          <w:p w14:paraId="0AE8BC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5B55BEB" w14:textId="77777777" w:rsidTr="00AC4931">
        <w:tc>
          <w:tcPr>
            <w:tcW w:w="10783" w:type="dxa"/>
            <w:shd w:val="clear" w:color="auto" w:fill="FFFFFF"/>
            <w:tcMar>
              <w:top w:w="15" w:type="dxa"/>
              <w:left w:w="0" w:type="dxa"/>
              <w:bottom w:w="0" w:type="dxa"/>
              <w:right w:w="15" w:type="dxa"/>
            </w:tcMar>
            <w:vAlign w:val="center"/>
            <w:hideMark/>
          </w:tcPr>
          <w:p w14:paraId="3F351B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Translation difference</w:t>
            </w:r>
          </w:p>
        </w:tc>
        <w:tc>
          <w:tcPr>
            <w:tcW w:w="246" w:type="dxa"/>
            <w:shd w:val="clear" w:color="auto" w:fill="FFFFFF"/>
            <w:tcMar>
              <w:top w:w="15" w:type="dxa"/>
              <w:left w:w="0" w:type="dxa"/>
              <w:bottom w:w="0" w:type="dxa"/>
              <w:right w:w="15" w:type="dxa"/>
            </w:tcMar>
            <w:vAlign w:val="bottom"/>
            <w:hideMark/>
          </w:tcPr>
          <w:p w14:paraId="737B3E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center"/>
            <w:hideMark/>
          </w:tcPr>
          <w:p w14:paraId="5A18FA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center"/>
            <w:hideMark/>
          </w:tcPr>
          <w:p w14:paraId="0B4670E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w:t>
            </w:r>
          </w:p>
        </w:tc>
        <w:tc>
          <w:tcPr>
            <w:tcW w:w="150" w:type="dxa"/>
            <w:shd w:val="clear" w:color="auto" w:fill="FFFFFF"/>
            <w:noWrap/>
            <w:tcMar>
              <w:top w:w="15" w:type="dxa"/>
              <w:left w:w="0" w:type="dxa"/>
              <w:bottom w:w="0" w:type="dxa"/>
              <w:right w:w="15" w:type="dxa"/>
            </w:tcMar>
            <w:vAlign w:val="center"/>
            <w:hideMark/>
          </w:tcPr>
          <w:p w14:paraId="286612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6" w:type="dxa"/>
            <w:shd w:val="clear" w:color="auto" w:fill="FFFFFF"/>
            <w:tcMar>
              <w:top w:w="15" w:type="dxa"/>
              <w:left w:w="0" w:type="dxa"/>
              <w:bottom w:w="0" w:type="dxa"/>
              <w:right w:w="15" w:type="dxa"/>
            </w:tcMar>
            <w:vAlign w:val="bottom"/>
            <w:hideMark/>
          </w:tcPr>
          <w:p w14:paraId="6ED154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center"/>
            <w:hideMark/>
          </w:tcPr>
          <w:p w14:paraId="6FA473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center"/>
            <w:hideMark/>
          </w:tcPr>
          <w:p w14:paraId="12FB07C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50" w:type="dxa"/>
            <w:shd w:val="clear" w:color="auto" w:fill="FFFFFF"/>
            <w:noWrap/>
            <w:tcMar>
              <w:top w:w="15" w:type="dxa"/>
              <w:left w:w="0" w:type="dxa"/>
              <w:bottom w:w="0" w:type="dxa"/>
              <w:right w:w="15" w:type="dxa"/>
            </w:tcMar>
            <w:vAlign w:val="center"/>
            <w:hideMark/>
          </w:tcPr>
          <w:p w14:paraId="4366B0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6" w:type="dxa"/>
            <w:shd w:val="clear" w:color="auto" w:fill="FFFFFF"/>
            <w:tcMar>
              <w:top w:w="15" w:type="dxa"/>
              <w:left w:w="0" w:type="dxa"/>
              <w:bottom w:w="0" w:type="dxa"/>
              <w:right w:w="15" w:type="dxa"/>
            </w:tcMar>
            <w:vAlign w:val="bottom"/>
            <w:hideMark/>
          </w:tcPr>
          <w:p w14:paraId="558E93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center"/>
            <w:hideMark/>
          </w:tcPr>
          <w:p w14:paraId="59BE07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FFFFFF"/>
            <w:noWrap/>
            <w:tcMar>
              <w:top w:w="15" w:type="dxa"/>
              <w:left w:w="0" w:type="dxa"/>
              <w:bottom w:w="0" w:type="dxa"/>
              <w:right w:w="15" w:type="dxa"/>
            </w:tcMar>
            <w:vAlign w:val="center"/>
            <w:hideMark/>
          </w:tcPr>
          <w:p w14:paraId="6A3067B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50" w:type="dxa"/>
            <w:shd w:val="clear" w:color="auto" w:fill="FFFFFF"/>
            <w:noWrap/>
            <w:tcMar>
              <w:top w:w="15" w:type="dxa"/>
              <w:left w:w="0" w:type="dxa"/>
              <w:bottom w:w="0" w:type="dxa"/>
              <w:right w:w="15" w:type="dxa"/>
            </w:tcMar>
            <w:vAlign w:val="center"/>
            <w:hideMark/>
          </w:tcPr>
          <w:p w14:paraId="5E08E1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00362B4" w14:textId="77777777" w:rsidTr="00AC4931">
        <w:tc>
          <w:tcPr>
            <w:tcW w:w="10783" w:type="dxa"/>
            <w:shd w:val="clear" w:color="auto" w:fill="CFF0FC"/>
            <w:tcMar>
              <w:top w:w="15" w:type="dxa"/>
              <w:left w:w="0" w:type="dxa"/>
              <w:bottom w:w="0" w:type="dxa"/>
              <w:right w:w="15" w:type="dxa"/>
            </w:tcMar>
            <w:vAlign w:val="center"/>
            <w:hideMark/>
          </w:tcPr>
          <w:p w14:paraId="699404C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Reserve at end of the year</w:t>
            </w:r>
          </w:p>
        </w:tc>
        <w:tc>
          <w:tcPr>
            <w:tcW w:w="246" w:type="dxa"/>
            <w:shd w:val="clear" w:color="auto" w:fill="CFF0FC"/>
            <w:tcMar>
              <w:top w:w="15" w:type="dxa"/>
              <w:left w:w="0" w:type="dxa"/>
              <w:bottom w:w="0" w:type="dxa"/>
              <w:right w:w="15" w:type="dxa"/>
            </w:tcMar>
            <w:vAlign w:val="bottom"/>
            <w:hideMark/>
          </w:tcPr>
          <w:p w14:paraId="6E8878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center"/>
            <w:hideMark/>
          </w:tcPr>
          <w:p w14:paraId="0488514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center"/>
            <w:hideMark/>
          </w:tcPr>
          <w:p w14:paraId="7CA3628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341.0</w:t>
            </w:r>
          </w:p>
        </w:tc>
        <w:tc>
          <w:tcPr>
            <w:tcW w:w="150" w:type="dxa"/>
            <w:shd w:val="clear" w:color="auto" w:fill="CFF0FC"/>
            <w:noWrap/>
            <w:tcMar>
              <w:top w:w="15" w:type="dxa"/>
              <w:left w:w="0" w:type="dxa"/>
              <w:bottom w:w="0" w:type="dxa"/>
              <w:right w:w="15" w:type="dxa"/>
            </w:tcMar>
            <w:vAlign w:val="center"/>
            <w:hideMark/>
          </w:tcPr>
          <w:p w14:paraId="23074B9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69EC31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center"/>
            <w:hideMark/>
          </w:tcPr>
          <w:p w14:paraId="252B64E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center"/>
            <w:hideMark/>
          </w:tcPr>
          <w:p w14:paraId="0CCBED2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72.1</w:t>
            </w:r>
          </w:p>
        </w:tc>
        <w:tc>
          <w:tcPr>
            <w:tcW w:w="150" w:type="dxa"/>
            <w:shd w:val="clear" w:color="auto" w:fill="CFF0FC"/>
            <w:noWrap/>
            <w:tcMar>
              <w:top w:w="15" w:type="dxa"/>
              <w:left w:w="0" w:type="dxa"/>
              <w:bottom w:w="0" w:type="dxa"/>
              <w:right w:w="15" w:type="dxa"/>
            </w:tcMar>
            <w:vAlign w:val="center"/>
            <w:hideMark/>
          </w:tcPr>
          <w:p w14:paraId="0654EFB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46" w:type="dxa"/>
            <w:shd w:val="clear" w:color="auto" w:fill="CFF0FC"/>
            <w:tcMar>
              <w:top w:w="15" w:type="dxa"/>
              <w:left w:w="0" w:type="dxa"/>
              <w:bottom w:w="0" w:type="dxa"/>
              <w:right w:w="15" w:type="dxa"/>
            </w:tcMar>
            <w:vAlign w:val="bottom"/>
            <w:hideMark/>
          </w:tcPr>
          <w:p w14:paraId="037C37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center"/>
            <w:hideMark/>
          </w:tcPr>
          <w:p w14:paraId="4F7AB57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center"/>
            <w:hideMark/>
          </w:tcPr>
          <w:p w14:paraId="3190C12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62.2</w:t>
            </w:r>
          </w:p>
        </w:tc>
        <w:tc>
          <w:tcPr>
            <w:tcW w:w="150" w:type="dxa"/>
            <w:shd w:val="clear" w:color="auto" w:fill="CFF0FC"/>
            <w:noWrap/>
            <w:tcMar>
              <w:top w:w="15" w:type="dxa"/>
              <w:left w:w="0" w:type="dxa"/>
              <w:bottom w:w="0" w:type="dxa"/>
              <w:right w:w="15" w:type="dxa"/>
            </w:tcMar>
            <w:vAlign w:val="center"/>
            <w:hideMark/>
          </w:tcPr>
          <w:p w14:paraId="194E6848"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4CEE7758"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736550CB" w14:textId="77777777" w:rsidR="00AC4931" w:rsidRPr="00AC4931" w:rsidRDefault="00AC4931" w:rsidP="00AC4931">
      <w:pPr>
        <w:widowControl/>
        <w:spacing w:before="100"/>
        <w:rPr>
          <w:rFonts w:ascii="Arial" w:eastAsia="宋体" w:hAnsi="Arial" w:cs="Arial"/>
          <w:b/>
          <w:bCs/>
          <w:kern w:val="0"/>
          <w:sz w:val="22"/>
        </w:rPr>
      </w:pPr>
      <w:r w:rsidRPr="00AC4931">
        <w:rPr>
          <w:rFonts w:ascii="Arial" w:eastAsia="宋体" w:hAnsi="Arial" w:cs="Arial"/>
          <w:b/>
          <w:bCs/>
          <w:kern w:val="0"/>
          <w:sz w:val="22"/>
        </w:rPr>
        <w:t>14. Debt and Credit Agreements</w:t>
      </w:r>
    </w:p>
    <w:p w14:paraId="10D9762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p w14:paraId="01979510" w14:textId="77777777" w:rsidR="00AC4931" w:rsidRPr="00AC4931" w:rsidRDefault="00AC4931" w:rsidP="00AC4931">
      <w:pPr>
        <w:widowControl/>
        <w:rPr>
          <w:rFonts w:ascii="Arial" w:eastAsia="宋体" w:hAnsi="Arial" w:cs="Arial"/>
          <w:b/>
          <w:bCs/>
          <w:kern w:val="0"/>
          <w:sz w:val="18"/>
          <w:szCs w:val="18"/>
        </w:rPr>
      </w:pPr>
      <w:r w:rsidRPr="00AC4931">
        <w:rPr>
          <w:rFonts w:ascii="Arial" w:eastAsia="宋体" w:hAnsi="Arial" w:cs="Arial"/>
          <w:b/>
          <w:bCs/>
          <w:kern w:val="0"/>
          <w:sz w:val="18"/>
          <w:szCs w:val="18"/>
        </w:rPr>
        <w:t>SHORT-TERM DEBT</w:t>
      </w:r>
    </w:p>
    <w:p w14:paraId="2F3E2BD4"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As of December 31, 2020, total short-term debt was $302 million (2019: $368 million). Short-term debt consisted mainly of $275 million USPP Bond with maturity in April 2021 and $27 million local debt.</w:t>
      </w:r>
    </w:p>
    <w:p w14:paraId="7F243383"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Company’s subsidiaries have credit agreements, principally in the form of overdraft facilities with several local banks. Total available short-term facilities as of December 31, 2020, excluding commercial paper facilities as described below, amounted to $487 million, of which approximately $27 million was utilized. The weighted average interest rate on total short-term debt outstanding at December 31, 2020 and 2019, excluding the short-term portion of long-term debt, was 3% and 3%, respectively.</w:t>
      </w:r>
    </w:p>
    <w:p w14:paraId="2AD92995"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LONG-TERM DEBT</w:t>
      </w:r>
    </w:p>
    <w:p w14:paraId="681CF41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As of December 31, 2020, total long-term debt was $2,110 million.</w:t>
      </w:r>
    </w:p>
    <w:p w14:paraId="39CD3B0C" w14:textId="77777777" w:rsidR="00AC4931" w:rsidRPr="00AC4931" w:rsidRDefault="00AC4931" w:rsidP="00AC4931">
      <w:pPr>
        <w:widowControl/>
        <w:spacing w:before="120"/>
        <w:rPr>
          <w:rFonts w:ascii="宋体" w:eastAsia="宋体" w:hAnsi="宋体" w:cs="宋体"/>
          <w:kern w:val="0"/>
          <w:sz w:val="18"/>
          <w:szCs w:val="18"/>
        </w:rPr>
      </w:pPr>
      <w:r w:rsidRPr="00AC4931">
        <w:rPr>
          <w:rFonts w:ascii="宋体" w:eastAsia="宋体" w:hAnsi="宋体" w:cs="宋体"/>
          <w:kern w:val="0"/>
          <w:sz w:val="18"/>
          <w:szCs w:val="18"/>
        </w:rPr>
        <w:t> </w:t>
      </w:r>
    </w:p>
    <w:p w14:paraId="115F1EA4"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In December 2020, the Company repaid the €100 million of 18-month floating rate notes under its EMTN program. It was originally issued in June 2019 and carried a coupon of 3M Euribor +0.50%.  </w:t>
      </w:r>
    </w:p>
    <w:p w14:paraId="092746E8" w14:textId="77777777" w:rsidR="00AC4931" w:rsidRPr="00AC4931" w:rsidRDefault="00AC4931" w:rsidP="00AC4931">
      <w:pPr>
        <w:widowControl/>
        <w:spacing w:before="120"/>
        <w:rPr>
          <w:rFonts w:ascii="宋体" w:eastAsia="宋体" w:hAnsi="宋体" w:cs="宋体"/>
          <w:kern w:val="0"/>
          <w:sz w:val="18"/>
          <w:szCs w:val="18"/>
        </w:rPr>
      </w:pPr>
      <w:r w:rsidRPr="00AC4931">
        <w:rPr>
          <w:rFonts w:ascii="宋体" w:eastAsia="宋体" w:hAnsi="宋体" w:cs="宋体"/>
          <w:kern w:val="0"/>
          <w:sz w:val="18"/>
          <w:szCs w:val="18"/>
        </w:rPr>
        <w:t> </w:t>
      </w:r>
    </w:p>
    <w:p w14:paraId="42D7F724"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In June 2020, the Company repaid its 3-year loan from Swedish Export Credit Corporation of SEK 1,200 million in advance which carried a floating interest rate of 3M STIBOR +0.54%. At the same time, the Company utilized its new SEK 6,000 million facility with Swedish</w:t>
      </w:r>
    </w:p>
    <w:p w14:paraId="7230F724"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74</w:t>
      </w:r>
    </w:p>
    <w:p w14:paraId="5B8622D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3F2F782"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lastRenderedPageBreak/>
        <w:t> </w:t>
      </w:r>
    </w:p>
    <w:p w14:paraId="5B0DFD8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2C52DCB"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F56F510">
          <v:rect id="_x0000_i1101" style="width:0;height:1.5pt" o:hralign="center" o:hrstd="t" o:hrnoshade="t" o:hr="t" fillcolor="black" stroked="f"/>
        </w:pict>
      </w:r>
    </w:p>
    <w:p w14:paraId="217A8C3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56271D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CB6776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F10C2DA" w14:textId="77777777" w:rsidR="00AC4931" w:rsidRPr="00AC4931" w:rsidRDefault="00AC4931" w:rsidP="00AC4931">
      <w:pPr>
        <w:widowControl/>
        <w:spacing w:before="120"/>
        <w:rPr>
          <w:rFonts w:ascii="Arial" w:eastAsia="宋体" w:hAnsi="Arial" w:cs="Arial" w:hint="eastAsia"/>
          <w:kern w:val="0"/>
          <w:sz w:val="18"/>
          <w:szCs w:val="18"/>
        </w:rPr>
      </w:pPr>
      <w:r w:rsidRPr="00AC4931">
        <w:rPr>
          <w:rFonts w:ascii="Arial" w:eastAsia="宋体" w:hAnsi="Arial" w:cs="Arial"/>
          <w:kern w:val="0"/>
          <w:sz w:val="18"/>
          <w:szCs w:val="18"/>
        </w:rPr>
        <w:t>Export Credit Corporation which was signed in May 2020. The SEK 6,000 million facility was utilized in two different loans. One SEK 3,000 million loan maturing in 2022 carrying a floating interest rate of 3M STIBOR +1.35% and one SEK 3,000 million loan maturing in 2025 carrying a floating interest rate of 3M STIBOR +1.85%.                              </w:t>
      </w:r>
    </w:p>
    <w:p w14:paraId="211003C2"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June 2018, the Company also issued €500 million of 5-year notes in the Eurobond market. The notes carry a coupon of 0.75%.</w:t>
      </w:r>
    </w:p>
    <w:p w14:paraId="7E6CE5CA"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2014, the Company issued</w:t>
      </w:r>
      <w:r w:rsidRPr="00AC4931">
        <w:rPr>
          <w:rFonts w:ascii="Arial" w:eastAsia="宋体" w:hAnsi="Arial" w:cs="Arial"/>
          <w:kern w:val="0"/>
          <w:sz w:val="20"/>
          <w:szCs w:val="20"/>
        </w:rPr>
        <w:t> </w:t>
      </w:r>
      <w:r w:rsidRPr="00AC4931">
        <w:rPr>
          <w:rFonts w:ascii="Arial" w:eastAsia="宋体" w:hAnsi="Arial" w:cs="Arial"/>
          <w:kern w:val="0"/>
          <w:sz w:val="18"/>
          <w:szCs w:val="18"/>
        </w:rPr>
        <w:t>long-term debt securities in a U.S. Private Placement. The current long-term debt outstanding from the 2014 issuance consist of: $275 million aggregate principal amount of 7-year senior notes with an interest rate of 3.51%; $297 million aggregate principal amount of 10-year senior notes with an interest rate of 4.09%; $285 million aggregate principal amount of 12-year senior notes with an interest rate of 4.24%; and $185 million aggregate principal amount of 15-year senior notes with an interest rate of 4.44%.</w:t>
      </w:r>
    </w:p>
    <w:p w14:paraId="32B87F0E"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CREDIT FACILITIES</w:t>
      </w:r>
    </w:p>
    <w:p w14:paraId="6AEEFB8C"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In July 2016, the Company signed a $1,100 million senior unsecured revolving credit facility with 14 banks. The term of the facility was 5 years with two one-year extension options. The Company has utilized these extension options and extended the maturity to July 2023. The Company pays a commitment fee on the undrawn amount. The commitment fee is 35% of the applicable margin. The applicable margin is related to the Company’s credit rating. Given the Company’s current credit rating of BBB from S&amp;P Global Ratings, the applicable margin is 0.375%.  As of December 31, 2020, and December 31, 2019, the facility was not utilized.</w:t>
      </w:r>
    </w:p>
    <w:p w14:paraId="6D35244A"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has two commercial paper programs: one SEK 7 billion (approx. $855 million) Swedish program and a $1.0 billion U.S. program. At December 31, 2020 a total of $0 million had been issued under these programs.</w:t>
      </w:r>
    </w:p>
    <w:p w14:paraId="2ABE2398"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is not subject to any financial covenants, i.e. performance related restrictions, in any of its significant long-term borrowings or commitments.</w:t>
      </w:r>
    </w:p>
    <w:p w14:paraId="5B6849AC"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CREDIT RISK</w:t>
      </w:r>
    </w:p>
    <w:p w14:paraId="4ADF21F4"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xml:space="preserve">In the Company’s financial operations, credit risk arises in connection with cash deposits with banks and when entering into forward exchange agreements, swap contracts or other financial instruments. In order to reduce this risk, deposits and financial instruments are only entered with a limited number of banks up to a calculated risk amount of $150 million per bank for banks rated A- or above and up to $50 million for banks rated BBB+. The policy of the Company is to work with banks that have a strong credit rating and that participate in the Company’s financing. In addition to this, deposits of up to an aggregate amount of </w:t>
      </w:r>
      <w:r w:rsidRPr="00AC4931">
        <w:rPr>
          <w:rFonts w:ascii="Arial" w:eastAsia="宋体" w:hAnsi="Arial" w:cs="Arial"/>
          <w:kern w:val="0"/>
          <w:sz w:val="18"/>
          <w:szCs w:val="18"/>
        </w:rPr>
        <w:lastRenderedPageBreak/>
        <w:t>$2 billion can be placed in U.S. and Swedish government paper and in certain AAA rated money market funds. As of December 31, 2020, the Company had placed $392 million in money market funds.</w:t>
      </w:r>
    </w:p>
    <w:p w14:paraId="6D2658A4"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table below shows debt maturity as cash flow. For a description of hedging instruments used as part of debt management, see the Financial Instruments section of Note 2 and Note 5.</w:t>
      </w:r>
    </w:p>
    <w:p w14:paraId="732384F6"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DEBT PROFILE</w:t>
      </w:r>
    </w:p>
    <w:p w14:paraId="34B0B519" w14:textId="77777777" w:rsidR="00AC4931" w:rsidRPr="00AC4931" w:rsidRDefault="00AC4931" w:rsidP="00AC4931">
      <w:pPr>
        <w:widowControl/>
        <w:rPr>
          <w:rFonts w:ascii="宋体" w:eastAsia="宋体" w:hAnsi="宋体" w:cs="宋体"/>
          <w:b/>
          <w:bCs/>
          <w:kern w:val="0"/>
          <w:sz w:val="18"/>
          <w:szCs w:val="18"/>
        </w:rPr>
      </w:pPr>
      <w:r w:rsidRPr="00AC4931">
        <w:rPr>
          <w:rFonts w:ascii="宋体" w:eastAsia="宋体" w:hAnsi="宋体" w:cs="宋体"/>
          <w:b/>
          <w:bCs/>
          <w:kern w:val="0"/>
          <w:sz w:val="18"/>
          <w:szCs w:val="18"/>
        </w:rPr>
        <w:t> </w:t>
      </w:r>
    </w:p>
    <w:tbl>
      <w:tblPr>
        <w:tblW w:w="20614" w:type="dxa"/>
        <w:tblCellMar>
          <w:left w:w="0" w:type="dxa"/>
          <w:right w:w="0" w:type="dxa"/>
        </w:tblCellMar>
        <w:tblLook w:val="04A0" w:firstRow="1" w:lastRow="0" w:firstColumn="1" w:lastColumn="0" w:noHBand="0" w:noVBand="1"/>
      </w:tblPr>
      <w:tblGrid>
        <w:gridCol w:w="8574"/>
        <w:gridCol w:w="193"/>
        <w:gridCol w:w="202"/>
        <w:gridCol w:w="882"/>
        <w:gridCol w:w="202"/>
        <w:gridCol w:w="193"/>
        <w:gridCol w:w="202"/>
        <w:gridCol w:w="882"/>
        <w:gridCol w:w="202"/>
        <w:gridCol w:w="193"/>
        <w:gridCol w:w="202"/>
        <w:gridCol w:w="882"/>
        <w:gridCol w:w="202"/>
        <w:gridCol w:w="193"/>
        <w:gridCol w:w="202"/>
        <w:gridCol w:w="882"/>
        <w:gridCol w:w="202"/>
        <w:gridCol w:w="193"/>
        <w:gridCol w:w="202"/>
        <w:gridCol w:w="882"/>
        <w:gridCol w:w="202"/>
        <w:gridCol w:w="193"/>
        <w:gridCol w:w="202"/>
        <w:gridCol w:w="882"/>
        <w:gridCol w:w="202"/>
        <w:gridCol w:w="193"/>
        <w:gridCol w:w="202"/>
        <w:gridCol w:w="882"/>
        <w:gridCol w:w="202"/>
        <w:gridCol w:w="193"/>
        <w:gridCol w:w="202"/>
        <w:gridCol w:w="882"/>
        <w:gridCol w:w="202"/>
        <w:gridCol w:w="208"/>
      </w:tblGrid>
      <w:tr w:rsidR="00AC4931" w:rsidRPr="00AC4931" w14:paraId="56925111" w14:textId="77777777" w:rsidTr="00AC4931">
        <w:tc>
          <w:tcPr>
            <w:tcW w:w="8465" w:type="dxa"/>
            <w:shd w:val="clear" w:color="auto" w:fill="FFFFFF"/>
            <w:tcMar>
              <w:top w:w="15" w:type="dxa"/>
              <w:left w:w="0" w:type="dxa"/>
              <w:bottom w:w="0" w:type="dxa"/>
              <w:right w:w="15" w:type="dxa"/>
            </w:tcMar>
            <w:vAlign w:val="bottom"/>
            <w:hideMark/>
          </w:tcPr>
          <w:p w14:paraId="7A2050ED"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191" w:type="dxa"/>
            <w:shd w:val="clear" w:color="auto" w:fill="FFFFFF"/>
            <w:tcMar>
              <w:top w:w="15" w:type="dxa"/>
              <w:left w:w="0" w:type="dxa"/>
              <w:bottom w:w="0" w:type="dxa"/>
              <w:right w:w="15" w:type="dxa"/>
            </w:tcMar>
            <w:vAlign w:val="bottom"/>
            <w:hideMark/>
          </w:tcPr>
          <w:p w14:paraId="44CD93E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1DB0C07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856" w:type="dxa"/>
            <w:shd w:val="clear" w:color="auto" w:fill="FFFFFF"/>
            <w:noWrap/>
            <w:tcMar>
              <w:top w:w="15" w:type="dxa"/>
              <w:left w:w="0" w:type="dxa"/>
              <w:bottom w:w="0" w:type="dxa"/>
              <w:right w:w="15" w:type="dxa"/>
            </w:tcMar>
            <w:vAlign w:val="bottom"/>
            <w:hideMark/>
          </w:tcPr>
          <w:p w14:paraId="20D3849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6D938BD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5069C81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052F2C8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856" w:type="dxa"/>
            <w:shd w:val="clear" w:color="auto" w:fill="FFFFFF"/>
            <w:noWrap/>
            <w:tcMar>
              <w:top w:w="15" w:type="dxa"/>
              <w:left w:w="0" w:type="dxa"/>
              <w:bottom w:w="0" w:type="dxa"/>
              <w:right w:w="15" w:type="dxa"/>
            </w:tcMar>
            <w:vAlign w:val="bottom"/>
            <w:hideMark/>
          </w:tcPr>
          <w:p w14:paraId="7DCAD8C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69EC3A6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2689DDC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120E235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856" w:type="dxa"/>
            <w:shd w:val="clear" w:color="auto" w:fill="FFFFFF"/>
            <w:noWrap/>
            <w:tcMar>
              <w:top w:w="15" w:type="dxa"/>
              <w:left w:w="0" w:type="dxa"/>
              <w:bottom w:w="0" w:type="dxa"/>
              <w:right w:w="15" w:type="dxa"/>
            </w:tcMar>
            <w:vAlign w:val="bottom"/>
            <w:hideMark/>
          </w:tcPr>
          <w:p w14:paraId="436F7B3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26D7551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2DE8E25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5A41302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856" w:type="dxa"/>
            <w:shd w:val="clear" w:color="auto" w:fill="FFFFFF"/>
            <w:noWrap/>
            <w:tcMar>
              <w:top w:w="15" w:type="dxa"/>
              <w:left w:w="0" w:type="dxa"/>
              <w:bottom w:w="0" w:type="dxa"/>
              <w:right w:w="15" w:type="dxa"/>
            </w:tcMar>
            <w:vAlign w:val="bottom"/>
            <w:hideMark/>
          </w:tcPr>
          <w:p w14:paraId="11E01EC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5E08B7D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0F828CC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1E5E781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856" w:type="dxa"/>
            <w:shd w:val="clear" w:color="auto" w:fill="FFFFFF"/>
            <w:noWrap/>
            <w:tcMar>
              <w:top w:w="15" w:type="dxa"/>
              <w:left w:w="0" w:type="dxa"/>
              <w:bottom w:w="0" w:type="dxa"/>
              <w:right w:w="15" w:type="dxa"/>
            </w:tcMar>
            <w:vAlign w:val="bottom"/>
            <w:hideMark/>
          </w:tcPr>
          <w:p w14:paraId="2931079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58FDA09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1505E40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1E096BA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856" w:type="dxa"/>
            <w:shd w:val="clear" w:color="auto" w:fill="FFFFFF"/>
            <w:noWrap/>
            <w:tcMar>
              <w:top w:w="15" w:type="dxa"/>
              <w:left w:w="0" w:type="dxa"/>
              <w:bottom w:w="0" w:type="dxa"/>
              <w:right w:w="15" w:type="dxa"/>
            </w:tcMar>
            <w:vAlign w:val="bottom"/>
            <w:hideMark/>
          </w:tcPr>
          <w:p w14:paraId="6A72FB3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581B82B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32732A6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062" w:type="dxa"/>
            <w:gridSpan w:val="2"/>
            <w:shd w:val="clear" w:color="auto" w:fill="FFFFFF"/>
            <w:tcMar>
              <w:top w:w="15" w:type="dxa"/>
              <w:left w:w="0" w:type="dxa"/>
              <w:bottom w:w="0" w:type="dxa"/>
              <w:right w:w="15" w:type="dxa"/>
            </w:tcMar>
            <w:vAlign w:val="bottom"/>
            <w:hideMark/>
          </w:tcPr>
          <w:p w14:paraId="072EB5E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Total</w:t>
            </w:r>
          </w:p>
        </w:tc>
        <w:tc>
          <w:tcPr>
            <w:tcW w:w="191" w:type="dxa"/>
            <w:shd w:val="clear" w:color="auto" w:fill="FFFFFF"/>
            <w:noWrap/>
            <w:tcMar>
              <w:top w:w="15" w:type="dxa"/>
              <w:left w:w="0" w:type="dxa"/>
              <w:bottom w:w="0" w:type="dxa"/>
              <w:right w:w="15" w:type="dxa"/>
            </w:tcMar>
            <w:vAlign w:val="bottom"/>
            <w:hideMark/>
          </w:tcPr>
          <w:p w14:paraId="2604CB1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20EEF97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0AE5C74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856" w:type="dxa"/>
            <w:shd w:val="clear" w:color="auto" w:fill="FFFFFF"/>
            <w:noWrap/>
            <w:tcMar>
              <w:top w:w="15" w:type="dxa"/>
              <w:left w:w="0" w:type="dxa"/>
              <w:bottom w:w="0" w:type="dxa"/>
              <w:right w:w="15" w:type="dxa"/>
            </w:tcMar>
            <w:vAlign w:val="bottom"/>
            <w:hideMark/>
          </w:tcPr>
          <w:p w14:paraId="2C1A3E8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05DE0EE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5" w:type="dxa"/>
            <w:shd w:val="clear" w:color="auto" w:fill="FFFFFF"/>
            <w:tcMar>
              <w:top w:w="15" w:type="dxa"/>
              <w:left w:w="0" w:type="dxa"/>
              <w:bottom w:w="0" w:type="dxa"/>
              <w:right w:w="15" w:type="dxa"/>
            </w:tcMar>
            <w:vAlign w:val="bottom"/>
            <w:hideMark/>
          </w:tcPr>
          <w:p w14:paraId="32ED599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4D7417E" w14:textId="77777777" w:rsidTr="00AC4931">
        <w:tc>
          <w:tcPr>
            <w:tcW w:w="8465" w:type="dxa"/>
            <w:shd w:val="clear" w:color="auto" w:fill="FFFFFF"/>
            <w:tcMar>
              <w:top w:w="15" w:type="dxa"/>
              <w:left w:w="0" w:type="dxa"/>
              <w:bottom w:w="0" w:type="dxa"/>
              <w:right w:w="15" w:type="dxa"/>
            </w:tcMar>
            <w:vAlign w:val="bottom"/>
            <w:hideMark/>
          </w:tcPr>
          <w:p w14:paraId="463CCBE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PRINCIPAL AMOUNT BY EXPECTED MATURITY</w:t>
            </w:r>
          </w:p>
          <w:p w14:paraId="2566FE6A"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u w:val="single"/>
              </w:rPr>
              <w:t>(dollars in millions)</w:t>
            </w:r>
          </w:p>
        </w:tc>
        <w:tc>
          <w:tcPr>
            <w:tcW w:w="191" w:type="dxa"/>
            <w:shd w:val="clear" w:color="auto" w:fill="FFFFFF"/>
            <w:tcMar>
              <w:top w:w="15" w:type="dxa"/>
              <w:left w:w="0" w:type="dxa"/>
              <w:bottom w:w="0" w:type="dxa"/>
              <w:right w:w="15" w:type="dxa"/>
            </w:tcMar>
            <w:vAlign w:val="bottom"/>
            <w:hideMark/>
          </w:tcPr>
          <w:p w14:paraId="7B3AE36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062" w:type="dxa"/>
            <w:gridSpan w:val="2"/>
            <w:tcBorders>
              <w:bottom w:val="single" w:sz="6" w:space="0" w:color="000000"/>
            </w:tcBorders>
            <w:shd w:val="clear" w:color="auto" w:fill="FFFFFF"/>
            <w:tcMar>
              <w:top w:w="15" w:type="dxa"/>
              <w:left w:w="0" w:type="dxa"/>
              <w:bottom w:w="0" w:type="dxa"/>
              <w:right w:w="15" w:type="dxa"/>
            </w:tcMar>
            <w:vAlign w:val="bottom"/>
            <w:hideMark/>
          </w:tcPr>
          <w:p w14:paraId="1D32B76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2021</w:t>
            </w:r>
          </w:p>
        </w:tc>
        <w:tc>
          <w:tcPr>
            <w:tcW w:w="191" w:type="dxa"/>
            <w:shd w:val="clear" w:color="auto" w:fill="FFFFFF"/>
            <w:noWrap/>
            <w:tcMar>
              <w:top w:w="15" w:type="dxa"/>
              <w:left w:w="0" w:type="dxa"/>
              <w:bottom w:w="0" w:type="dxa"/>
              <w:right w:w="15" w:type="dxa"/>
            </w:tcMar>
            <w:vAlign w:val="bottom"/>
            <w:hideMark/>
          </w:tcPr>
          <w:p w14:paraId="3DB344F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216A4B7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062" w:type="dxa"/>
            <w:gridSpan w:val="2"/>
            <w:tcBorders>
              <w:bottom w:val="single" w:sz="6" w:space="0" w:color="000000"/>
            </w:tcBorders>
            <w:shd w:val="clear" w:color="auto" w:fill="FFFFFF"/>
            <w:tcMar>
              <w:top w:w="15" w:type="dxa"/>
              <w:left w:w="0" w:type="dxa"/>
              <w:bottom w:w="0" w:type="dxa"/>
              <w:right w:w="15" w:type="dxa"/>
            </w:tcMar>
            <w:vAlign w:val="bottom"/>
            <w:hideMark/>
          </w:tcPr>
          <w:p w14:paraId="05DDFED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2022</w:t>
            </w:r>
          </w:p>
        </w:tc>
        <w:tc>
          <w:tcPr>
            <w:tcW w:w="191" w:type="dxa"/>
            <w:shd w:val="clear" w:color="auto" w:fill="FFFFFF"/>
            <w:noWrap/>
            <w:tcMar>
              <w:top w:w="15" w:type="dxa"/>
              <w:left w:w="0" w:type="dxa"/>
              <w:bottom w:w="0" w:type="dxa"/>
              <w:right w:w="15" w:type="dxa"/>
            </w:tcMar>
            <w:vAlign w:val="bottom"/>
            <w:hideMark/>
          </w:tcPr>
          <w:p w14:paraId="3086DD3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40E26A8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062" w:type="dxa"/>
            <w:gridSpan w:val="2"/>
            <w:tcBorders>
              <w:bottom w:val="single" w:sz="6" w:space="0" w:color="000000"/>
            </w:tcBorders>
            <w:shd w:val="clear" w:color="auto" w:fill="FFFFFF"/>
            <w:tcMar>
              <w:top w:w="15" w:type="dxa"/>
              <w:left w:w="0" w:type="dxa"/>
              <w:bottom w:w="0" w:type="dxa"/>
              <w:right w:w="15" w:type="dxa"/>
            </w:tcMar>
            <w:vAlign w:val="bottom"/>
            <w:hideMark/>
          </w:tcPr>
          <w:p w14:paraId="491D1F5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2023</w:t>
            </w:r>
          </w:p>
        </w:tc>
        <w:tc>
          <w:tcPr>
            <w:tcW w:w="191" w:type="dxa"/>
            <w:shd w:val="clear" w:color="auto" w:fill="FFFFFF"/>
            <w:noWrap/>
            <w:tcMar>
              <w:top w:w="15" w:type="dxa"/>
              <w:left w:w="0" w:type="dxa"/>
              <w:bottom w:w="0" w:type="dxa"/>
              <w:right w:w="15" w:type="dxa"/>
            </w:tcMar>
            <w:vAlign w:val="bottom"/>
            <w:hideMark/>
          </w:tcPr>
          <w:p w14:paraId="7D495C0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025D1EB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062" w:type="dxa"/>
            <w:gridSpan w:val="2"/>
            <w:tcBorders>
              <w:bottom w:val="single" w:sz="6" w:space="0" w:color="000000"/>
            </w:tcBorders>
            <w:shd w:val="clear" w:color="auto" w:fill="FFFFFF"/>
            <w:tcMar>
              <w:top w:w="15" w:type="dxa"/>
              <w:left w:w="0" w:type="dxa"/>
              <w:bottom w:w="0" w:type="dxa"/>
              <w:right w:w="15" w:type="dxa"/>
            </w:tcMar>
            <w:vAlign w:val="bottom"/>
            <w:hideMark/>
          </w:tcPr>
          <w:p w14:paraId="49700AC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2024</w:t>
            </w:r>
          </w:p>
        </w:tc>
        <w:tc>
          <w:tcPr>
            <w:tcW w:w="191" w:type="dxa"/>
            <w:shd w:val="clear" w:color="auto" w:fill="FFFFFF"/>
            <w:noWrap/>
            <w:tcMar>
              <w:top w:w="15" w:type="dxa"/>
              <w:left w:w="0" w:type="dxa"/>
              <w:bottom w:w="0" w:type="dxa"/>
              <w:right w:w="15" w:type="dxa"/>
            </w:tcMar>
            <w:vAlign w:val="bottom"/>
            <w:hideMark/>
          </w:tcPr>
          <w:p w14:paraId="6A59516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7F94AB3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062" w:type="dxa"/>
            <w:gridSpan w:val="2"/>
            <w:tcBorders>
              <w:bottom w:val="single" w:sz="6" w:space="0" w:color="000000"/>
            </w:tcBorders>
            <w:shd w:val="clear" w:color="auto" w:fill="FFFFFF"/>
            <w:tcMar>
              <w:top w:w="15" w:type="dxa"/>
              <w:left w:w="0" w:type="dxa"/>
              <w:bottom w:w="0" w:type="dxa"/>
              <w:right w:w="15" w:type="dxa"/>
            </w:tcMar>
            <w:vAlign w:val="bottom"/>
            <w:hideMark/>
          </w:tcPr>
          <w:p w14:paraId="057A46A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2025</w:t>
            </w:r>
          </w:p>
        </w:tc>
        <w:tc>
          <w:tcPr>
            <w:tcW w:w="191" w:type="dxa"/>
            <w:shd w:val="clear" w:color="auto" w:fill="FFFFFF"/>
            <w:noWrap/>
            <w:tcMar>
              <w:top w:w="15" w:type="dxa"/>
              <w:left w:w="0" w:type="dxa"/>
              <w:bottom w:w="0" w:type="dxa"/>
              <w:right w:w="15" w:type="dxa"/>
            </w:tcMar>
            <w:vAlign w:val="bottom"/>
            <w:hideMark/>
          </w:tcPr>
          <w:p w14:paraId="3EF592D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6E0F2CF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062" w:type="dxa"/>
            <w:gridSpan w:val="2"/>
            <w:tcBorders>
              <w:bottom w:val="single" w:sz="6" w:space="0" w:color="000000"/>
            </w:tcBorders>
            <w:shd w:val="clear" w:color="auto" w:fill="FFFFFF"/>
            <w:tcMar>
              <w:top w:w="15" w:type="dxa"/>
              <w:left w:w="0" w:type="dxa"/>
              <w:bottom w:w="0" w:type="dxa"/>
              <w:right w:w="15" w:type="dxa"/>
            </w:tcMar>
            <w:vAlign w:val="bottom"/>
            <w:hideMark/>
          </w:tcPr>
          <w:p w14:paraId="573C673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Thereafter</w:t>
            </w:r>
          </w:p>
        </w:tc>
        <w:tc>
          <w:tcPr>
            <w:tcW w:w="191" w:type="dxa"/>
            <w:shd w:val="clear" w:color="auto" w:fill="FFFFFF"/>
            <w:noWrap/>
            <w:tcMar>
              <w:top w:w="15" w:type="dxa"/>
              <w:left w:w="0" w:type="dxa"/>
              <w:bottom w:w="0" w:type="dxa"/>
              <w:right w:w="15" w:type="dxa"/>
            </w:tcMar>
            <w:vAlign w:val="bottom"/>
            <w:hideMark/>
          </w:tcPr>
          <w:p w14:paraId="43510D2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1771D53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062" w:type="dxa"/>
            <w:gridSpan w:val="2"/>
            <w:tcBorders>
              <w:bottom w:val="single" w:sz="6" w:space="0" w:color="000000"/>
            </w:tcBorders>
            <w:shd w:val="clear" w:color="auto" w:fill="FFFFFF"/>
            <w:tcMar>
              <w:top w:w="15" w:type="dxa"/>
              <w:left w:w="0" w:type="dxa"/>
              <w:bottom w:w="0" w:type="dxa"/>
              <w:right w:w="15" w:type="dxa"/>
            </w:tcMar>
            <w:vAlign w:val="bottom"/>
            <w:hideMark/>
          </w:tcPr>
          <w:p w14:paraId="050DDFE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long-</w:t>
            </w:r>
          </w:p>
          <w:p w14:paraId="0054300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term</w:t>
            </w:r>
          </w:p>
        </w:tc>
        <w:tc>
          <w:tcPr>
            <w:tcW w:w="191" w:type="dxa"/>
            <w:shd w:val="clear" w:color="auto" w:fill="FFFFFF"/>
            <w:noWrap/>
            <w:tcMar>
              <w:top w:w="15" w:type="dxa"/>
              <w:left w:w="0" w:type="dxa"/>
              <w:bottom w:w="0" w:type="dxa"/>
              <w:right w:w="15" w:type="dxa"/>
            </w:tcMar>
            <w:vAlign w:val="bottom"/>
            <w:hideMark/>
          </w:tcPr>
          <w:p w14:paraId="38C29D4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1" w:type="dxa"/>
            <w:shd w:val="clear" w:color="auto" w:fill="FFFFFF"/>
            <w:tcMar>
              <w:top w:w="15" w:type="dxa"/>
              <w:left w:w="0" w:type="dxa"/>
              <w:bottom w:w="0" w:type="dxa"/>
              <w:right w:w="15" w:type="dxa"/>
            </w:tcMar>
            <w:vAlign w:val="bottom"/>
            <w:hideMark/>
          </w:tcPr>
          <w:p w14:paraId="1D19BEB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062" w:type="dxa"/>
            <w:gridSpan w:val="2"/>
            <w:tcBorders>
              <w:bottom w:val="single" w:sz="6" w:space="0" w:color="000000"/>
            </w:tcBorders>
            <w:shd w:val="clear" w:color="auto" w:fill="FFFFFF"/>
            <w:tcMar>
              <w:top w:w="15" w:type="dxa"/>
              <w:left w:w="0" w:type="dxa"/>
              <w:bottom w:w="0" w:type="dxa"/>
              <w:right w:w="15" w:type="dxa"/>
            </w:tcMar>
            <w:vAlign w:val="bottom"/>
            <w:hideMark/>
          </w:tcPr>
          <w:p w14:paraId="7FB61A4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Total</w:t>
            </w:r>
          </w:p>
        </w:tc>
        <w:tc>
          <w:tcPr>
            <w:tcW w:w="191" w:type="dxa"/>
            <w:shd w:val="clear" w:color="auto" w:fill="FFFFFF"/>
            <w:noWrap/>
            <w:tcMar>
              <w:top w:w="15" w:type="dxa"/>
              <w:left w:w="0" w:type="dxa"/>
              <w:bottom w:w="0" w:type="dxa"/>
              <w:right w:w="15" w:type="dxa"/>
            </w:tcMar>
            <w:vAlign w:val="bottom"/>
            <w:hideMark/>
          </w:tcPr>
          <w:p w14:paraId="081A8DD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5" w:type="dxa"/>
            <w:shd w:val="clear" w:color="auto" w:fill="FFFFFF"/>
            <w:tcMar>
              <w:top w:w="15" w:type="dxa"/>
              <w:left w:w="0" w:type="dxa"/>
              <w:bottom w:w="0" w:type="dxa"/>
              <w:right w:w="15" w:type="dxa"/>
            </w:tcMar>
            <w:vAlign w:val="bottom"/>
            <w:hideMark/>
          </w:tcPr>
          <w:p w14:paraId="7DC0B47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95DCACB" w14:textId="77777777" w:rsidTr="00AC4931">
        <w:tc>
          <w:tcPr>
            <w:tcW w:w="8465" w:type="dxa"/>
            <w:shd w:val="clear" w:color="auto" w:fill="CFF0FC"/>
            <w:tcMar>
              <w:top w:w="15" w:type="dxa"/>
              <w:left w:w="0" w:type="dxa"/>
              <w:bottom w:w="0" w:type="dxa"/>
              <w:right w:w="15" w:type="dxa"/>
            </w:tcMar>
            <w:vAlign w:val="bottom"/>
            <w:hideMark/>
          </w:tcPr>
          <w:p w14:paraId="30F875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Bonds</w:t>
            </w:r>
          </w:p>
        </w:tc>
        <w:tc>
          <w:tcPr>
            <w:tcW w:w="191" w:type="dxa"/>
            <w:shd w:val="clear" w:color="auto" w:fill="CFF0FC"/>
            <w:tcMar>
              <w:top w:w="15" w:type="dxa"/>
              <w:left w:w="0" w:type="dxa"/>
              <w:bottom w:w="0" w:type="dxa"/>
              <w:right w:w="15" w:type="dxa"/>
            </w:tcMar>
            <w:vAlign w:val="bottom"/>
            <w:hideMark/>
          </w:tcPr>
          <w:p w14:paraId="46B09F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0E637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856" w:type="dxa"/>
            <w:tcBorders>
              <w:top w:val="single" w:sz="6" w:space="0" w:color="000000"/>
            </w:tcBorders>
            <w:shd w:val="clear" w:color="auto" w:fill="CFF0FC"/>
            <w:noWrap/>
            <w:tcMar>
              <w:top w:w="15" w:type="dxa"/>
              <w:left w:w="0" w:type="dxa"/>
              <w:bottom w:w="0" w:type="dxa"/>
              <w:right w:w="15" w:type="dxa"/>
            </w:tcMar>
            <w:vAlign w:val="bottom"/>
            <w:hideMark/>
          </w:tcPr>
          <w:p w14:paraId="1AEFABB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275</w:t>
            </w:r>
          </w:p>
        </w:tc>
        <w:tc>
          <w:tcPr>
            <w:tcW w:w="191" w:type="dxa"/>
            <w:shd w:val="clear" w:color="auto" w:fill="CFF0FC"/>
            <w:noWrap/>
            <w:tcMar>
              <w:top w:w="15" w:type="dxa"/>
              <w:left w:w="0" w:type="dxa"/>
              <w:bottom w:w="0" w:type="dxa"/>
              <w:right w:w="15" w:type="dxa"/>
            </w:tcMar>
            <w:vAlign w:val="bottom"/>
            <w:hideMark/>
          </w:tcPr>
          <w:p w14:paraId="779B82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23DAA6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62AB6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856" w:type="dxa"/>
            <w:tcBorders>
              <w:top w:val="single" w:sz="6" w:space="0" w:color="000000"/>
            </w:tcBorders>
            <w:shd w:val="clear" w:color="auto" w:fill="CFF0FC"/>
            <w:noWrap/>
            <w:tcMar>
              <w:top w:w="15" w:type="dxa"/>
              <w:left w:w="0" w:type="dxa"/>
              <w:bottom w:w="0" w:type="dxa"/>
              <w:right w:w="15" w:type="dxa"/>
            </w:tcMar>
            <w:vAlign w:val="bottom"/>
            <w:hideMark/>
          </w:tcPr>
          <w:p w14:paraId="7FA6823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31DE5E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3AD8A1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3B132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856" w:type="dxa"/>
            <w:tcBorders>
              <w:top w:val="single" w:sz="6" w:space="0" w:color="000000"/>
            </w:tcBorders>
            <w:shd w:val="clear" w:color="auto" w:fill="CFF0FC"/>
            <w:noWrap/>
            <w:tcMar>
              <w:top w:w="15" w:type="dxa"/>
              <w:left w:w="0" w:type="dxa"/>
              <w:bottom w:w="0" w:type="dxa"/>
              <w:right w:w="15" w:type="dxa"/>
            </w:tcMar>
            <w:vAlign w:val="bottom"/>
            <w:hideMark/>
          </w:tcPr>
          <w:p w14:paraId="5FE1F0A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613</w:t>
            </w:r>
          </w:p>
        </w:tc>
        <w:tc>
          <w:tcPr>
            <w:tcW w:w="191" w:type="dxa"/>
            <w:shd w:val="clear" w:color="auto" w:fill="CFF0FC"/>
            <w:noWrap/>
            <w:tcMar>
              <w:top w:w="15" w:type="dxa"/>
              <w:left w:w="0" w:type="dxa"/>
              <w:bottom w:w="0" w:type="dxa"/>
              <w:right w:w="15" w:type="dxa"/>
            </w:tcMar>
            <w:vAlign w:val="bottom"/>
            <w:hideMark/>
          </w:tcPr>
          <w:p w14:paraId="79DA3F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44BCAC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52202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856" w:type="dxa"/>
            <w:tcBorders>
              <w:top w:val="single" w:sz="6" w:space="0" w:color="000000"/>
            </w:tcBorders>
            <w:shd w:val="clear" w:color="auto" w:fill="CFF0FC"/>
            <w:noWrap/>
            <w:tcMar>
              <w:top w:w="15" w:type="dxa"/>
              <w:left w:w="0" w:type="dxa"/>
              <w:bottom w:w="0" w:type="dxa"/>
              <w:right w:w="15" w:type="dxa"/>
            </w:tcMar>
            <w:vAlign w:val="bottom"/>
            <w:hideMark/>
          </w:tcPr>
          <w:p w14:paraId="54CDCCB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297</w:t>
            </w:r>
          </w:p>
        </w:tc>
        <w:tc>
          <w:tcPr>
            <w:tcW w:w="191" w:type="dxa"/>
            <w:shd w:val="clear" w:color="auto" w:fill="CFF0FC"/>
            <w:noWrap/>
            <w:tcMar>
              <w:top w:w="15" w:type="dxa"/>
              <w:left w:w="0" w:type="dxa"/>
              <w:bottom w:w="0" w:type="dxa"/>
              <w:right w:w="15" w:type="dxa"/>
            </w:tcMar>
            <w:vAlign w:val="bottom"/>
            <w:hideMark/>
          </w:tcPr>
          <w:p w14:paraId="76344E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4FAE5E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F5C3C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856" w:type="dxa"/>
            <w:tcBorders>
              <w:top w:val="single" w:sz="6" w:space="0" w:color="000000"/>
            </w:tcBorders>
            <w:shd w:val="clear" w:color="auto" w:fill="CFF0FC"/>
            <w:noWrap/>
            <w:tcMar>
              <w:top w:w="15" w:type="dxa"/>
              <w:left w:w="0" w:type="dxa"/>
              <w:bottom w:w="0" w:type="dxa"/>
              <w:right w:w="15" w:type="dxa"/>
            </w:tcMar>
            <w:vAlign w:val="bottom"/>
            <w:hideMark/>
          </w:tcPr>
          <w:p w14:paraId="409715E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7F309E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072F35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9357C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856" w:type="dxa"/>
            <w:tcBorders>
              <w:top w:val="single" w:sz="6" w:space="0" w:color="000000"/>
            </w:tcBorders>
            <w:shd w:val="clear" w:color="auto" w:fill="CFF0FC"/>
            <w:noWrap/>
            <w:tcMar>
              <w:top w:w="15" w:type="dxa"/>
              <w:left w:w="0" w:type="dxa"/>
              <w:bottom w:w="0" w:type="dxa"/>
              <w:right w:w="15" w:type="dxa"/>
            </w:tcMar>
            <w:vAlign w:val="bottom"/>
            <w:hideMark/>
          </w:tcPr>
          <w:p w14:paraId="53FEB00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470</w:t>
            </w:r>
          </w:p>
        </w:tc>
        <w:tc>
          <w:tcPr>
            <w:tcW w:w="191" w:type="dxa"/>
            <w:shd w:val="clear" w:color="auto" w:fill="CFF0FC"/>
            <w:noWrap/>
            <w:tcMar>
              <w:top w:w="15" w:type="dxa"/>
              <w:left w:w="0" w:type="dxa"/>
              <w:bottom w:w="0" w:type="dxa"/>
              <w:right w:w="15" w:type="dxa"/>
            </w:tcMar>
            <w:vAlign w:val="bottom"/>
            <w:hideMark/>
          </w:tcPr>
          <w:p w14:paraId="6CB4E3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728F2E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9F6D4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856" w:type="dxa"/>
            <w:tcBorders>
              <w:top w:val="single" w:sz="6" w:space="0" w:color="000000"/>
            </w:tcBorders>
            <w:shd w:val="clear" w:color="auto" w:fill="CFF0FC"/>
            <w:noWrap/>
            <w:tcMar>
              <w:top w:w="15" w:type="dxa"/>
              <w:left w:w="0" w:type="dxa"/>
              <w:bottom w:w="0" w:type="dxa"/>
              <w:right w:w="15" w:type="dxa"/>
            </w:tcMar>
            <w:vAlign w:val="bottom"/>
            <w:hideMark/>
          </w:tcPr>
          <w:p w14:paraId="0D50F45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1,380</w:t>
            </w:r>
          </w:p>
        </w:tc>
        <w:tc>
          <w:tcPr>
            <w:tcW w:w="191" w:type="dxa"/>
            <w:shd w:val="clear" w:color="auto" w:fill="CFF0FC"/>
            <w:noWrap/>
            <w:tcMar>
              <w:top w:w="15" w:type="dxa"/>
              <w:left w:w="0" w:type="dxa"/>
              <w:bottom w:w="0" w:type="dxa"/>
              <w:right w:w="15" w:type="dxa"/>
            </w:tcMar>
            <w:vAlign w:val="bottom"/>
            <w:hideMark/>
          </w:tcPr>
          <w:p w14:paraId="75BA36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03D5FD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360FD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856" w:type="dxa"/>
            <w:tcBorders>
              <w:top w:val="single" w:sz="6" w:space="0" w:color="000000"/>
            </w:tcBorders>
            <w:shd w:val="clear" w:color="auto" w:fill="CFF0FC"/>
            <w:noWrap/>
            <w:tcMar>
              <w:top w:w="15" w:type="dxa"/>
              <w:left w:w="0" w:type="dxa"/>
              <w:bottom w:w="0" w:type="dxa"/>
              <w:right w:w="15" w:type="dxa"/>
            </w:tcMar>
            <w:vAlign w:val="bottom"/>
            <w:hideMark/>
          </w:tcPr>
          <w:p w14:paraId="7ADD966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1,655</w:t>
            </w:r>
          </w:p>
        </w:tc>
        <w:tc>
          <w:tcPr>
            <w:tcW w:w="191" w:type="dxa"/>
            <w:shd w:val="clear" w:color="auto" w:fill="CFF0FC"/>
            <w:noWrap/>
            <w:tcMar>
              <w:top w:w="15" w:type="dxa"/>
              <w:left w:w="0" w:type="dxa"/>
              <w:bottom w:w="0" w:type="dxa"/>
              <w:right w:w="15" w:type="dxa"/>
            </w:tcMar>
            <w:vAlign w:val="bottom"/>
            <w:hideMark/>
          </w:tcPr>
          <w:p w14:paraId="21DF5B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5" w:type="dxa"/>
            <w:shd w:val="clear" w:color="auto" w:fill="FFFFFF"/>
            <w:tcMar>
              <w:top w:w="15" w:type="dxa"/>
              <w:left w:w="0" w:type="dxa"/>
              <w:bottom w:w="0" w:type="dxa"/>
              <w:right w:w="15" w:type="dxa"/>
            </w:tcMar>
            <w:vAlign w:val="bottom"/>
            <w:hideMark/>
          </w:tcPr>
          <w:p w14:paraId="10C67AB2"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46B5A106" w14:textId="77777777" w:rsidTr="00AC4931">
        <w:tc>
          <w:tcPr>
            <w:tcW w:w="8465" w:type="dxa"/>
            <w:shd w:val="clear" w:color="auto" w:fill="FFFFFF"/>
            <w:tcMar>
              <w:top w:w="15" w:type="dxa"/>
              <w:left w:w="0" w:type="dxa"/>
              <w:bottom w:w="0" w:type="dxa"/>
              <w:right w:w="15" w:type="dxa"/>
            </w:tcMar>
            <w:vAlign w:val="bottom"/>
            <w:hideMark/>
          </w:tcPr>
          <w:p w14:paraId="0E3996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Loans</w:t>
            </w:r>
          </w:p>
        </w:tc>
        <w:tc>
          <w:tcPr>
            <w:tcW w:w="191" w:type="dxa"/>
            <w:shd w:val="clear" w:color="auto" w:fill="FFFFFF"/>
            <w:tcMar>
              <w:top w:w="15" w:type="dxa"/>
              <w:left w:w="0" w:type="dxa"/>
              <w:bottom w:w="0" w:type="dxa"/>
              <w:right w:w="15" w:type="dxa"/>
            </w:tcMar>
            <w:vAlign w:val="bottom"/>
            <w:hideMark/>
          </w:tcPr>
          <w:p w14:paraId="524415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8ECE9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FFFFFF"/>
            <w:noWrap/>
            <w:tcMar>
              <w:top w:w="15" w:type="dxa"/>
              <w:left w:w="0" w:type="dxa"/>
              <w:bottom w:w="0" w:type="dxa"/>
              <w:right w:w="15" w:type="dxa"/>
            </w:tcMar>
            <w:vAlign w:val="bottom"/>
            <w:hideMark/>
          </w:tcPr>
          <w:p w14:paraId="53B4027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3BD04C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4115A0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5BE22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FFFFFF"/>
            <w:noWrap/>
            <w:tcMar>
              <w:top w:w="15" w:type="dxa"/>
              <w:left w:w="0" w:type="dxa"/>
              <w:bottom w:w="0" w:type="dxa"/>
              <w:right w:w="15" w:type="dxa"/>
            </w:tcMar>
            <w:vAlign w:val="bottom"/>
            <w:hideMark/>
          </w:tcPr>
          <w:p w14:paraId="1A2D808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366</w:t>
            </w:r>
          </w:p>
        </w:tc>
        <w:tc>
          <w:tcPr>
            <w:tcW w:w="191" w:type="dxa"/>
            <w:shd w:val="clear" w:color="auto" w:fill="FFFFFF"/>
            <w:noWrap/>
            <w:tcMar>
              <w:top w:w="15" w:type="dxa"/>
              <w:left w:w="0" w:type="dxa"/>
              <w:bottom w:w="0" w:type="dxa"/>
              <w:right w:w="15" w:type="dxa"/>
            </w:tcMar>
            <w:vAlign w:val="bottom"/>
            <w:hideMark/>
          </w:tcPr>
          <w:p w14:paraId="5EA978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2686EA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0E3BF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FFFFFF"/>
            <w:noWrap/>
            <w:tcMar>
              <w:top w:w="15" w:type="dxa"/>
              <w:left w:w="0" w:type="dxa"/>
              <w:bottom w:w="0" w:type="dxa"/>
              <w:right w:w="15" w:type="dxa"/>
            </w:tcMar>
            <w:vAlign w:val="bottom"/>
            <w:hideMark/>
          </w:tcPr>
          <w:p w14:paraId="5C471C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2F1A4A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1EBA45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B1507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FFFFFF"/>
            <w:noWrap/>
            <w:tcMar>
              <w:top w:w="15" w:type="dxa"/>
              <w:left w:w="0" w:type="dxa"/>
              <w:bottom w:w="0" w:type="dxa"/>
              <w:right w:w="15" w:type="dxa"/>
            </w:tcMar>
            <w:vAlign w:val="bottom"/>
            <w:hideMark/>
          </w:tcPr>
          <w:p w14:paraId="20DB982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2369EF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32275C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B0BD4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FFFFFF"/>
            <w:noWrap/>
            <w:tcMar>
              <w:top w:w="15" w:type="dxa"/>
              <w:left w:w="0" w:type="dxa"/>
              <w:bottom w:w="0" w:type="dxa"/>
              <w:right w:w="15" w:type="dxa"/>
            </w:tcMar>
            <w:vAlign w:val="bottom"/>
            <w:hideMark/>
          </w:tcPr>
          <w:p w14:paraId="7FD8A28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366</w:t>
            </w:r>
          </w:p>
        </w:tc>
        <w:tc>
          <w:tcPr>
            <w:tcW w:w="191" w:type="dxa"/>
            <w:shd w:val="clear" w:color="auto" w:fill="FFFFFF"/>
            <w:noWrap/>
            <w:tcMar>
              <w:top w:w="15" w:type="dxa"/>
              <w:left w:w="0" w:type="dxa"/>
              <w:bottom w:w="0" w:type="dxa"/>
              <w:right w:w="15" w:type="dxa"/>
            </w:tcMar>
            <w:vAlign w:val="bottom"/>
            <w:hideMark/>
          </w:tcPr>
          <w:p w14:paraId="34DF4A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7533C1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DA07E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FFFFFF"/>
            <w:noWrap/>
            <w:tcMar>
              <w:top w:w="15" w:type="dxa"/>
              <w:left w:w="0" w:type="dxa"/>
              <w:bottom w:w="0" w:type="dxa"/>
              <w:right w:w="15" w:type="dxa"/>
            </w:tcMar>
            <w:vAlign w:val="bottom"/>
            <w:hideMark/>
          </w:tcPr>
          <w:p w14:paraId="7119E2C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091DDC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59ADD0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C374C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FFFFFF"/>
            <w:noWrap/>
            <w:tcMar>
              <w:top w:w="15" w:type="dxa"/>
              <w:left w:w="0" w:type="dxa"/>
              <w:bottom w:w="0" w:type="dxa"/>
              <w:right w:w="15" w:type="dxa"/>
            </w:tcMar>
            <w:vAlign w:val="bottom"/>
            <w:hideMark/>
          </w:tcPr>
          <w:p w14:paraId="70726B7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732</w:t>
            </w:r>
          </w:p>
        </w:tc>
        <w:tc>
          <w:tcPr>
            <w:tcW w:w="191" w:type="dxa"/>
            <w:shd w:val="clear" w:color="auto" w:fill="FFFFFF"/>
            <w:noWrap/>
            <w:tcMar>
              <w:top w:w="15" w:type="dxa"/>
              <w:left w:w="0" w:type="dxa"/>
              <w:bottom w:w="0" w:type="dxa"/>
              <w:right w:w="15" w:type="dxa"/>
            </w:tcMar>
            <w:vAlign w:val="bottom"/>
            <w:hideMark/>
          </w:tcPr>
          <w:p w14:paraId="709247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36D719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50640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FFFFFF"/>
            <w:noWrap/>
            <w:tcMar>
              <w:top w:w="15" w:type="dxa"/>
              <w:left w:w="0" w:type="dxa"/>
              <w:bottom w:w="0" w:type="dxa"/>
              <w:right w:w="15" w:type="dxa"/>
            </w:tcMar>
            <w:vAlign w:val="bottom"/>
            <w:hideMark/>
          </w:tcPr>
          <w:p w14:paraId="0BD2B22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732</w:t>
            </w:r>
          </w:p>
        </w:tc>
        <w:tc>
          <w:tcPr>
            <w:tcW w:w="191" w:type="dxa"/>
            <w:shd w:val="clear" w:color="auto" w:fill="FFFFFF"/>
            <w:noWrap/>
            <w:tcMar>
              <w:top w:w="15" w:type="dxa"/>
              <w:left w:w="0" w:type="dxa"/>
              <w:bottom w:w="0" w:type="dxa"/>
              <w:right w:w="15" w:type="dxa"/>
            </w:tcMar>
            <w:vAlign w:val="bottom"/>
            <w:hideMark/>
          </w:tcPr>
          <w:p w14:paraId="2D09F7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5" w:type="dxa"/>
            <w:shd w:val="clear" w:color="auto" w:fill="FFFFFF"/>
            <w:tcMar>
              <w:top w:w="15" w:type="dxa"/>
              <w:left w:w="0" w:type="dxa"/>
              <w:bottom w:w="0" w:type="dxa"/>
              <w:right w:w="15" w:type="dxa"/>
            </w:tcMar>
            <w:vAlign w:val="bottom"/>
            <w:hideMark/>
          </w:tcPr>
          <w:p w14:paraId="72767D66"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00A25D87" w14:textId="77777777" w:rsidTr="00AC4931">
        <w:tc>
          <w:tcPr>
            <w:tcW w:w="8465" w:type="dxa"/>
            <w:shd w:val="clear" w:color="auto" w:fill="CFF0FC"/>
            <w:tcMar>
              <w:top w:w="15" w:type="dxa"/>
              <w:left w:w="0" w:type="dxa"/>
              <w:bottom w:w="0" w:type="dxa"/>
              <w:right w:w="15" w:type="dxa"/>
            </w:tcMar>
            <w:vAlign w:val="bottom"/>
            <w:hideMark/>
          </w:tcPr>
          <w:p w14:paraId="40EF3D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Commercial papers</w:t>
            </w:r>
          </w:p>
        </w:tc>
        <w:tc>
          <w:tcPr>
            <w:tcW w:w="191" w:type="dxa"/>
            <w:shd w:val="clear" w:color="auto" w:fill="CFF0FC"/>
            <w:tcMar>
              <w:top w:w="15" w:type="dxa"/>
              <w:left w:w="0" w:type="dxa"/>
              <w:bottom w:w="0" w:type="dxa"/>
              <w:right w:w="15" w:type="dxa"/>
            </w:tcMar>
            <w:vAlign w:val="bottom"/>
            <w:hideMark/>
          </w:tcPr>
          <w:p w14:paraId="3515F9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719A2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CFF0FC"/>
            <w:noWrap/>
            <w:tcMar>
              <w:top w:w="15" w:type="dxa"/>
              <w:left w:w="0" w:type="dxa"/>
              <w:bottom w:w="0" w:type="dxa"/>
              <w:right w:w="15" w:type="dxa"/>
            </w:tcMar>
            <w:vAlign w:val="bottom"/>
            <w:hideMark/>
          </w:tcPr>
          <w:p w14:paraId="1D6E35E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28172E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1C72B0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6D98E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CFF0FC"/>
            <w:noWrap/>
            <w:tcMar>
              <w:top w:w="15" w:type="dxa"/>
              <w:left w:w="0" w:type="dxa"/>
              <w:bottom w:w="0" w:type="dxa"/>
              <w:right w:w="15" w:type="dxa"/>
            </w:tcMar>
            <w:vAlign w:val="bottom"/>
            <w:hideMark/>
          </w:tcPr>
          <w:p w14:paraId="1342C75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03E6BF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464DA2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B67FA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CFF0FC"/>
            <w:noWrap/>
            <w:tcMar>
              <w:top w:w="15" w:type="dxa"/>
              <w:left w:w="0" w:type="dxa"/>
              <w:bottom w:w="0" w:type="dxa"/>
              <w:right w:w="15" w:type="dxa"/>
            </w:tcMar>
            <w:vAlign w:val="bottom"/>
            <w:hideMark/>
          </w:tcPr>
          <w:p w14:paraId="4F09BC6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438CD2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0C66A7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9315C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CFF0FC"/>
            <w:noWrap/>
            <w:tcMar>
              <w:top w:w="15" w:type="dxa"/>
              <w:left w:w="0" w:type="dxa"/>
              <w:bottom w:w="0" w:type="dxa"/>
              <w:right w:w="15" w:type="dxa"/>
            </w:tcMar>
            <w:vAlign w:val="bottom"/>
            <w:hideMark/>
          </w:tcPr>
          <w:p w14:paraId="55B2E5E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4B2A02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25B70A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A23A9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CFF0FC"/>
            <w:noWrap/>
            <w:tcMar>
              <w:top w:w="15" w:type="dxa"/>
              <w:left w:w="0" w:type="dxa"/>
              <w:bottom w:w="0" w:type="dxa"/>
              <w:right w:w="15" w:type="dxa"/>
            </w:tcMar>
            <w:vAlign w:val="bottom"/>
            <w:hideMark/>
          </w:tcPr>
          <w:p w14:paraId="4529D60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7105D9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08717F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545CD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CFF0FC"/>
            <w:noWrap/>
            <w:tcMar>
              <w:top w:w="15" w:type="dxa"/>
              <w:left w:w="0" w:type="dxa"/>
              <w:bottom w:w="0" w:type="dxa"/>
              <w:right w:w="15" w:type="dxa"/>
            </w:tcMar>
            <w:vAlign w:val="bottom"/>
            <w:hideMark/>
          </w:tcPr>
          <w:p w14:paraId="61D8C57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541C3A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59F28E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949E1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CFF0FC"/>
            <w:noWrap/>
            <w:tcMar>
              <w:top w:w="15" w:type="dxa"/>
              <w:left w:w="0" w:type="dxa"/>
              <w:bottom w:w="0" w:type="dxa"/>
              <w:right w:w="15" w:type="dxa"/>
            </w:tcMar>
            <w:vAlign w:val="bottom"/>
            <w:hideMark/>
          </w:tcPr>
          <w:p w14:paraId="325E1C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5F6A3C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09A41A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7AB5D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shd w:val="clear" w:color="auto" w:fill="CFF0FC"/>
            <w:noWrap/>
            <w:tcMar>
              <w:top w:w="15" w:type="dxa"/>
              <w:left w:w="0" w:type="dxa"/>
              <w:bottom w:w="0" w:type="dxa"/>
              <w:right w:w="15" w:type="dxa"/>
            </w:tcMar>
            <w:vAlign w:val="bottom"/>
            <w:hideMark/>
          </w:tcPr>
          <w:p w14:paraId="04404CE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31D23B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5" w:type="dxa"/>
            <w:shd w:val="clear" w:color="auto" w:fill="FFFFFF"/>
            <w:tcMar>
              <w:top w:w="15" w:type="dxa"/>
              <w:left w:w="0" w:type="dxa"/>
              <w:bottom w:w="0" w:type="dxa"/>
              <w:right w:w="15" w:type="dxa"/>
            </w:tcMar>
            <w:vAlign w:val="bottom"/>
            <w:hideMark/>
          </w:tcPr>
          <w:p w14:paraId="6947C01F"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57320C1B" w14:textId="77777777" w:rsidTr="00AC4931">
        <w:tc>
          <w:tcPr>
            <w:tcW w:w="8465" w:type="dxa"/>
            <w:shd w:val="clear" w:color="auto" w:fill="FFFFFF"/>
            <w:tcMar>
              <w:top w:w="15" w:type="dxa"/>
              <w:left w:w="0" w:type="dxa"/>
              <w:bottom w:w="0" w:type="dxa"/>
              <w:right w:w="15" w:type="dxa"/>
            </w:tcMar>
            <w:vAlign w:val="bottom"/>
            <w:hideMark/>
          </w:tcPr>
          <w:p w14:paraId="6FEAA5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short-term debt</w:t>
            </w:r>
          </w:p>
        </w:tc>
        <w:tc>
          <w:tcPr>
            <w:tcW w:w="191" w:type="dxa"/>
            <w:shd w:val="clear" w:color="auto" w:fill="FFFFFF"/>
            <w:tcMar>
              <w:top w:w="15" w:type="dxa"/>
              <w:left w:w="0" w:type="dxa"/>
              <w:bottom w:w="0" w:type="dxa"/>
              <w:right w:w="15" w:type="dxa"/>
            </w:tcMar>
            <w:vAlign w:val="bottom"/>
            <w:hideMark/>
          </w:tcPr>
          <w:p w14:paraId="17E039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01A05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tcBorders>
              <w:bottom w:val="single" w:sz="6" w:space="0" w:color="000000"/>
            </w:tcBorders>
            <w:shd w:val="clear" w:color="auto" w:fill="FFFFFF"/>
            <w:noWrap/>
            <w:tcMar>
              <w:top w:w="15" w:type="dxa"/>
              <w:left w:w="0" w:type="dxa"/>
              <w:bottom w:w="0" w:type="dxa"/>
              <w:right w:w="15" w:type="dxa"/>
            </w:tcMar>
            <w:vAlign w:val="bottom"/>
            <w:hideMark/>
          </w:tcPr>
          <w:p w14:paraId="514064B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w:t>
            </w:r>
          </w:p>
        </w:tc>
        <w:tc>
          <w:tcPr>
            <w:tcW w:w="191" w:type="dxa"/>
            <w:shd w:val="clear" w:color="auto" w:fill="FFFFFF"/>
            <w:noWrap/>
            <w:tcMar>
              <w:top w:w="15" w:type="dxa"/>
              <w:left w:w="0" w:type="dxa"/>
              <w:bottom w:w="0" w:type="dxa"/>
              <w:right w:w="15" w:type="dxa"/>
            </w:tcMar>
            <w:vAlign w:val="bottom"/>
            <w:hideMark/>
          </w:tcPr>
          <w:p w14:paraId="2E63B1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418F9F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DF705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tcBorders>
              <w:bottom w:val="single" w:sz="6" w:space="0" w:color="000000"/>
            </w:tcBorders>
            <w:shd w:val="clear" w:color="auto" w:fill="FFFFFF"/>
            <w:noWrap/>
            <w:tcMar>
              <w:top w:w="15" w:type="dxa"/>
              <w:left w:w="0" w:type="dxa"/>
              <w:bottom w:w="0" w:type="dxa"/>
              <w:right w:w="15" w:type="dxa"/>
            </w:tcMar>
            <w:vAlign w:val="bottom"/>
            <w:hideMark/>
          </w:tcPr>
          <w:p w14:paraId="489B583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0A9335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4C71B6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162D9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tcBorders>
              <w:bottom w:val="single" w:sz="6" w:space="0" w:color="000000"/>
            </w:tcBorders>
            <w:shd w:val="clear" w:color="auto" w:fill="FFFFFF"/>
            <w:noWrap/>
            <w:tcMar>
              <w:top w:w="15" w:type="dxa"/>
              <w:left w:w="0" w:type="dxa"/>
              <w:bottom w:w="0" w:type="dxa"/>
              <w:right w:w="15" w:type="dxa"/>
            </w:tcMar>
            <w:vAlign w:val="bottom"/>
            <w:hideMark/>
          </w:tcPr>
          <w:p w14:paraId="08420B7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68BD87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49F6B7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8E071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tcBorders>
              <w:bottom w:val="single" w:sz="6" w:space="0" w:color="000000"/>
            </w:tcBorders>
            <w:shd w:val="clear" w:color="auto" w:fill="FFFFFF"/>
            <w:noWrap/>
            <w:tcMar>
              <w:top w:w="15" w:type="dxa"/>
              <w:left w:w="0" w:type="dxa"/>
              <w:bottom w:w="0" w:type="dxa"/>
              <w:right w:w="15" w:type="dxa"/>
            </w:tcMar>
            <w:vAlign w:val="bottom"/>
            <w:hideMark/>
          </w:tcPr>
          <w:p w14:paraId="756993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6E5A5D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1BAFA3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C3328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tcBorders>
              <w:bottom w:val="single" w:sz="6" w:space="0" w:color="000000"/>
            </w:tcBorders>
            <w:shd w:val="clear" w:color="auto" w:fill="FFFFFF"/>
            <w:noWrap/>
            <w:tcMar>
              <w:top w:w="15" w:type="dxa"/>
              <w:left w:w="0" w:type="dxa"/>
              <w:bottom w:w="0" w:type="dxa"/>
              <w:right w:w="15" w:type="dxa"/>
            </w:tcMar>
            <w:vAlign w:val="bottom"/>
            <w:hideMark/>
          </w:tcPr>
          <w:p w14:paraId="11929B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405D03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4B5F5B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45268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tcBorders>
              <w:bottom w:val="single" w:sz="6" w:space="0" w:color="000000"/>
            </w:tcBorders>
            <w:shd w:val="clear" w:color="auto" w:fill="FFFFFF"/>
            <w:noWrap/>
            <w:tcMar>
              <w:top w:w="15" w:type="dxa"/>
              <w:left w:w="0" w:type="dxa"/>
              <w:bottom w:w="0" w:type="dxa"/>
              <w:right w:w="15" w:type="dxa"/>
            </w:tcMar>
            <w:vAlign w:val="bottom"/>
            <w:hideMark/>
          </w:tcPr>
          <w:p w14:paraId="0878F44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233EE2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3E7BFC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59AA5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tcBorders>
              <w:bottom w:val="single" w:sz="6" w:space="0" w:color="000000"/>
            </w:tcBorders>
            <w:shd w:val="clear" w:color="auto" w:fill="FFFFFF"/>
            <w:noWrap/>
            <w:tcMar>
              <w:top w:w="15" w:type="dxa"/>
              <w:left w:w="0" w:type="dxa"/>
              <w:bottom w:w="0" w:type="dxa"/>
              <w:right w:w="15" w:type="dxa"/>
            </w:tcMar>
            <w:vAlign w:val="bottom"/>
            <w:hideMark/>
          </w:tcPr>
          <w:p w14:paraId="08BB339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10B663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tcMar>
              <w:top w:w="15" w:type="dxa"/>
              <w:left w:w="0" w:type="dxa"/>
              <w:bottom w:w="0" w:type="dxa"/>
              <w:right w:w="15" w:type="dxa"/>
            </w:tcMar>
            <w:vAlign w:val="bottom"/>
            <w:hideMark/>
          </w:tcPr>
          <w:p w14:paraId="400C2C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E1CDE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856" w:type="dxa"/>
            <w:tcBorders>
              <w:bottom w:val="single" w:sz="6" w:space="0" w:color="000000"/>
            </w:tcBorders>
            <w:shd w:val="clear" w:color="auto" w:fill="FFFFFF"/>
            <w:noWrap/>
            <w:tcMar>
              <w:top w:w="15" w:type="dxa"/>
              <w:left w:w="0" w:type="dxa"/>
              <w:bottom w:w="0" w:type="dxa"/>
              <w:right w:w="15" w:type="dxa"/>
            </w:tcMar>
            <w:vAlign w:val="bottom"/>
            <w:hideMark/>
          </w:tcPr>
          <w:p w14:paraId="249B076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w:t>
            </w:r>
          </w:p>
        </w:tc>
        <w:tc>
          <w:tcPr>
            <w:tcW w:w="191" w:type="dxa"/>
            <w:shd w:val="clear" w:color="auto" w:fill="FFFFFF"/>
            <w:noWrap/>
            <w:tcMar>
              <w:top w:w="15" w:type="dxa"/>
              <w:left w:w="0" w:type="dxa"/>
              <w:bottom w:w="0" w:type="dxa"/>
              <w:right w:w="15" w:type="dxa"/>
            </w:tcMar>
            <w:vAlign w:val="bottom"/>
            <w:hideMark/>
          </w:tcPr>
          <w:p w14:paraId="6A78D4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5" w:type="dxa"/>
            <w:shd w:val="clear" w:color="auto" w:fill="FFFFFF"/>
            <w:tcMar>
              <w:top w:w="15" w:type="dxa"/>
              <w:left w:w="0" w:type="dxa"/>
              <w:bottom w:w="0" w:type="dxa"/>
              <w:right w:w="15" w:type="dxa"/>
            </w:tcMar>
            <w:vAlign w:val="bottom"/>
            <w:hideMark/>
          </w:tcPr>
          <w:p w14:paraId="388EBE94"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r>
      <w:tr w:rsidR="00AC4931" w:rsidRPr="00AC4931" w14:paraId="4769CDF1" w14:textId="77777777" w:rsidTr="00AC4931">
        <w:tc>
          <w:tcPr>
            <w:tcW w:w="8465" w:type="dxa"/>
            <w:shd w:val="clear" w:color="auto" w:fill="CFF0FC"/>
            <w:tcMar>
              <w:top w:w="15" w:type="dxa"/>
              <w:left w:w="0" w:type="dxa"/>
              <w:bottom w:w="0" w:type="dxa"/>
              <w:right w:w="15" w:type="dxa"/>
            </w:tcMar>
            <w:vAlign w:val="bottom"/>
            <w:hideMark/>
          </w:tcPr>
          <w:p w14:paraId="3607479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principal amount</w:t>
            </w:r>
          </w:p>
        </w:tc>
        <w:tc>
          <w:tcPr>
            <w:tcW w:w="191" w:type="dxa"/>
            <w:shd w:val="clear" w:color="auto" w:fill="CFF0FC"/>
            <w:tcMar>
              <w:top w:w="15" w:type="dxa"/>
              <w:left w:w="0" w:type="dxa"/>
              <w:bottom w:w="0" w:type="dxa"/>
              <w:right w:w="15" w:type="dxa"/>
            </w:tcMar>
            <w:vAlign w:val="bottom"/>
            <w:hideMark/>
          </w:tcPr>
          <w:p w14:paraId="505164C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D93539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85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7F9F3D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302</w:t>
            </w:r>
          </w:p>
        </w:tc>
        <w:tc>
          <w:tcPr>
            <w:tcW w:w="191" w:type="dxa"/>
            <w:shd w:val="clear" w:color="auto" w:fill="CFF0FC"/>
            <w:noWrap/>
            <w:tcMar>
              <w:top w:w="15" w:type="dxa"/>
              <w:left w:w="0" w:type="dxa"/>
              <w:bottom w:w="0" w:type="dxa"/>
              <w:right w:w="15" w:type="dxa"/>
            </w:tcMar>
            <w:vAlign w:val="bottom"/>
            <w:hideMark/>
          </w:tcPr>
          <w:p w14:paraId="4B0D275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52AC497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68A5D6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85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52DFAB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366</w:t>
            </w:r>
          </w:p>
        </w:tc>
        <w:tc>
          <w:tcPr>
            <w:tcW w:w="191" w:type="dxa"/>
            <w:shd w:val="clear" w:color="auto" w:fill="CFF0FC"/>
            <w:noWrap/>
            <w:tcMar>
              <w:top w:w="15" w:type="dxa"/>
              <w:left w:w="0" w:type="dxa"/>
              <w:bottom w:w="0" w:type="dxa"/>
              <w:right w:w="15" w:type="dxa"/>
            </w:tcMar>
            <w:vAlign w:val="bottom"/>
            <w:hideMark/>
          </w:tcPr>
          <w:p w14:paraId="7FF8A84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015BBB0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722C74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85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C447A9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613</w:t>
            </w:r>
          </w:p>
        </w:tc>
        <w:tc>
          <w:tcPr>
            <w:tcW w:w="191" w:type="dxa"/>
            <w:shd w:val="clear" w:color="auto" w:fill="CFF0FC"/>
            <w:noWrap/>
            <w:tcMar>
              <w:top w:w="15" w:type="dxa"/>
              <w:left w:w="0" w:type="dxa"/>
              <w:bottom w:w="0" w:type="dxa"/>
              <w:right w:w="15" w:type="dxa"/>
            </w:tcMar>
            <w:vAlign w:val="bottom"/>
            <w:hideMark/>
          </w:tcPr>
          <w:p w14:paraId="7A1FB8D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2E02DC9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ED611A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85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71253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297</w:t>
            </w:r>
          </w:p>
        </w:tc>
        <w:tc>
          <w:tcPr>
            <w:tcW w:w="191" w:type="dxa"/>
            <w:shd w:val="clear" w:color="auto" w:fill="CFF0FC"/>
            <w:noWrap/>
            <w:tcMar>
              <w:top w:w="15" w:type="dxa"/>
              <w:left w:w="0" w:type="dxa"/>
              <w:bottom w:w="0" w:type="dxa"/>
              <w:right w:w="15" w:type="dxa"/>
            </w:tcMar>
            <w:vAlign w:val="bottom"/>
            <w:hideMark/>
          </w:tcPr>
          <w:p w14:paraId="50AD832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2B8C3BC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DDE941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85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EE3284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366</w:t>
            </w:r>
          </w:p>
        </w:tc>
        <w:tc>
          <w:tcPr>
            <w:tcW w:w="191" w:type="dxa"/>
            <w:shd w:val="clear" w:color="auto" w:fill="CFF0FC"/>
            <w:noWrap/>
            <w:tcMar>
              <w:top w:w="15" w:type="dxa"/>
              <w:left w:w="0" w:type="dxa"/>
              <w:bottom w:w="0" w:type="dxa"/>
              <w:right w:w="15" w:type="dxa"/>
            </w:tcMar>
            <w:vAlign w:val="bottom"/>
            <w:hideMark/>
          </w:tcPr>
          <w:p w14:paraId="0B8D901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50DDFA8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EE0F90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85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7BDDE7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470</w:t>
            </w:r>
          </w:p>
        </w:tc>
        <w:tc>
          <w:tcPr>
            <w:tcW w:w="191" w:type="dxa"/>
            <w:shd w:val="clear" w:color="auto" w:fill="CFF0FC"/>
            <w:noWrap/>
            <w:tcMar>
              <w:top w:w="15" w:type="dxa"/>
              <w:left w:w="0" w:type="dxa"/>
              <w:bottom w:w="0" w:type="dxa"/>
              <w:right w:w="15" w:type="dxa"/>
            </w:tcMar>
            <w:vAlign w:val="bottom"/>
            <w:hideMark/>
          </w:tcPr>
          <w:p w14:paraId="5A0CC7D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375C1F1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421528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85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66EB9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2,112</w:t>
            </w:r>
          </w:p>
        </w:tc>
        <w:tc>
          <w:tcPr>
            <w:tcW w:w="191" w:type="dxa"/>
            <w:shd w:val="clear" w:color="auto" w:fill="CFF0FC"/>
            <w:noWrap/>
            <w:tcMar>
              <w:top w:w="15" w:type="dxa"/>
              <w:left w:w="0" w:type="dxa"/>
              <w:bottom w:w="0" w:type="dxa"/>
              <w:right w:w="15" w:type="dxa"/>
            </w:tcMar>
            <w:vAlign w:val="bottom"/>
            <w:hideMark/>
          </w:tcPr>
          <w:p w14:paraId="2068D9B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shd w:val="clear" w:color="auto" w:fill="CFF0FC"/>
            <w:tcMar>
              <w:top w:w="15" w:type="dxa"/>
              <w:left w:w="0" w:type="dxa"/>
              <w:bottom w:w="0" w:type="dxa"/>
              <w:right w:w="15" w:type="dxa"/>
            </w:tcMar>
            <w:vAlign w:val="bottom"/>
            <w:hideMark/>
          </w:tcPr>
          <w:p w14:paraId="7174536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B0C38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856"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48F61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2,414</w:t>
            </w:r>
          </w:p>
        </w:tc>
        <w:tc>
          <w:tcPr>
            <w:tcW w:w="191" w:type="dxa"/>
            <w:shd w:val="clear" w:color="auto" w:fill="CFF0FC"/>
            <w:noWrap/>
            <w:tcMar>
              <w:top w:w="15" w:type="dxa"/>
              <w:left w:w="0" w:type="dxa"/>
              <w:bottom w:w="0" w:type="dxa"/>
              <w:right w:w="15" w:type="dxa"/>
            </w:tcMar>
            <w:vAlign w:val="bottom"/>
            <w:hideMark/>
          </w:tcPr>
          <w:p w14:paraId="0816B6F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05" w:type="dxa"/>
            <w:shd w:val="clear" w:color="auto" w:fill="FFFFFF"/>
            <w:tcMar>
              <w:top w:w="15" w:type="dxa"/>
              <w:left w:w="0" w:type="dxa"/>
              <w:bottom w:w="0" w:type="dxa"/>
              <w:right w:w="15" w:type="dxa"/>
            </w:tcMar>
            <w:vAlign w:val="bottom"/>
            <w:hideMark/>
          </w:tcPr>
          <w:p w14:paraId="6A75E1F1"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18"/>
                <w:szCs w:val="18"/>
                <w:vertAlign w:val="superscript"/>
              </w:rPr>
              <w:t>1)</w:t>
            </w:r>
          </w:p>
        </w:tc>
      </w:tr>
    </w:tbl>
    <w:p w14:paraId="410E65E6" w14:textId="77777777" w:rsidR="00AC4931" w:rsidRPr="00AC4931" w:rsidRDefault="00AC4931" w:rsidP="00AC4931">
      <w:pPr>
        <w:widowControl/>
        <w:ind w:left="919" w:hanging="546"/>
        <w:rPr>
          <w:rFonts w:ascii="宋体" w:eastAsia="宋体" w:hAnsi="宋体" w:cs="宋体"/>
          <w:kern w:val="0"/>
          <w:sz w:val="24"/>
          <w:szCs w:val="24"/>
        </w:rPr>
      </w:pPr>
      <w:r w:rsidRPr="00AC4931">
        <w:rPr>
          <w:rFonts w:ascii="宋体" w:eastAsia="宋体" w:hAnsi="宋体" w:cs="宋体"/>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67F3B12A" w14:textId="77777777" w:rsidTr="00AC4931">
        <w:tc>
          <w:tcPr>
            <w:tcW w:w="919" w:type="dxa"/>
            <w:noWrap/>
            <w:hideMark/>
          </w:tcPr>
          <w:p w14:paraId="6068101B"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1)</w:t>
            </w:r>
          </w:p>
        </w:tc>
        <w:tc>
          <w:tcPr>
            <w:tcW w:w="0" w:type="auto"/>
            <w:hideMark/>
          </w:tcPr>
          <w:p w14:paraId="133EB6B3"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The difference between reported total debt and total principal amount is mainly related to capitalized debt issuance costs.</w:t>
            </w:r>
          </w:p>
        </w:tc>
      </w:tr>
    </w:tbl>
    <w:p w14:paraId="0AE084AF" w14:textId="77777777" w:rsidR="00AC4931" w:rsidRPr="00AC4931" w:rsidRDefault="00AC4931" w:rsidP="00AC4931">
      <w:pPr>
        <w:widowControl/>
        <w:rPr>
          <w:rFonts w:ascii="Times New Roman" w:eastAsia="宋体" w:hAnsi="Times New Roman" w:cs="Times New Roman"/>
          <w:color w:val="000000"/>
          <w:kern w:val="0"/>
          <w:sz w:val="20"/>
          <w:szCs w:val="20"/>
        </w:rPr>
      </w:pPr>
      <w:r w:rsidRPr="00AC4931">
        <w:rPr>
          <w:rFonts w:ascii="Times New Roman" w:eastAsia="宋体" w:hAnsi="Times New Roman" w:cs="Times New Roman"/>
          <w:color w:val="000000"/>
          <w:kern w:val="0"/>
          <w:sz w:val="20"/>
          <w:szCs w:val="20"/>
        </w:rPr>
        <w:t> </w:t>
      </w:r>
    </w:p>
    <w:p w14:paraId="624EDAAE" w14:textId="77777777" w:rsidR="00AC4931" w:rsidRPr="00AC4931" w:rsidRDefault="00AC4931" w:rsidP="00AC4931">
      <w:pPr>
        <w:widowControl/>
        <w:jc w:val="left"/>
        <w:rPr>
          <w:rFonts w:ascii="Arial" w:eastAsia="宋体" w:hAnsi="Arial" w:cs="Arial"/>
          <w:color w:val="000000"/>
          <w:kern w:val="0"/>
          <w:sz w:val="20"/>
          <w:szCs w:val="20"/>
        </w:rPr>
      </w:pPr>
    </w:p>
    <w:p w14:paraId="06282C64"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75</w:t>
      </w:r>
    </w:p>
    <w:p w14:paraId="4E3BB060"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2EA279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BFEC2F2"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789A2FF"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06044CB8">
          <v:rect id="_x0000_i1102" style="width:0;height:1.5pt" o:hralign="center" o:hrstd="t" o:hrnoshade="t" o:hr="t" fillcolor="black" stroked="f"/>
        </w:pict>
      </w:r>
    </w:p>
    <w:p w14:paraId="463EC56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1273C01"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935F8C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6960BC3" w14:textId="77777777" w:rsidR="00AC4931" w:rsidRPr="00AC4931" w:rsidRDefault="00AC4931" w:rsidP="00AC4931">
      <w:pPr>
        <w:widowControl/>
        <w:spacing w:before="340"/>
        <w:rPr>
          <w:rFonts w:ascii="Arial" w:eastAsia="宋体" w:hAnsi="Arial" w:cs="Arial" w:hint="eastAsia"/>
          <w:b/>
          <w:bCs/>
          <w:kern w:val="0"/>
          <w:sz w:val="22"/>
        </w:rPr>
      </w:pPr>
      <w:r w:rsidRPr="00AC4931">
        <w:rPr>
          <w:rFonts w:ascii="Arial" w:eastAsia="宋体" w:hAnsi="Arial" w:cs="Arial"/>
          <w:b/>
          <w:bCs/>
          <w:kern w:val="0"/>
          <w:sz w:val="22"/>
        </w:rPr>
        <w:t>15. Shareholders’ Equity</w:t>
      </w:r>
    </w:p>
    <w:p w14:paraId="754E2263"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number of shares outstanding as of December 31, 2020 was 87,353,432.</w:t>
      </w:r>
    </w:p>
    <w:p w14:paraId="518A1531"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766"/>
        <w:gridCol w:w="245"/>
        <w:gridCol w:w="158"/>
        <w:gridCol w:w="1306"/>
        <w:gridCol w:w="158"/>
        <w:gridCol w:w="245"/>
        <w:gridCol w:w="158"/>
        <w:gridCol w:w="1306"/>
        <w:gridCol w:w="158"/>
        <w:gridCol w:w="245"/>
        <w:gridCol w:w="158"/>
        <w:gridCol w:w="1429"/>
        <w:gridCol w:w="159"/>
      </w:tblGrid>
      <w:tr w:rsidR="00AC4931" w:rsidRPr="00AC4931" w14:paraId="16894982" w14:textId="77777777" w:rsidTr="00AC4931">
        <w:tc>
          <w:tcPr>
            <w:tcW w:w="10785" w:type="dxa"/>
            <w:shd w:val="clear" w:color="auto" w:fill="FFFFFF"/>
            <w:tcMar>
              <w:top w:w="15" w:type="dxa"/>
              <w:left w:w="0" w:type="dxa"/>
              <w:bottom w:w="0" w:type="dxa"/>
              <w:right w:w="15" w:type="dxa"/>
            </w:tcMar>
            <w:vAlign w:val="bottom"/>
            <w:hideMark/>
          </w:tcPr>
          <w:p w14:paraId="395BE1E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DIVIDENDS</w:t>
            </w:r>
          </w:p>
        </w:tc>
        <w:tc>
          <w:tcPr>
            <w:tcW w:w="245" w:type="dxa"/>
            <w:shd w:val="clear" w:color="auto" w:fill="FFFFFF"/>
            <w:tcMar>
              <w:top w:w="15" w:type="dxa"/>
              <w:left w:w="0" w:type="dxa"/>
              <w:bottom w:w="0" w:type="dxa"/>
              <w:right w:w="15" w:type="dxa"/>
            </w:tcMar>
            <w:vAlign w:val="bottom"/>
            <w:hideMark/>
          </w:tcPr>
          <w:p w14:paraId="14F714D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65E8655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1F84622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34B6E1D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6703B7B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14ACF9C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4AF6DD2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7B8FBC5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54387FB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B79BCF5" w14:textId="77777777" w:rsidTr="00AC4931">
        <w:tc>
          <w:tcPr>
            <w:tcW w:w="10785" w:type="dxa"/>
            <w:shd w:val="clear" w:color="auto" w:fill="CFF0FC"/>
            <w:tcMar>
              <w:top w:w="15" w:type="dxa"/>
              <w:left w:w="0" w:type="dxa"/>
              <w:bottom w:w="0" w:type="dxa"/>
              <w:right w:w="15" w:type="dxa"/>
            </w:tcMar>
            <w:hideMark/>
          </w:tcPr>
          <w:p w14:paraId="2BD5BD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Cash dividend paid per share</w:t>
            </w:r>
          </w:p>
        </w:tc>
        <w:tc>
          <w:tcPr>
            <w:tcW w:w="245" w:type="dxa"/>
            <w:shd w:val="clear" w:color="auto" w:fill="CFF0FC"/>
            <w:tcMar>
              <w:top w:w="15" w:type="dxa"/>
              <w:left w:w="0" w:type="dxa"/>
              <w:bottom w:w="0" w:type="dxa"/>
              <w:right w:w="15" w:type="dxa"/>
            </w:tcMar>
            <w:vAlign w:val="bottom"/>
            <w:hideMark/>
          </w:tcPr>
          <w:p w14:paraId="41D461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B9EB8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632768A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0.62</w:t>
            </w:r>
          </w:p>
        </w:tc>
        <w:tc>
          <w:tcPr>
            <w:tcW w:w="150" w:type="dxa"/>
            <w:shd w:val="clear" w:color="auto" w:fill="CFF0FC"/>
            <w:noWrap/>
            <w:tcMar>
              <w:top w:w="15" w:type="dxa"/>
              <w:left w:w="0" w:type="dxa"/>
              <w:bottom w:w="0" w:type="dxa"/>
              <w:right w:w="15" w:type="dxa"/>
            </w:tcMar>
            <w:vAlign w:val="bottom"/>
            <w:hideMark/>
          </w:tcPr>
          <w:p w14:paraId="79E7A5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46D7BF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5DD629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7BF4D3F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2.48</w:t>
            </w:r>
          </w:p>
        </w:tc>
        <w:tc>
          <w:tcPr>
            <w:tcW w:w="150" w:type="dxa"/>
            <w:shd w:val="clear" w:color="auto" w:fill="CFF0FC"/>
            <w:noWrap/>
            <w:tcMar>
              <w:top w:w="15" w:type="dxa"/>
              <w:left w:w="0" w:type="dxa"/>
              <w:bottom w:w="0" w:type="dxa"/>
              <w:right w:w="15" w:type="dxa"/>
            </w:tcMar>
            <w:vAlign w:val="bottom"/>
            <w:hideMark/>
          </w:tcPr>
          <w:p w14:paraId="7A74AA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68ABE6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5A81E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3DB1D19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2.46</w:t>
            </w:r>
          </w:p>
        </w:tc>
        <w:tc>
          <w:tcPr>
            <w:tcW w:w="151" w:type="dxa"/>
            <w:shd w:val="clear" w:color="auto" w:fill="CFF0FC"/>
            <w:noWrap/>
            <w:tcMar>
              <w:top w:w="15" w:type="dxa"/>
              <w:left w:w="0" w:type="dxa"/>
              <w:bottom w:w="0" w:type="dxa"/>
              <w:right w:w="15" w:type="dxa"/>
            </w:tcMar>
            <w:vAlign w:val="bottom"/>
            <w:hideMark/>
          </w:tcPr>
          <w:p w14:paraId="69C2A6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A950149" w14:textId="77777777" w:rsidTr="00AC4931">
        <w:tc>
          <w:tcPr>
            <w:tcW w:w="10785" w:type="dxa"/>
            <w:shd w:val="clear" w:color="auto" w:fill="FFFFFF"/>
            <w:tcMar>
              <w:top w:w="15" w:type="dxa"/>
              <w:left w:w="0" w:type="dxa"/>
              <w:bottom w:w="0" w:type="dxa"/>
              <w:right w:w="15" w:type="dxa"/>
            </w:tcMar>
            <w:hideMark/>
          </w:tcPr>
          <w:p w14:paraId="385302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Cash dividend declared per share</w:t>
            </w:r>
            <w:r w:rsidRPr="00AC4931">
              <w:rPr>
                <w:rFonts w:ascii="Arial" w:eastAsia="宋体" w:hAnsi="Arial" w:cs="Arial"/>
                <w:color w:val="000000"/>
                <w:kern w:val="0"/>
                <w:sz w:val="18"/>
                <w:szCs w:val="18"/>
                <w:vertAlign w:val="superscript"/>
              </w:rPr>
              <w:t>1)</w:t>
            </w:r>
          </w:p>
        </w:tc>
        <w:tc>
          <w:tcPr>
            <w:tcW w:w="245" w:type="dxa"/>
            <w:shd w:val="clear" w:color="auto" w:fill="FFFFFF"/>
            <w:tcMar>
              <w:top w:w="15" w:type="dxa"/>
              <w:left w:w="0" w:type="dxa"/>
              <w:bottom w:w="0" w:type="dxa"/>
              <w:right w:w="15" w:type="dxa"/>
            </w:tcMar>
            <w:vAlign w:val="bottom"/>
            <w:hideMark/>
          </w:tcPr>
          <w:p w14:paraId="6380DC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18774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247E1A4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14C31A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1BD381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C2CA8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7856BD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2.48</w:t>
            </w:r>
          </w:p>
        </w:tc>
        <w:tc>
          <w:tcPr>
            <w:tcW w:w="150" w:type="dxa"/>
            <w:shd w:val="clear" w:color="auto" w:fill="FFFFFF"/>
            <w:noWrap/>
            <w:tcMar>
              <w:top w:w="15" w:type="dxa"/>
              <w:left w:w="0" w:type="dxa"/>
              <w:bottom w:w="0" w:type="dxa"/>
              <w:right w:w="15" w:type="dxa"/>
            </w:tcMar>
            <w:vAlign w:val="bottom"/>
            <w:hideMark/>
          </w:tcPr>
          <w:p w14:paraId="32A2D0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2B357B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DD926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shd w:val="clear" w:color="auto" w:fill="FFFFFF"/>
            <w:noWrap/>
            <w:tcMar>
              <w:top w:w="15" w:type="dxa"/>
              <w:left w:w="0" w:type="dxa"/>
              <w:bottom w:w="0" w:type="dxa"/>
              <w:right w:w="15" w:type="dxa"/>
            </w:tcMar>
            <w:vAlign w:val="bottom"/>
            <w:hideMark/>
          </w:tcPr>
          <w:p w14:paraId="4EB82CF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2.48</w:t>
            </w:r>
          </w:p>
        </w:tc>
        <w:tc>
          <w:tcPr>
            <w:tcW w:w="151" w:type="dxa"/>
            <w:shd w:val="clear" w:color="auto" w:fill="FFFFFF"/>
            <w:noWrap/>
            <w:tcMar>
              <w:top w:w="15" w:type="dxa"/>
              <w:left w:w="0" w:type="dxa"/>
              <w:bottom w:w="0" w:type="dxa"/>
              <w:right w:w="15" w:type="dxa"/>
            </w:tcMar>
            <w:vAlign w:val="bottom"/>
            <w:hideMark/>
          </w:tcPr>
          <w:p w14:paraId="0AA0EC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8785349" w14:textId="77777777" w:rsidTr="00AC4931">
        <w:tc>
          <w:tcPr>
            <w:tcW w:w="16311" w:type="dxa"/>
            <w:gridSpan w:val="12"/>
            <w:shd w:val="clear" w:color="auto" w:fill="FFFFFF"/>
            <w:tcMar>
              <w:top w:w="15" w:type="dxa"/>
              <w:left w:w="0" w:type="dxa"/>
              <w:bottom w:w="0" w:type="dxa"/>
              <w:right w:w="15" w:type="dxa"/>
            </w:tcMar>
            <w:hideMark/>
          </w:tcPr>
          <w:p w14:paraId="215F2EC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8"/>
                <w:szCs w:val="18"/>
                <w:vertAlign w:val="superscript"/>
              </w:rPr>
              <w:t>1)</w:t>
            </w:r>
            <w:r w:rsidRPr="00AC4931">
              <w:rPr>
                <w:rFonts w:ascii="Arial" w:eastAsia="宋体" w:hAnsi="Arial" w:cs="Arial"/>
                <w:color w:val="000000"/>
                <w:kern w:val="0"/>
                <w:sz w:val="16"/>
                <w:szCs w:val="16"/>
              </w:rPr>
              <w:t> On February 20, 2020, the Company declared a dividend of $0.62 per share for the second quarter of 2020. On April 2, 2020, the Company canceled its declared dividend for the second quarter of 2020.</w:t>
            </w:r>
          </w:p>
        </w:tc>
        <w:tc>
          <w:tcPr>
            <w:tcW w:w="151" w:type="dxa"/>
            <w:shd w:val="clear" w:color="auto" w:fill="FFFFFF"/>
            <w:noWrap/>
            <w:tcMar>
              <w:top w:w="15" w:type="dxa"/>
              <w:left w:w="0" w:type="dxa"/>
              <w:bottom w:w="0" w:type="dxa"/>
              <w:right w:w="15" w:type="dxa"/>
            </w:tcMar>
            <w:hideMark/>
          </w:tcPr>
          <w:p w14:paraId="5B92594A" w14:textId="77777777" w:rsidR="00AC4931" w:rsidRPr="00AC4931" w:rsidRDefault="00AC4931" w:rsidP="00AC4931">
            <w:pPr>
              <w:widowControl/>
              <w:jc w:val="left"/>
              <w:rPr>
                <w:rFonts w:ascii="Calibri" w:eastAsia="宋体" w:hAnsi="Calibri" w:cs="Calibri"/>
                <w:color w:val="000000"/>
                <w:kern w:val="0"/>
                <w:sz w:val="22"/>
              </w:rPr>
            </w:pPr>
            <w:r w:rsidRPr="00AC4931">
              <w:rPr>
                <w:rFonts w:ascii="Calibri" w:eastAsia="宋体" w:hAnsi="Calibri" w:cs="Calibri"/>
                <w:color w:val="000000"/>
                <w:kern w:val="0"/>
                <w:sz w:val="22"/>
              </w:rPr>
              <w:t> </w:t>
            </w:r>
          </w:p>
        </w:tc>
      </w:tr>
    </w:tbl>
    <w:p w14:paraId="5B1FE478"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53"/>
        <w:gridCol w:w="247"/>
        <w:gridCol w:w="159"/>
        <w:gridCol w:w="1314"/>
        <w:gridCol w:w="159"/>
        <w:gridCol w:w="247"/>
        <w:gridCol w:w="159"/>
        <w:gridCol w:w="1314"/>
        <w:gridCol w:w="159"/>
        <w:gridCol w:w="247"/>
        <w:gridCol w:w="159"/>
        <w:gridCol w:w="1314"/>
        <w:gridCol w:w="160"/>
      </w:tblGrid>
      <w:tr w:rsidR="00AC4931" w:rsidRPr="00AC4931" w14:paraId="38640CE0" w14:textId="77777777" w:rsidTr="00AC4931">
        <w:tc>
          <w:tcPr>
            <w:tcW w:w="10785" w:type="dxa"/>
            <w:shd w:val="clear" w:color="auto" w:fill="FFFFFF"/>
            <w:tcMar>
              <w:top w:w="15" w:type="dxa"/>
              <w:left w:w="0" w:type="dxa"/>
              <w:bottom w:w="0" w:type="dxa"/>
              <w:right w:w="15" w:type="dxa"/>
            </w:tcMar>
            <w:vAlign w:val="bottom"/>
            <w:hideMark/>
          </w:tcPr>
          <w:p w14:paraId="718CBE5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OTHER COMPREHENSIVE LOSS / ENDING BALANCE</w:t>
            </w:r>
            <w:r w:rsidRPr="00AC4931">
              <w:rPr>
                <w:rFonts w:ascii="Arial" w:eastAsia="宋体" w:hAnsi="Arial" w:cs="Arial"/>
                <w:b/>
                <w:bCs/>
                <w:color w:val="000000"/>
                <w:kern w:val="0"/>
                <w:sz w:val="18"/>
                <w:szCs w:val="18"/>
                <w:vertAlign w:val="superscript"/>
              </w:rPr>
              <w:t>1)</w:t>
            </w:r>
          </w:p>
        </w:tc>
        <w:tc>
          <w:tcPr>
            <w:tcW w:w="245" w:type="dxa"/>
            <w:shd w:val="clear" w:color="auto" w:fill="FFFFFF"/>
            <w:tcMar>
              <w:top w:w="15" w:type="dxa"/>
              <w:left w:w="0" w:type="dxa"/>
              <w:bottom w:w="0" w:type="dxa"/>
              <w:right w:w="15" w:type="dxa"/>
            </w:tcMar>
            <w:vAlign w:val="bottom"/>
            <w:hideMark/>
          </w:tcPr>
          <w:p w14:paraId="3F6ED4E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19EAEF9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64F68B3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61476D2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0C338FD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3123068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27BF0CF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67612CF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16077D7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17DC33E" w14:textId="77777777" w:rsidTr="00AC4931">
        <w:tc>
          <w:tcPr>
            <w:tcW w:w="10785" w:type="dxa"/>
            <w:shd w:val="clear" w:color="auto" w:fill="CFF0FC"/>
            <w:tcMar>
              <w:top w:w="15" w:type="dxa"/>
              <w:left w:w="0" w:type="dxa"/>
              <w:bottom w:w="0" w:type="dxa"/>
              <w:right w:w="15" w:type="dxa"/>
            </w:tcMar>
            <w:hideMark/>
          </w:tcPr>
          <w:p w14:paraId="714EC9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Cumulative translation adjustments</w:t>
            </w:r>
          </w:p>
        </w:tc>
        <w:tc>
          <w:tcPr>
            <w:tcW w:w="245" w:type="dxa"/>
            <w:shd w:val="clear" w:color="auto" w:fill="CFF0FC"/>
            <w:tcMar>
              <w:top w:w="15" w:type="dxa"/>
              <w:left w:w="0" w:type="dxa"/>
              <w:bottom w:w="0" w:type="dxa"/>
              <w:right w:w="15" w:type="dxa"/>
            </w:tcMar>
            <w:vAlign w:val="bottom"/>
            <w:hideMark/>
          </w:tcPr>
          <w:p w14:paraId="7690B6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8C590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3E570D8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(268.8</w:t>
            </w:r>
          </w:p>
        </w:tc>
        <w:tc>
          <w:tcPr>
            <w:tcW w:w="150" w:type="dxa"/>
            <w:shd w:val="clear" w:color="auto" w:fill="CFF0FC"/>
            <w:noWrap/>
            <w:tcMar>
              <w:top w:w="15" w:type="dxa"/>
              <w:left w:w="0" w:type="dxa"/>
              <w:bottom w:w="0" w:type="dxa"/>
              <w:right w:w="15" w:type="dxa"/>
            </w:tcMar>
            <w:vAlign w:val="bottom"/>
            <w:hideMark/>
          </w:tcPr>
          <w:p w14:paraId="2CADC3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212115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D3B18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2F2E2EF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(364.9</w:t>
            </w:r>
          </w:p>
        </w:tc>
        <w:tc>
          <w:tcPr>
            <w:tcW w:w="150" w:type="dxa"/>
            <w:shd w:val="clear" w:color="auto" w:fill="CFF0FC"/>
            <w:noWrap/>
            <w:tcMar>
              <w:top w:w="15" w:type="dxa"/>
              <w:left w:w="0" w:type="dxa"/>
              <w:bottom w:w="0" w:type="dxa"/>
              <w:right w:w="15" w:type="dxa"/>
            </w:tcMar>
            <w:vAlign w:val="bottom"/>
            <w:hideMark/>
          </w:tcPr>
          <w:p w14:paraId="19CC81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CFF0FC"/>
            <w:tcMar>
              <w:top w:w="15" w:type="dxa"/>
              <w:left w:w="0" w:type="dxa"/>
              <w:bottom w:w="0" w:type="dxa"/>
              <w:right w:w="15" w:type="dxa"/>
            </w:tcMar>
            <w:vAlign w:val="bottom"/>
            <w:hideMark/>
          </w:tcPr>
          <w:p w14:paraId="5585D9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AF1DD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7BC36B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(381.2</w:t>
            </w:r>
          </w:p>
        </w:tc>
        <w:tc>
          <w:tcPr>
            <w:tcW w:w="151" w:type="dxa"/>
            <w:shd w:val="clear" w:color="auto" w:fill="CFF0FC"/>
            <w:noWrap/>
            <w:tcMar>
              <w:top w:w="15" w:type="dxa"/>
              <w:left w:w="0" w:type="dxa"/>
              <w:bottom w:w="0" w:type="dxa"/>
              <w:right w:w="15" w:type="dxa"/>
            </w:tcMar>
            <w:vAlign w:val="bottom"/>
            <w:hideMark/>
          </w:tcPr>
          <w:p w14:paraId="130A69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1FA7703" w14:textId="77777777" w:rsidTr="00AC4931">
        <w:tc>
          <w:tcPr>
            <w:tcW w:w="10785" w:type="dxa"/>
            <w:shd w:val="clear" w:color="auto" w:fill="FFFFFF"/>
            <w:tcMar>
              <w:top w:w="15" w:type="dxa"/>
              <w:left w:w="0" w:type="dxa"/>
              <w:bottom w:w="0" w:type="dxa"/>
              <w:right w:w="15" w:type="dxa"/>
            </w:tcMar>
            <w:hideMark/>
          </w:tcPr>
          <w:p w14:paraId="20B7EB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pension liability</w:t>
            </w:r>
          </w:p>
        </w:tc>
        <w:tc>
          <w:tcPr>
            <w:tcW w:w="245" w:type="dxa"/>
            <w:shd w:val="clear" w:color="auto" w:fill="FFFFFF"/>
            <w:tcMar>
              <w:top w:w="15" w:type="dxa"/>
              <w:left w:w="0" w:type="dxa"/>
              <w:bottom w:w="0" w:type="dxa"/>
              <w:right w:w="15" w:type="dxa"/>
            </w:tcMar>
            <w:vAlign w:val="bottom"/>
            <w:hideMark/>
          </w:tcPr>
          <w:p w14:paraId="4ACEAC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5A977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014E113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(78.1</w:t>
            </w:r>
          </w:p>
        </w:tc>
        <w:tc>
          <w:tcPr>
            <w:tcW w:w="150" w:type="dxa"/>
            <w:shd w:val="clear" w:color="auto" w:fill="FFFFFF"/>
            <w:noWrap/>
            <w:tcMar>
              <w:top w:w="15" w:type="dxa"/>
              <w:left w:w="0" w:type="dxa"/>
              <w:bottom w:w="0" w:type="dxa"/>
              <w:right w:w="15" w:type="dxa"/>
            </w:tcMar>
            <w:vAlign w:val="bottom"/>
            <w:hideMark/>
          </w:tcPr>
          <w:p w14:paraId="2AF7BF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7D6B2A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359B8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74142AE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(84.0</w:t>
            </w:r>
          </w:p>
        </w:tc>
        <w:tc>
          <w:tcPr>
            <w:tcW w:w="150" w:type="dxa"/>
            <w:shd w:val="clear" w:color="auto" w:fill="FFFFFF"/>
            <w:noWrap/>
            <w:tcMar>
              <w:top w:w="15" w:type="dxa"/>
              <w:left w:w="0" w:type="dxa"/>
              <w:bottom w:w="0" w:type="dxa"/>
              <w:right w:w="15" w:type="dxa"/>
            </w:tcMar>
            <w:vAlign w:val="bottom"/>
            <w:hideMark/>
          </w:tcPr>
          <w:p w14:paraId="44BDC4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3F2320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1A9F8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30A6645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(55.0</w:t>
            </w:r>
          </w:p>
        </w:tc>
        <w:tc>
          <w:tcPr>
            <w:tcW w:w="151" w:type="dxa"/>
            <w:shd w:val="clear" w:color="auto" w:fill="FFFFFF"/>
            <w:noWrap/>
            <w:tcMar>
              <w:top w:w="15" w:type="dxa"/>
              <w:left w:w="0" w:type="dxa"/>
              <w:bottom w:w="0" w:type="dxa"/>
              <w:right w:w="15" w:type="dxa"/>
            </w:tcMar>
            <w:vAlign w:val="bottom"/>
            <w:hideMark/>
          </w:tcPr>
          <w:p w14:paraId="7A63CE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70F9B28F" w14:textId="77777777" w:rsidTr="00AC4931">
        <w:tc>
          <w:tcPr>
            <w:tcW w:w="10785" w:type="dxa"/>
            <w:shd w:val="clear" w:color="auto" w:fill="CFF0FC"/>
            <w:tcMar>
              <w:top w:w="15" w:type="dxa"/>
              <w:left w:w="0" w:type="dxa"/>
              <w:bottom w:w="0" w:type="dxa"/>
              <w:right w:w="15" w:type="dxa"/>
            </w:tcMar>
            <w:hideMark/>
          </w:tcPr>
          <w:p w14:paraId="60B492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Distribution to Veoneer</w:t>
            </w:r>
          </w:p>
        </w:tc>
        <w:tc>
          <w:tcPr>
            <w:tcW w:w="245" w:type="dxa"/>
            <w:shd w:val="clear" w:color="auto" w:fill="CFF0FC"/>
            <w:tcMar>
              <w:top w:w="15" w:type="dxa"/>
              <w:left w:w="0" w:type="dxa"/>
              <w:bottom w:w="0" w:type="dxa"/>
              <w:right w:w="15" w:type="dxa"/>
            </w:tcMar>
            <w:vAlign w:val="bottom"/>
            <w:hideMark/>
          </w:tcPr>
          <w:p w14:paraId="0A61F5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6B01E5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42CBAFA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1B1DD1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62012B3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61E4C4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2044572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78D0BC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7AE7D67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2B1AA2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tcBorders>
              <w:bottom w:val="single" w:sz="6" w:space="0" w:color="000000"/>
            </w:tcBorders>
            <w:shd w:val="clear" w:color="auto" w:fill="CFF0FC"/>
            <w:noWrap/>
            <w:tcMar>
              <w:top w:w="15" w:type="dxa"/>
              <w:left w:w="0" w:type="dxa"/>
              <w:bottom w:w="0" w:type="dxa"/>
              <w:right w:w="15" w:type="dxa"/>
            </w:tcMar>
            <w:vAlign w:val="bottom"/>
            <w:hideMark/>
          </w:tcPr>
          <w:p w14:paraId="37D77AF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13.0</w:t>
            </w:r>
          </w:p>
        </w:tc>
        <w:tc>
          <w:tcPr>
            <w:tcW w:w="151" w:type="dxa"/>
            <w:shd w:val="clear" w:color="auto" w:fill="CFF0FC"/>
            <w:noWrap/>
            <w:tcMar>
              <w:top w:w="15" w:type="dxa"/>
              <w:left w:w="0" w:type="dxa"/>
              <w:bottom w:w="0" w:type="dxa"/>
              <w:right w:w="15" w:type="dxa"/>
            </w:tcMar>
            <w:vAlign w:val="bottom"/>
            <w:hideMark/>
          </w:tcPr>
          <w:p w14:paraId="6095E1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52456AD" w14:textId="77777777" w:rsidTr="00AC4931">
        <w:tc>
          <w:tcPr>
            <w:tcW w:w="10785" w:type="dxa"/>
            <w:shd w:val="clear" w:color="auto" w:fill="FFFFFF"/>
            <w:tcMar>
              <w:top w:w="15" w:type="dxa"/>
              <w:left w:w="0" w:type="dxa"/>
              <w:bottom w:w="0" w:type="dxa"/>
              <w:right w:w="15" w:type="dxa"/>
            </w:tcMar>
            <w:hideMark/>
          </w:tcPr>
          <w:p w14:paraId="364412D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(ending balance)</w:t>
            </w:r>
          </w:p>
        </w:tc>
        <w:tc>
          <w:tcPr>
            <w:tcW w:w="245" w:type="dxa"/>
            <w:shd w:val="clear" w:color="auto" w:fill="FFFFFF"/>
            <w:tcMar>
              <w:top w:w="15" w:type="dxa"/>
              <w:left w:w="0" w:type="dxa"/>
              <w:bottom w:w="0" w:type="dxa"/>
              <w:right w:w="15" w:type="dxa"/>
            </w:tcMar>
            <w:vAlign w:val="bottom"/>
            <w:hideMark/>
          </w:tcPr>
          <w:p w14:paraId="6C934B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9B1F04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5AEE1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(346.9</w:t>
            </w:r>
          </w:p>
        </w:tc>
        <w:tc>
          <w:tcPr>
            <w:tcW w:w="150" w:type="dxa"/>
            <w:shd w:val="clear" w:color="auto" w:fill="FFFFFF"/>
            <w:noWrap/>
            <w:tcMar>
              <w:top w:w="15" w:type="dxa"/>
              <w:left w:w="0" w:type="dxa"/>
              <w:bottom w:w="0" w:type="dxa"/>
              <w:right w:w="15" w:type="dxa"/>
            </w:tcMar>
            <w:vAlign w:val="bottom"/>
            <w:hideMark/>
          </w:tcPr>
          <w:p w14:paraId="3D6DBC1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35D53A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033697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F62EAC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(448.9</w:t>
            </w:r>
          </w:p>
        </w:tc>
        <w:tc>
          <w:tcPr>
            <w:tcW w:w="150" w:type="dxa"/>
            <w:shd w:val="clear" w:color="auto" w:fill="FFFFFF"/>
            <w:noWrap/>
            <w:tcMar>
              <w:top w:w="15" w:type="dxa"/>
              <w:left w:w="0" w:type="dxa"/>
              <w:bottom w:w="0" w:type="dxa"/>
              <w:right w:w="15" w:type="dxa"/>
            </w:tcMar>
            <w:vAlign w:val="bottom"/>
            <w:hideMark/>
          </w:tcPr>
          <w:p w14:paraId="70D6A71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45" w:type="dxa"/>
            <w:shd w:val="clear" w:color="auto" w:fill="FFFFFF"/>
            <w:tcMar>
              <w:top w:w="15" w:type="dxa"/>
              <w:left w:w="0" w:type="dxa"/>
              <w:bottom w:w="0" w:type="dxa"/>
              <w:right w:w="15" w:type="dxa"/>
            </w:tcMar>
            <w:vAlign w:val="bottom"/>
            <w:hideMark/>
          </w:tcPr>
          <w:p w14:paraId="75D612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87E25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29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802240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(423.2</w:t>
            </w:r>
          </w:p>
        </w:tc>
        <w:tc>
          <w:tcPr>
            <w:tcW w:w="151" w:type="dxa"/>
            <w:shd w:val="clear" w:color="auto" w:fill="FFFFFF"/>
            <w:noWrap/>
            <w:tcMar>
              <w:top w:w="15" w:type="dxa"/>
              <w:left w:w="0" w:type="dxa"/>
              <w:bottom w:w="0" w:type="dxa"/>
              <w:right w:w="15" w:type="dxa"/>
            </w:tcMar>
            <w:vAlign w:val="bottom"/>
            <w:hideMark/>
          </w:tcPr>
          <w:p w14:paraId="352C076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r w:rsidR="00AC4931" w:rsidRPr="00AC4931" w14:paraId="2BBD3EEF" w14:textId="77777777" w:rsidTr="00AC4931">
        <w:tc>
          <w:tcPr>
            <w:tcW w:w="10785" w:type="dxa"/>
            <w:shd w:val="clear" w:color="auto" w:fill="CFF0FC"/>
            <w:tcMar>
              <w:top w:w="15" w:type="dxa"/>
              <w:left w:w="0" w:type="dxa"/>
              <w:bottom w:w="0" w:type="dxa"/>
              <w:right w:w="15" w:type="dxa"/>
            </w:tcMar>
            <w:hideMark/>
          </w:tcPr>
          <w:p w14:paraId="0E1E12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Deferred taxes on the pension liability</w:t>
            </w:r>
          </w:p>
        </w:tc>
        <w:tc>
          <w:tcPr>
            <w:tcW w:w="245" w:type="dxa"/>
            <w:shd w:val="clear" w:color="auto" w:fill="CFF0FC"/>
            <w:tcMar>
              <w:top w:w="15" w:type="dxa"/>
              <w:left w:w="0" w:type="dxa"/>
              <w:bottom w:w="0" w:type="dxa"/>
              <w:right w:w="15" w:type="dxa"/>
            </w:tcMar>
            <w:vAlign w:val="bottom"/>
            <w:hideMark/>
          </w:tcPr>
          <w:p w14:paraId="32B4AE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58879C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6596FBE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22.8</w:t>
            </w:r>
          </w:p>
        </w:tc>
        <w:tc>
          <w:tcPr>
            <w:tcW w:w="150" w:type="dxa"/>
            <w:shd w:val="clear" w:color="auto" w:fill="CFF0FC"/>
            <w:noWrap/>
            <w:tcMar>
              <w:top w:w="15" w:type="dxa"/>
              <w:left w:w="0" w:type="dxa"/>
              <w:bottom w:w="0" w:type="dxa"/>
              <w:right w:w="15" w:type="dxa"/>
            </w:tcMar>
            <w:vAlign w:val="bottom"/>
            <w:hideMark/>
          </w:tcPr>
          <w:p w14:paraId="6C4B87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28930E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CA25F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6C39DCF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24.6</w:t>
            </w:r>
          </w:p>
        </w:tc>
        <w:tc>
          <w:tcPr>
            <w:tcW w:w="150" w:type="dxa"/>
            <w:shd w:val="clear" w:color="auto" w:fill="CFF0FC"/>
            <w:noWrap/>
            <w:tcMar>
              <w:top w:w="15" w:type="dxa"/>
              <w:left w:w="0" w:type="dxa"/>
              <w:bottom w:w="0" w:type="dxa"/>
              <w:right w:w="15" w:type="dxa"/>
            </w:tcMar>
            <w:vAlign w:val="bottom"/>
            <w:hideMark/>
          </w:tcPr>
          <w:p w14:paraId="02DE3F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234465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1F637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2DB5E7A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15.4</w:t>
            </w:r>
          </w:p>
        </w:tc>
        <w:tc>
          <w:tcPr>
            <w:tcW w:w="151" w:type="dxa"/>
            <w:shd w:val="clear" w:color="auto" w:fill="CFF0FC"/>
            <w:noWrap/>
            <w:tcMar>
              <w:top w:w="15" w:type="dxa"/>
              <w:left w:w="0" w:type="dxa"/>
              <w:bottom w:w="0" w:type="dxa"/>
              <w:right w:w="15" w:type="dxa"/>
            </w:tcMar>
            <w:vAlign w:val="bottom"/>
            <w:hideMark/>
          </w:tcPr>
          <w:p w14:paraId="36851D2E"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16242CC5" w14:textId="77777777" w:rsidR="00AC4931" w:rsidRPr="00AC4931" w:rsidRDefault="00AC4931" w:rsidP="00AC4931">
      <w:pPr>
        <w:widowControl/>
        <w:jc w:val="left"/>
        <w:rPr>
          <w:rFonts w:ascii="宋体" w:eastAsia="宋体" w:hAnsi="宋体" w:cs="宋体"/>
          <w:kern w:val="0"/>
          <w:sz w:val="24"/>
          <w:szCs w:val="24"/>
        </w:rPr>
      </w:pPr>
      <w:r w:rsidRPr="00AC4931">
        <w:rPr>
          <w:rFonts w:ascii="宋体" w:eastAsia="宋体" w:hAnsi="宋体" w:cs="宋体"/>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7384B460" w14:textId="77777777" w:rsidTr="00AC4931">
        <w:tc>
          <w:tcPr>
            <w:tcW w:w="919" w:type="dxa"/>
            <w:noWrap/>
            <w:hideMark/>
          </w:tcPr>
          <w:p w14:paraId="04D64229"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1)</w:t>
            </w:r>
          </w:p>
        </w:tc>
        <w:tc>
          <w:tcPr>
            <w:tcW w:w="0" w:type="auto"/>
            <w:hideMark/>
          </w:tcPr>
          <w:p w14:paraId="2AB4C20A"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The components of Other Comprehensive Loss are net of any related income tax effects.</w:t>
            </w:r>
          </w:p>
        </w:tc>
      </w:tr>
    </w:tbl>
    <w:p w14:paraId="4508B04D"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SHARE REPURCHASE PROGRAM</w:t>
      </w:r>
    </w:p>
    <w:p w14:paraId="79604353"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Company’s Board of Directors approved a share repurchase program in 2000 authorizing the repurchase of 10 million shares and subsequently expanded the authorization four times between 2000 and 2014 to 47.5 million shares. The Company made no share repurchases during 2018-2020. There is no expiration date for the share repurchase program. The Company is authorized to repurchase an additional 2,986,288 shares under the program at December 31, 2020.</w:t>
      </w:r>
    </w:p>
    <w:p w14:paraId="7D03C0AF"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1403EB65" w14:textId="77777777" w:rsidR="00AC4931" w:rsidRPr="00AC4931" w:rsidRDefault="00AC4931" w:rsidP="00AC4931">
      <w:pPr>
        <w:widowControl/>
        <w:spacing w:before="100"/>
        <w:rPr>
          <w:rFonts w:ascii="Arial" w:eastAsia="宋体" w:hAnsi="Arial" w:cs="Arial"/>
          <w:b/>
          <w:bCs/>
          <w:kern w:val="0"/>
          <w:sz w:val="22"/>
        </w:rPr>
      </w:pPr>
      <w:r w:rsidRPr="00AC4931">
        <w:rPr>
          <w:rFonts w:ascii="Arial" w:eastAsia="宋体" w:hAnsi="Arial" w:cs="Arial"/>
          <w:b/>
          <w:bCs/>
          <w:kern w:val="0"/>
          <w:sz w:val="22"/>
        </w:rPr>
        <w:t>16. Supplemental Cash Flow Information</w:t>
      </w:r>
    </w:p>
    <w:p w14:paraId="756A31DE"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Payments for interest and income taxes were as follows:</w:t>
      </w:r>
    </w:p>
    <w:p w14:paraId="060809FD"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10853"/>
        <w:gridCol w:w="247"/>
        <w:gridCol w:w="159"/>
        <w:gridCol w:w="1314"/>
        <w:gridCol w:w="159"/>
        <w:gridCol w:w="247"/>
        <w:gridCol w:w="159"/>
        <w:gridCol w:w="1314"/>
        <w:gridCol w:w="159"/>
        <w:gridCol w:w="247"/>
        <w:gridCol w:w="159"/>
        <w:gridCol w:w="1314"/>
        <w:gridCol w:w="160"/>
      </w:tblGrid>
      <w:tr w:rsidR="00AC4931" w:rsidRPr="00AC4931" w14:paraId="27FB295C" w14:textId="77777777" w:rsidTr="00AC4931">
        <w:tc>
          <w:tcPr>
            <w:tcW w:w="10785" w:type="dxa"/>
            <w:shd w:val="clear" w:color="auto" w:fill="FFFFFF"/>
            <w:tcMar>
              <w:top w:w="15" w:type="dxa"/>
              <w:left w:w="0" w:type="dxa"/>
              <w:bottom w:w="0" w:type="dxa"/>
              <w:right w:w="15" w:type="dxa"/>
            </w:tcMar>
            <w:vAlign w:val="bottom"/>
            <w:hideMark/>
          </w:tcPr>
          <w:p w14:paraId="7D73D798"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45" w:type="dxa"/>
            <w:shd w:val="clear" w:color="auto" w:fill="FFFFFF"/>
            <w:tcMar>
              <w:top w:w="15" w:type="dxa"/>
              <w:left w:w="0" w:type="dxa"/>
              <w:bottom w:w="0" w:type="dxa"/>
              <w:right w:w="15" w:type="dxa"/>
            </w:tcMar>
            <w:vAlign w:val="bottom"/>
            <w:hideMark/>
          </w:tcPr>
          <w:p w14:paraId="6022D44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3335D38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32FFA21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13F9A52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6B423C8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67192C6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5" w:type="dxa"/>
            <w:shd w:val="clear" w:color="auto" w:fill="FFFFFF"/>
            <w:tcMar>
              <w:top w:w="15" w:type="dxa"/>
              <w:left w:w="0" w:type="dxa"/>
              <w:bottom w:w="0" w:type="dxa"/>
              <w:right w:w="15" w:type="dxa"/>
            </w:tcMar>
            <w:vAlign w:val="bottom"/>
            <w:hideMark/>
          </w:tcPr>
          <w:p w14:paraId="4BC98D7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456" w:type="dxa"/>
            <w:gridSpan w:val="2"/>
            <w:tcBorders>
              <w:bottom w:val="single" w:sz="6" w:space="0" w:color="000000"/>
            </w:tcBorders>
            <w:shd w:val="clear" w:color="auto" w:fill="FFFFFF"/>
            <w:tcMar>
              <w:top w:w="15" w:type="dxa"/>
              <w:left w:w="0" w:type="dxa"/>
              <w:bottom w:w="0" w:type="dxa"/>
              <w:right w:w="15" w:type="dxa"/>
            </w:tcMar>
            <w:vAlign w:val="bottom"/>
            <w:hideMark/>
          </w:tcPr>
          <w:p w14:paraId="0E45C9F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2662664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00D8E33" w14:textId="77777777" w:rsidTr="00AC4931">
        <w:tc>
          <w:tcPr>
            <w:tcW w:w="10785" w:type="dxa"/>
            <w:shd w:val="clear" w:color="auto" w:fill="CFF0FC"/>
            <w:tcMar>
              <w:top w:w="15" w:type="dxa"/>
              <w:left w:w="0" w:type="dxa"/>
              <w:bottom w:w="0" w:type="dxa"/>
              <w:right w:w="15" w:type="dxa"/>
            </w:tcMar>
            <w:hideMark/>
          </w:tcPr>
          <w:p w14:paraId="696E67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Interest</w:t>
            </w:r>
          </w:p>
        </w:tc>
        <w:tc>
          <w:tcPr>
            <w:tcW w:w="245" w:type="dxa"/>
            <w:shd w:val="clear" w:color="auto" w:fill="CFF0FC"/>
            <w:tcMar>
              <w:top w:w="15" w:type="dxa"/>
              <w:left w:w="0" w:type="dxa"/>
              <w:bottom w:w="0" w:type="dxa"/>
              <w:right w:w="15" w:type="dxa"/>
            </w:tcMar>
            <w:vAlign w:val="bottom"/>
            <w:hideMark/>
          </w:tcPr>
          <w:p w14:paraId="4B7D7C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82E00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07D963B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73</w:t>
            </w:r>
          </w:p>
        </w:tc>
        <w:tc>
          <w:tcPr>
            <w:tcW w:w="150" w:type="dxa"/>
            <w:shd w:val="clear" w:color="auto" w:fill="CFF0FC"/>
            <w:noWrap/>
            <w:tcMar>
              <w:top w:w="15" w:type="dxa"/>
              <w:left w:w="0" w:type="dxa"/>
              <w:bottom w:w="0" w:type="dxa"/>
              <w:right w:w="15" w:type="dxa"/>
            </w:tcMar>
            <w:vAlign w:val="bottom"/>
            <w:hideMark/>
          </w:tcPr>
          <w:p w14:paraId="39D258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558850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97982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759CD1B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72</w:t>
            </w:r>
          </w:p>
        </w:tc>
        <w:tc>
          <w:tcPr>
            <w:tcW w:w="150" w:type="dxa"/>
            <w:shd w:val="clear" w:color="auto" w:fill="CFF0FC"/>
            <w:noWrap/>
            <w:tcMar>
              <w:top w:w="15" w:type="dxa"/>
              <w:left w:w="0" w:type="dxa"/>
              <w:bottom w:w="0" w:type="dxa"/>
              <w:right w:w="15" w:type="dxa"/>
            </w:tcMar>
            <w:vAlign w:val="bottom"/>
            <w:hideMark/>
          </w:tcPr>
          <w:p w14:paraId="1C2707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CFF0FC"/>
            <w:tcMar>
              <w:top w:w="15" w:type="dxa"/>
              <w:left w:w="0" w:type="dxa"/>
              <w:bottom w:w="0" w:type="dxa"/>
              <w:right w:w="15" w:type="dxa"/>
            </w:tcMar>
            <w:vAlign w:val="bottom"/>
            <w:hideMark/>
          </w:tcPr>
          <w:p w14:paraId="205834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72DAAC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292" w:type="dxa"/>
            <w:tcBorders>
              <w:top w:val="single" w:sz="6" w:space="0" w:color="000000"/>
            </w:tcBorders>
            <w:shd w:val="clear" w:color="auto" w:fill="CFF0FC"/>
            <w:noWrap/>
            <w:tcMar>
              <w:top w:w="15" w:type="dxa"/>
              <w:left w:w="0" w:type="dxa"/>
              <w:bottom w:w="0" w:type="dxa"/>
              <w:right w:w="15" w:type="dxa"/>
            </w:tcMar>
            <w:vAlign w:val="bottom"/>
            <w:hideMark/>
          </w:tcPr>
          <w:p w14:paraId="4A17F45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66</w:t>
            </w:r>
          </w:p>
        </w:tc>
        <w:tc>
          <w:tcPr>
            <w:tcW w:w="151" w:type="dxa"/>
            <w:shd w:val="clear" w:color="auto" w:fill="CFF0FC"/>
            <w:noWrap/>
            <w:tcMar>
              <w:top w:w="15" w:type="dxa"/>
              <w:left w:w="0" w:type="dxa"/>
              <w:bottom w:w="0" w:type="dxa"/>
              <w:right w:w="15" w:type="dxa"/>
            </w:tcMar>
            <w:vAlign w:val="bottom"/>
            <w:hideMark/>
          </w:tcPr>
          <w:p w14:paraId="140507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DD7E5B3" w14:textId="77777777" w:rsidTr="00AC4931">
        <w:tc>
          <w:tcPr>
            <w:tcW w:w="10785" w:type="dxa"/>
            <w:shd w:val="clear" w:color="auto" w:fill="FFFFFF"/>
            <w:tcMar>
              <w:top w:w="15" w:type="dxa"/>
              <w:left w:w="0" w:type="dxa"/>
              <w:bottom w:w="0" w:type="dxa"/>
              <w:right w:w="15" w:type="dxa"/>
            </w:tcMar>
            <w:hideMark/>
          </w:tcPr>
          <w:p w14:paraId="43150D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taxes</w:t>
            </w:r>
          </w:p>
        </w:tc>
        <w:tc>
          <w:tcPr>
            <w:tcW w:w="245" w:type="dxa"/>
            <w:shd w:val="clear" w:color="auto" w:fill="FFFFFF"/>
            <w:tcMar>
              <w:top w:w="15" w:type="dxa"/>
              <w:left w:w="0" w:type="dxa"/>
              <w:bottom w:w="0" w:type="dxa"/>
              <w:right w:w="15" w:type="dxa"/>
            </w:tcMar>
            <w:vAlign w:val="bottom"/>
            <w:hideMark/>
          </w:tcPr>
          <w:p w14:paraId="19B2B7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83EE2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1F8D3EC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104</w:t>
            </w:r>
          </w:p>
        </w:tc>
        <w:tc>
          <w:tcPr>
            <w:tcW w:w="150" w:type="dxa"/>
            <w:shd w:val="clear" w:color="auto" w:fill="FFFFFF"/>
            <w:noWrap/>
            <w:tcMar>
              <w:top w:w="15" w:type="dxa"/>
              <w:left w:w="0" w:type="dxa"/>
              <w:bottom w:w="0" w:type="dxa"/>
              <w:right w:w="15" w:type="dxa"/>
            </w:tcMar>
            <w:vAlign w:val="bottom"/>
            <w:hideMark/>
          </w:tcPr>
          <w:p w14:paraId="08AE5B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23F8CC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ACF57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1F51B63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192</w:t>
            </w:r>
          </w:p>
        </w:tc>
        <w:tc>
          <w:tcPr>
            <w:tcW w:w="150" w:type="dxa"/>
            <w:shd w:val="clear" w:color="auto" w:fill="FFFFFF"/>
            <w:noWrap/>
            <w:tcMar>
              <w:top w:w="15" w:type="dxa"/>
              <w:left w:w="0" w:type="dxa"/>
              <w:bottom w:w="0" w:type="dxa"/>
              <w:right w:w="15" w:type="dxa"/>
            </w:tcMar>
            <w:vAlign w:val="bottom"/>
            <w:hideMark/>
          </w:tcPr>
          <w:p w14:paraId="1CC74E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5" w:type="dxa"/>
            <w:shd w:val="clear" w:color="auto" w:fill="FFFFFF"/>
            <w:tcMar>
              <w:top w:w="15" w:type="dxa"/>
              <w:left w:w="0" w:type="dxa"/>
              <w:bottom w:w="0" w:type="dxa"/>
              <w:right w:w="15" w:type="dxa"/>
            </w:tcMar>
            <w:vAlign w:val="bottom"/>
            <w:hideMark/>
          </w:tcPr>
          <w:p w14:paraId="250D9A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5F9E2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2" w:type="dxa"/>
            <w:shd w:val="clear" w:color="auto" w:fill="FFFFFF"/>
            <w:noWrap/>
            <w:tcMar>
              <w:top w:w="15" w:type="dxa"/>
              <w:left w:w="0" w:type="dxa"/>
              <w:bottom w:w="0" w:type="dxa"/>
              <w:right w:w="15" w:type="dxa"/>
            </w:tcMar>
            <w:vAlign w:val="bottom"/>
            <w:hideMark/>
          </w:tcPr>
          <w:p w14:paraId="2E7FA5C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w:t>
            </w:r>
          </w:p>
        </w:tc>
        <w:tc>
          <w:tcPr>
            <w:tcW w:w="151" w:type="dxa"/>
            <w:shd w:val="clear" w:color="auto" w:fill="FFFFFF"/>
            <w:noWrap/>
            <w:tcMar>
              <w:top w:w="15" w:type="dxa"/>
              <w:left w:w="0" w:type="dxa"/>
              <w:bottom w:w="0" w:type="dxa"/>
              <w:right w:w="15" w:type="dxa"/>
            </w:tcMar>
            <w:vAlign w:val="bottom"/>
            <w:hideMark/>
          </w:tcPr>
          <w:p w14:paraId="72067C35"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5E940C52"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70A98F36" w14:textId="77777777" w:rsidR="00AC4931" w:rsidRPr="00AC4931" w:rsidRDefault="00AC4931" w:rsidP="00AC4931">
      <w:pPr>
        <w:widowControl/>
        <w:spacing w:before="100"/>
        <w:rPr>
          <w:rFonts w:ascii="Arial" w:eastAsia="宋体" w:hAnsi="Arial" w:cs="Arial"/>
          <w:b/>
          <w:bCs/>
          <w:kern w:val="0"/>
          <w:sz w:val="22"/>
        </w:rPr>
      </w:pPr>
      <w:r w:rsidRPr="00AC4931">
        <w:rPr>
          <w:rFonts w:ascii="Arial" w:eastAsia="宋体" w:hAnsi="Arial" w:cs="Arial"/>
          <w:b/>
          <w:bCs/>
          <w:kern w:val="0"/>
          <w:sz w:val="22"/>
        </w:rPr>
        <w:t>17. Stock Incentive Plan</w:t>
      </w:r>
    </w:p>
    <w:p w14:paraId="33E7FA43"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Eligible employees and non-employee directors of Autoliv participate in the Autoliv, Inc. 1997 Stock Incentive Plan, as amended and received Autoliv stock-based awards which include stock options (SOs), restricted stock units (RSUs) and performance shares (PSs). In connection with the Veoneer spin-off, each outstanding Autoliv stock-based award as of June 29, 2018 (the Distribution Date) was converted to a stock award that has underlying shares of both Autoliv and Veoneer common shares.</w:t>
      </w:r>
    </w:p>
    <w:p w14:paraId="6578A8B1"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conversion that occurred on the Distribution Date was based on the following:</w:t>
      </w: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0CD61DD6" w14:textId="77777777" w:rsidTr="00AC4931">
        <w:tc>
          <w:tcPr>
            <w:tcW w:w="919" w:type="dxa"/>
            <w:noWrap/>
            <w:hideMark/>
          </w:tcPr>
          <w:p w14:paraId="60EC6BA9"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68EB18AB"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1E1E5601"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SOs - A number of SOs comprising 50% of the value of the outstanding SOs calculated immediately prior to the spin-off continued to be applicable to Autoliv common stock. A number of SOs comprising the remaining 50% percent of the pre-spin-off value were replaced with options to acquire shares of Veoneer common stock.</w:t>
            </w:r>
          </w:p>
        </w:tc>
      </w:tr>
      <w:tr w:rsidR="00AC4931" w:rsidRPr="00AC4931" w14:paraId="5F5893BE" w14:textId="77777777" w:rsidTr="00AC4931">
        <w:tc>
          <w:tcPr>
            <w:tcW w:w="919" w:type="dxa"/>
            <w:noWrap/>
            <w:hideMark/>
          </w:tcPr>
          <w:p w14:paraId="0D435A6F"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6BF116EF"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1B09BB06"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RSUs - A number of RSUs comprising 50% of the value of the outstanding RSUs calculated immediately prior to the spin-off continued to be applicable to Autoliv common stock. A number of RSUs comprising the remaining 50% of the pre-spin-off value were replaced with RSUs with underlying Veoneer common stock.</w:t>
            </w:r>
          </w:p>
        </w:tc>
      </w:tr>
    </w:tbl>
    <w:p w14:paraId="6428D390" w14:textId="77777777" w:rsidR="00AC4931" w:rsidRPr="00AC4931" w:rsidRDefault="00AC4931" w:rsidP="00AC4931">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935"/>
        <w:gridCol w:w="935"/>
        <w:gridCol w:w="1264"/>
        <w:gridCol w:w="17480"/>
      </w:tblGrid>
      <w:tr w:rsidR="00AC4931" w:rsidRPr="00AC4931" w14:paraId="0BFC86B1" w14:textId="77777777" w:rsidTr="00AC4931">
        <w:tc>
          <w:tcPr>
            <w:tcW w:w="919" w:type="dxa"/>
            <w:noWrap/>
            <w:hideMark/>
          </w:tcPr>
          <w:p w14:paraId="0D49189A"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484184E4"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gridSpan w:val="2"/>
            <w:hideMark/>
          </w:tcPr>
          <w:p w14:paraId="1493FA78"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PSs - Outstanding PSs pre-spin-off were converted to time-based RSUs and were divided between Autoliv and Veoneer common stock in the same manner as other outstanding RSUs (as described above) on the Distribution Date. The number of outstanding PSs pre-spin-off to be converted was determined based on pro-ration of the performance period such as:</w:t>
            </w:r>
          </w:p>
        </w:tc>
      </w:tr>
      <w:tr w:rsidR="00AC4931" w:rsidRPr="00AC4931" w14:paraId="4DC70511" w14:textId="77777777" w:rsidTr="00AC4931">
        <w:tc>
          <w:tcPr>
            <w:tcW w:w="1841" w:type="dxa"/>
            <w:gridSpan w:val="2"/>
            <w:noWrap/>
            <w:hideMark/>
          </w:tcPr>
          <w:p w14:paraId="71C7F782"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1F6F33CF"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1)</w:t>
            </w:r>
          </w:p>
        </w:tc>
        <w:tc>
          <w:tcPr>
            <w:tcW w:w="0" w:type="auto"/>
            <w:hideMark/>
          </w:tcPr>
          <w:p w14:paraId="0823502A"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The level of actual achievement of performance goals for each outstanding PS for the period between the first day of the performance period and December 31, 2017 (the “Performance Measurement Date”), referred to as “Level of Performance-to-Date”; and</w:t>
            </w:r>
          </w:p>
        </w:tc>
      </w:tr>
    </w:tbl>
    <w:p w14:paraId="671A44A6" w14:textId="77777777" w:rsidR="00AC4931" w:rsidRPr="00AC4931" w:rsidRDefault="00AC4931" w:rsidP="00AC4931">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1857"/>
        <w:gridCol w:w="935"/>
        <w:gridCol w:w="17822"/>
      </w:tblGrid>
      <w:tr w:rsidR="00AC4931" w:rsidRPr="00AC4931" w14:paraId="51B9D1FE" w14:textId="77777777" w:rsidTr="00AC4931">
        <w:tc>
          <w:tcPr>
            <w:tcW w:w="1841" w:type="dxa"/>
            <w:noWrap/>
            <w:hideMark/>
          </w:tcPr>
          <w:p w14:paraId="75C88E96"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2A12FB1E"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2)</w:t>
            </w:r>
          </w:p>
        </w:tc>
        <w:tc>
          <w:tcPr>
            <w:tcW w:w="0" w:type="auto"/>
            <w:hideMark/>
          </w:tcPr>
          <w:p w14:paraId="353873A8"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The greater of the Level of Performance-to-Date and the target performance level for the period between the Performance Measurement Date and the last day of the performance period.</w:t>
            </w:r>
          </w:p>
        </w:tc>
      </w:tr>
    </w:tbl>
    <w:p w14:paraId="60B9CE92"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 xml:space="preserve">In each case above, the conversion was intended to generally preserve the intrinsic value of the original award determined as of the Distribution Date. The number of converted RSUs and SOs for Autoliv and Veoneer was based on the average of Autoliv closing stock prices for the last 5 trading days prior to the spin-off and the average of closing stock prices of Autoliv and Veoneer, respectively, for the first 5 trading </w:t>
      </w:r>
      <w:r w:rsidRPr="00AC4931">
        <w:rPr>
          <w:rFonts w:ascii="Arial" w:eastAsia="宋体" w:hAnsi="Arial" w:cs="Arial"/>
          <w:kern w:val="0"/>
          <w:sz w:val="18"/>
          <w:szCs w:val="18"/>
        </w:rPr>
        <w:lastRenderedPageBreak/>
        <w:t>days after the spin-off. Accordingly, 50% of the outstanding awards as of the Distribution Date, and the related exercise price, were converted to Adjusted Autoliv Awards using a conversion factor of 1.41.</w:t>
      </w:r>
    </w:p>
    <w:p w14:paraId="533693F3"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76</w:t>
      </w:r>
    </w:p>
    <w:p w14:paraId="6FD6B41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AC8600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419B07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8935B43"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DFFE384">
          <v:rect id="_x0000_i1103" style="width:0;height:1.5pt" o:hralign="center" o:hrstd="t" o:hrnoshade="t" o:hr="t" fillcolor="black" stroked="f"/>
        </w:pict>
      </w:r>
    </w:p>
    <w:p w14:paraId="0820DC4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FAE64F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063DF7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2800D86" w14:textId="77777777" w:rsidR="00AC4931" w:rsidRPr="00AC4931" w:rsidRDefault="00AC4931" w:rsidP="00AC4931">
      <w:pPr>
        <w:widowControl/>
        <w:spacing w:before="240"/>
        <w:rPr>
          <w:rFonts w:ascii="Arial" w:eastAsia="宋体" w:hAnsi="Arial" w:cs="Arial" w:hint="eastAsia"/>
          <w:kern w:val="0"/>
          <w:sz w:val="18"/>
          <w:szCs w:val="18"/>
        </w:rPr>
      </w:pPr>
      <w:r w:rsidRPr="00AC4931">
        <w:rPr>
          <w:rFonts w:ascii="Arial" w:eastAsia="宋体" w:hAnsi="Arial" w:cs="Arial"/>
          <w:kern w:val="0"/>
          <w:sz w:val="18"/>
          <w:szCs w:val="18"/>
        </w:rPr>
        <w:t>As a result of the spin-off and the related conversion, it was determined that the stock based awards were modified in accordance with ASC 718, Compensation – </w:t>
      </w:r>
      <w:r w:rsidRPr="00AC4931">
        <w:rPr>
          <w:rFonts w:ascii="Arial" w:eastAsia="宋体" w:hAnsi="Arial" w:cs="Arial"/>
          <w:i/>
          <w:iCs/>
          <w:kern w:val="0"/>
          <w:sz w:val="18"/>
          <w:szCs w:val="18"/>
        </w:rPr>
        <w:t>Stock Compensation</w:t>
      </w:r>
      <w:r w:rsidRPr="00AC4931">
        <w:rPr>
          <w:rFonts w:ascii="Arial" w:eastAsia="宋体" w:hAnsi="Arial" w:cs="Arial"/>
          <w:kern w:val="0"/>
          <w:sz w:val="18"/>
          <w:szCs w:val="18"/>
        </w:rPr>
        <w:t>. The fair value of the RSUs and SOs immediately before and after the modification was assessed in order to determine if the modification resulted in any incremental compensation cost related to the awards, including consideration of the impact of conversion using the 5 trading day average. Based on the valuation performed, it was determined that the conversion did not result in any incremental compensation cost for any of the outstanding awards. The post spin-off stock-based compensation expense will be based on the original grant date fair value related to only Autoliv employees.</w:t>
      </w:r>
    </w:p>
    <w:p w14:paraId="6593CA35"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With certain limited exceptions, including the freezing of the Performance Measurement Date to December 31, 2017 as noted above, the adjusted SOs and RSUs outstanding after the spin-off are subject to the same terms and conditions (including with respect to vesting and expiration) that were applicable to such Autoliv stock-based awards immediately prior to the conversion and as described below.</w:t>
      </w:r>
    </w:p>
    <w:p w14:paraId="71C14F1C"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fair value of the RSUs and PSs is calculated as the grant date fair value of the shares expected to be issued. The RSUs granted in 2020, 2019 and 2018 entitle the grantee to receive dividend equivalents in the form of additional RSUs subject to the same vesting conditions as the underlying RSUs. This also applies for the PSs granted in 2019 and 2020. For the grants made during 2020, 2019 and 2018, the fair value of a PS and a RSU was calculated by using the closing stock price on the grant date. The grant date fair value during 2020 was $6.6 million for the RSUs and $5.7 million for the PSs.</w:t>
      </w:r>
    </w:p>
    <w:p w14:paraId="2004C8AE"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Under the new compensation policy approved in 2020, the Company’s non-employee directors receive RSUs equivalent to approximately 54% of their annual base retainer except for the Chairman of the Board of Directors who also receives 50% of his Non-Executive Chairman supplemental retainer in RSUs. All RSUs vest in one installment on the earlier of the next AGM or the first anniversary of the grant date, in each case subject to the grantee’s continued service as a non-employee director on the vesting date with limited exceptions. The RSUs granted to the Company’s non-employee directors entitle the grantee to receive dividend equivalents in the form of additional RSUs subject to the same vesting conditions as the underlying RSUs. The grant date fair value for the RSUs granted in 2020 to the Company’s non-employee directors was $1.5 million.</w:t>
      </w:r>
    </w:p>
    <w:p w14:paraId="72937713"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 xml:space="preserve">The source of the shares issued upon vesting of awards is generally from treasury shares. The Stock Incentive Plan provides for the issuance of up to 9,585,055 common shares for awards. At December 31, 2020, 6,674,658 of these shares have been issued for awards which includes 77,925 shares of common </w:t>
      </w:r>
      <w:r w:rsidRPr="00AC4931">
        <w:rPr>
          <w:rFonts w:ascii="Arial" w:eastAsia="宋体" w:hAnsi="Arial" w:cs="Arial"/>
          <w:kern w:val="0"/>
          <w:sz w:val="18"/>
          <w:szCs w:val="18"/>
        </w:rPr>
        <w:lastRenderedPageBreak/>
        <w:t>stock issued to non-employee directors in satisfaction of all or a portion of his or her annual base retainer for service on the Board. Included within the RSUs granted in 2020 are 25,301 RSUs issued to non-employee directors in satisfaction of all or a portion of his or her annual base retainer for service on the Board.</w:t>
      </w:r>
    </w:p>
    <w:p w14:paraId="1E4C1921"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2015 and earlier, stock awards were granted in the form of SOs and RSUs. All SOs were granted for 10-year terms, had an exercise price equal to the fair value of the share at the date of grant, and became exercisable after one year of continued employment following the grant date. The average grant date fair values of SOs were calculated using the Black-Scholes valuation model. The Company used historical exercise data for determining the expected life assumption. Expected volatility was based on historical and implied volatility.</w:t>
      </w:r>
    </w:p>
    <w:p w14:paraId="686CB8F7"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recorded $11.7 million, $8.4 million and $9.1 million stock-based compensation expense related to RSUs and PSs for 2020, 2019 and 2018, respectively. The total compensation cost related to non-vested awards not yet recognized is $16 million for RSUs and PSs and the weighted average period over which this cost is expected to be recognized is approximately 1.5 years. There are no remaining unrecognized compensation costs associated with SOs.</w:t>
      </w:r>
    </w:p>
    <w:p w14:paraId="2E00BB7E"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Information on the number of RSUs, PSs and SOs related to the Stock Incentive Plan during the period of 2018 to 2020 is as follows.</w:t>
      </w:r>
    </w:p>
    <w:p w14:paraId="6D25897E"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9525"/>
        <w:gridCol w:w="217"/>
        <w:gridCol w:w="159"/>
        <w:gridCol w:w="1787"/>
        <w:gridCol w:w="159"/>
        <w:gridCol w:w="217"/>
        <w:gridCol w:w="159"/>
        <w:gridCol w:w="1787"/>
        <w:gridCol w:w="159"/>
        <w:gridCol w:w="217"/>
        <w:gridCol w:w="159"/>
        <w:gridCol w:w="1787"/>
        <w:gridCol w:w="159"/>
      </w:tblGrid>
      <w:tr w:rsidR="00AC4931" w:rsidRPr="00AC4931" w14:paraId="0F896CD0" w14:textId="77777777" w:rsidTr="00AC4931">
        <w:tc>
          <w:tcPr>
            <w:tcW w:w="9466" w:type="dxa"/>
            <w:shd w:val="clear" w:color="auto" w:fill="FFFFFF"/>
            <w:tcMar>
              <w:top w:w="15" w:type="dxa"/>
              <w:left w:w="0" w:type="dxa"/>
              <w:bottom w:w="0" w:type="dxa"/>
              <w:right w:w="15" w:type="dxa"/>
            </w:tcMar>
            <w:hideMark/>
          </w:tcPr>
          <w:p w14:paraId="541893D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RSUs</w:t>
            </w:r>
          </w:p>
        </w:tc>
        <w:tc>
          <w:tcPr>
            <w:tcW w:w="216" w:type="dxa"/>
            <w:shd w:val="clear" w:color="auto" w:fill="FFFFFF"/>
            <w:tcMar>
              <w:top w:w="15" w:type="dxa"/>
              <w:left w:w="0" w:type="dxa"/>
              <w:bottom w:w="0" w:type="dxa"/>
              <w:right w:w="15" w:type="dxa"/>
            </w:tcMar>
            <w:vAlign w:val="bottom"/>
            <w:hideMark/>
          </w:tcPr>
          <w:p w14:paraId="4DED977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2ED8BF0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4C25EAC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6" w:type="dxa"/>
            <w:shd w:val="clear" w:color="auto" w:fill="FFFFFF"/>
            <w:tcMar>
              <w:top w:w="15" w:type="dxa"/>
              <w:left w:w="0" w:type="dxa"/>
              <w:bottom w:w="0" w:type="dxa"/>
              <w:right w:w="15" w:type="dxa"/>
            </w:tcMar>
            <w:vAlign w:val="bottom"/>
            <w:hideMark/>
          </w:tcPr>
          <w:p w14:paraId="65ACAFB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2CDD7D4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481D0F4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6" w:type="dxa"/>
            <w:shd w:val="clear" w:color="auto" w:fill="FFFFFF"/>
            <w:tcMar>
              <w:top w:w="15" w:type="dxa"/>
              <w:left w:w="0" w:type="dxa"/>
              <w:bottom w:w="0" w:type="dxa"/>
              <w:right w:w="15" w:type="dxa"/>
            </w:tcMar>
            <w:vAlign w:val="bottom"/>
            <w:hideMark/>
          </w:tcPr>
          <w:p w14:paraId="1DDFC68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2CCFD13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0" w:type="dxa"/>
            <w:shd w:val="clear" w:color="auto" w:fill="FFFFFF"/>
            <w:noWrap/>
            <w:tcMar>
              <w:top w:w="15" w:type="dxa"/>
              <w:left w:w="0" w:type="dxa"/>
              <w:bottom w:w="0" w:type="dxa"/>
              <w:right w:w="15" w:type="dxa"/>
            </w:tcMar>
            <w:vAlign w:val="bottom"/>
            <w:hideMark/>
          </w:tcPr>
          <w:p w14:paraId="3B999F8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9255145" w14:textId="77777777" w:rsidTr="00AC4931">
        <w:tc>
          <w:tcPr>
            <w:tcW w:w="9466" w:type="dxa"/>
            <w:shd w:val="clear" w:color="auto" w:fill="CFF0FC"/>
            <w:tcMar>
              <w:top w:w="15" w:type="dxa"/>
              <w:left w:w="0" w:type="dxa"/>
              <w:bottom w:w="0" w:type="dxa"/>
              <w:right w:w="15" w:type="dxa"/>
            </w:tcMar>
            <w:hideMark/>
          </w:tcPr>
          <w:p w14:paraId="2620239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Weighted average fair value at grant date </w:t>
            </w:r>
            <w:r w:rsidRPr="00AC4931">
              <w:rPr>
                <w:rFonts w:ascii="Arial" w:eastAsia="宋体" w:hAnsi="Arial" w:cs="Arial"/>
                <w:b/>
                <w:bCs/>
                <w:color w:val="000000"/>
                <w:kern w:val="0"/>
                <w:sz w:val="18"/>
                <w:szCs w:val="18"/>
                <w:vertAlign w:val="superscript"/>
              </w:rPr>
              <w:t>1)</w:t>
            </w:r>
          </w:p>
        </w:tc>
        <w:tc>
          <w:tcPr>
            <w:tcW w:w="216" w:type="dxa"/>
            <w:shd w:val="clear" w:color="auto" w:fill="CFF0FC"/>
            <w:tcMar>
              <w:top w:w="15" w:type="dxa"/>
              <w:left w:w="0" w:type="dxa"/>
              <w:bottom w:w="0" w:type="dxa"/>
              <w:right w:w="15" w:type="dxa"/>
            </w:tcMar>
            <w:vAlign w:val="bottom"/>
            <w:hideMark/>
          </w:tcPr>
          <w:p w14:paraId="3A01D1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2D1514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shd w:val="clear" w:color="auto" w:fill="CFF0FC"/>
            <w:noWrap/>
            <w:tcMar>
              <w:top w:w="15" w:type="dxa"/>
              <w:left w:w="0" w:type="dxa"/>
              <w:bottom w:w="0" w:type="dxa"/>
              <w:right w:w="15" w:type="dxa"/>
            </w:tcMar>
            <w:vAlign w:val="bottom"/>
            <w:hideMark/>
          </w:tcPr>
          <w:p w14:paraId="632749E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69.58</w:t>
            </w:r>
          </w:p>
        </w:tc>
        <w:tc>
          <w:tcPr>
            <w:tcW w:w="150" w:type="dxa"/>
            <w:shd w:val="clear" w:color="auto" w:fill="CFF0FC"/>
            <w:noWrap/>
            <w:tcMar>
              <w:top w:w="15" w:type="dxa"/>
              <w:left w:w="0" w:type="dxa"/>
              <w:bottom w:w="0" w:type="dxa"/>
              <w:right w:w="15" w:type="dxa"/>
            </w:tcMar>
            <w:vAlign w:val="bottom"/>
            <w:hideMark/>
          </w:tcPr>
          <w:p w14:paraId="754B501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654BE0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AEA31C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shd w:val="clear" w:color="auto" w:fill="CFF0FC"/>
            <w:noWrap/>
            <w:tcMar>
              <w:top w:w="15" w:type="dxa"/>
              <w:left w:w="0" w:type="dxa"/>
              <w:bottom w:w="0" w:type="dxa"/>
              <w:right w:w="15" w:type="dxa"/>
            </w:tcMar>
            <w:vAlign w:val="bottom"/>
            <w:hideMark/>
          </w:tcPr>
          <w:p w14:paraId="7583DC9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76.85</w:t>
            </w:r>
          </w:p>
        </w:tc>
        <w:tc>
          <w:tcPr>
            <w:tcW w:w="150" w:type="dxa"/>
            <w:shd w:val="clear" w:color="auto" w:fill="CFF0FC"/>
            <w:noWrap/>
            <w:tcMar>
              <w:top w:w="15" w:type="dxa"/>
              <w:left w:w="0" w:type="dxa"/>
              <w:bottom w:w="0" w:type="dxa"/>
              <w:right w:w="15" w:type="dxa"/>
            </w:tcMar>
            <w:vAlign w:val="bottom"/>
            <w:hideMark/>
          </w:tcPr>
          <w:p w14:paraId="5EB30D2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160DAD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5B4918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shd w:val="clear" w:color="auto" w:fill="CFF0FC"/>
            <w:noWrap/>
            <w:tcMar>
              <w:top w:w="15" w:type="dxa"/>
              <w:left w:w="0" w:type="dxa"/>
              <w:bottom w:w="0" w:type="dxa"/>
              <w:right w:w="15" w:type="dxa"/>
            </w:tcMar>
            <w:vAlign w:val="bottom"/>
            <w:hideMark/>
          </w:tcPr>
          <w:p w14:paraId="1B40D98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131.51</w:t>
            </w:r>
          </w:p>
        </w:tc>
        <w:tc>
          <w:tcPr>
            <w:tcW w:w="150" w:type="dxa"/>
            <w:shd w:val="clear" w:color="auto" w:fill="CFF0FC"/>
            <w:noWrap/>
            <w:tcMar>
              <w:top w:w="15" w:type="dxa"/>
              <w:left w:w="0" w:type="dxa"/>
              <w:bottom w:w="0" w:type="dxa"/>
              <w:right w:w="15" w:type="dxa"/>
            </w:tcMar>
            <w:vAlign w:val="bottom"/>
            <w:hideMark/>
          </w:tcPr>
          <w:p w14:paraId="21E56A2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796723C4" w14:textId="77777777" w:rsidTr="00AC4931">
        <w:tc>
          <w:tcPr>
            <w:tcW w:w="9466" w:type="dxa"/>
            <w:shd w:val="clear" w:color="auto" w:fill="FFFFFF"/>
            <w:tcMar>
              <w:top w:w="15" w:type="dxa"/>
              <w:left w:w="0" w:type="dxa"/>
              <w:bottom w:w="0" w:type="dxa"/>
              <w:right w:w="15" w:type="dxa"/>
            </w:tcMar>
            <w:hideMark/>
          </w:tcPr>
          <w:p w14:paraId="27ABC9B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046733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627CA1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3F7FD7C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684B7F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4C9269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7D50E4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3390E17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825F30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42EA71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700AB9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2FC3707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7BF1A7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E60137E" w14:textId="77777777" w:rsidTr="00AC4931">
        <w:tc>
          <w:tcPr>
            <w:tcW w:w="9466" w:type="dxa"/>
            <w:shd w:val="clear" w:color="auto" w:fill="CFF0FC"/>
            <w:tcMar>
              <w:top w:w="15" w:type="dxa"/>
              <w:left w:w="0" w:type="dxa"/>
              <w:bottom w:w="0" w:type="dxa"/>
              <w:right w:w="15" w:type="dxa"/>
            </w:tcMar>
            <w:hideMark/>
          </w:tcPr>
          <w:p w14:paraId="04D3FCA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Outstanding at beginning of year</w:t>
            </w:r>
          </w:p>
        </w:tc>
        <w:tc>
          <w:tcPr>
            <w:tcW w:w="216" w:type="dxa"/>
            <w:shd w:val="clear" w:color="auto" w:fill="CFF0FC"/>
            <w:tcMar>
              <w:top w:w="15" w:type="dxa"/>
              <w:left w:w="0" w:type="dxa"/>
              <w:bottom w:w="0" w:type="dxa"/>
              <w:right w:w="15" w:type="dxa"/>
            </w:tcMar>
            <w:vAlign w:val="bottom"/>
            <w:hideMark/>
          </w:tcPr>
          <w:p w14:paraId="538F92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5E1820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77458FC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255,195</w:t>
            </w:r>
          </w:p>
        </w:tc>
        <w:tc>
          <w:tcPr>
            <w:tcW w:w="150" w:type="dxa"/>
            <w:shd w:val="clear" w:color="auto" w:fill="CFF0FC"/>
            <w:noWrap/>
            <w:tcMar>
              <w:top w:w="15" w:type="dxa"/>
              <w:left w:w="0" w:type="dxa"/>
              <w:bottom w:w="0" w:type="dxa"/>
              <w:right w:w="15" w:type="dxa"/>
            </w:tcMar>
            <w:vAlign w:val="bottom"/>
            <w:hideMark/>
          </w:tcPr>
          <w:p w14:paraId="42A95AD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761002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F49C62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2C447EB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262,074</w:t>
            </w:r>
          </w:p>
        </w:tc>
        <w:tc>
          <w:tcPr>
            <w:tcW w:w="150" w:type="dxa"/>
            <w:shd w:val="clear" w:color="auto" w:fill="CFF0FC"/>
            <w:noWrap/>
            <w:tcMar>
              <w:top w:w="15" w:type="dxa"/>
              <w:left w:w="0" w:type="dxa"/>
              <w:bottom w:w="0" w:type="dxa"/>
              <w:right w:w="15" w:type="dxa"/>
            </w:tcMar>
            <w:vAlign w:val="bottom"/>
            <w:hideMark/>
          </w:tcPr>
          <w:p w14:paraId="5ABD3E0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2901FB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C1A064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1D6F0AF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188,410</w:t>
            </w:r>
          </w:p>
        </w:tc>
        <w:tc>
          <w:tcPr>
            <w:tcW w:w="150" w:type="dxa"/>
            <w:shd w:val="clear" w:color="auto" w:fill="CFF0FC"/>
            <w:noWrap/>
            <w:tcMar>
              <w:top w:w="15" w:type="dxa"/>
              <w:left w:w="0" w:type="dxa"/>
              <w:bottom w:w="0" w:type="dxa"/>
              <w:right w:w="15" w:type="dxa"/>
            </w:tcMar>
            <w:vAlign w:val="bottom"/>
            <w:hideMark/>
          </w:tcPr>
          <w:p w14:paraId="48054CC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3AA04977" w14:textId="77777777" w:rsidTr="00AC4931">
        <w:tc>
          <w:tcPr>
            <w:tcW w:w="9466" w:type="dxa"/>
            <w:shd w:val="clear" w:color="auto" w:fill="FFFFFF"/>
            <w:tcMar>
              <w:top w:w="15" w:type="dxa"/>
              <w:left w:w="0" w:type="dxa"/>
              <w:bottom w:w="0" w:type="dxa"/>
              <w:right w:w="15" w:type="dxa"/>
            </w:tcMar>
            <w:hideMark/>
          </w:tcPr>
          <w:p w14:paraId="16D873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Granted</w:t>
            </w:r>
          </w:p>
        </w:tc>
        <w:tc>
          <w:tcPr>
            <w:tcW w:w="216" w:type="dxa"/>
            <w:shd w:val="clear" w:color="auto" w:fill="FFFFFF"/>
            <w:tcMar>
              <w:top w:w="15" w:type="dxa"/>
              <w:left w:w="0" w:type="dxa"/>
              <w:bottom w:w="0" w:type="dxa"/>
              <w:right w:w="15" w:type="dxa"/>
            </w:tcMar>
            <w:vAlign w:val="bottom"/>
            <w:hideMark/>
          </w:tcPr>
          <w:p w14:paraId="08C1E4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1747A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3C8F1F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115,500</w:t>
            </w:r>
          </w:p>
        </w:tc>
        <w:tc>
          <w:tcPr>
            <w:tcW w:w="150" w:type="dxa"/>
            <w:shd w:val="clear" w:color="auto" w:fill="FFFFFF"/>
            <w:noWrap/>
            <w:tcMar>
              <w:top w:w="15" w:type="dxa"/>
              <w:left w:w="0" w:type="dxa"/>
              <w:bottom w:w="0" w:type="dxa"/>
              <w:right w:w="15" w:type="dxa"/>
            </w:tcMar>
            <w:vAlign w:val="bottom"/>
            <w:hideMark/>
          </w:tcPr>
          <w:p w14:paraId="59C804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6963D6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632D7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5782091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109,653</w:t>
            </w:r>
          </w:p>
        </w:tc>
        <w:tc>
          <w:tcPr>
            <w:tcW w:w="150" w:type="dxa"/>
            <w:shd w:val="clear" w:color="auto" w:fill="FFFFFF"/>
            <w:noWrap/>
            <w:tcMar>
              <w:top w:w="15" w:type="dxa"/>
              <w:left w:w="0" w:type="dxa"/>
              <w:bottom w:w="0" w:type="dxa"/>
              <w:right w:w="15" w:type="dxa"/>
            </w:tcMar>
            <w:vAlign w:val="bottom"/>
            <w:hideMark/>
          </w:tcPr>
          <w:p w14:paraId="32A47F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6BBDC1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9B33D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C44B6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131,246</w:t>
            </w:r>
          </w:p>
        </w:tc>
        <w:tc>
          <w:tcPr>
            <w:tcW w:w="150" w:type="dxa"/>
            <w:shd w:val="clear" w:color="auto" w:fill="FFFFFF"/>
            <w:noWrap/>
            <w:tcMar>
              <w:top w:w="15" w:type="dxa"/>
              <w:left w:w="0" w:type="dxa"/>
              <w:bottom w:w="0" w:type="dxa"/>
              <w:right w:w="15" w:type="dxa"/>
            </w:tcMar>
            <w:vAlign w:val="bottom"/>
            <w:hideMark/>
          </w:tcPr>
          <w:p w14:paraId="1322D7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A6F9416" w14:textId="77777777" w:rsidTr="00AC4931">
        <w:tc>
          <w:tcPr>
            <w:tcW w:w="9466" w:type="dxa"/>
            <w:shd w:val="clear" w:color="auto" w:fill="CFF0FC"/>
            <w:tcMar>
              <w:top w:w="15" w:type="dxa"/>
              <w:left w:w="0" w:type="dxa"/>
              <w:bottom w:w="0" w:type="dxa"/>
              <w:right w:w="15" w:type="dxa"/>
            </w:tcMar>
            <w:hideMark/>
          </w:tcPr>
          <w:p w14:paraId="322F21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Shares issued</w:t>
            </w:r>
          </w:p>
        </w:tc>
        <w:tc>
          <w:tcPr>
            <w:tcW w:w="216" w:type="dxa"/>
            <w:shd w:val="clear" w:color="auto" w:fill="CFF0FC"/>
            <w:tcMar>
              <w:top w:w="15" w:type="dxa"/>
              <w:left w:w="0" w:type="dxa"/>
              <w:bottom w:w="0" w:type="dxa"/>
              <w:right w:w="15" w:type="dxa"/>
            </w:tcMar>
            <w:vAlign w:val="bottom"/>
            <w:hideMark/>
          </w:tcPr>
          <w:p w14:paraId="5532E7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CED35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532D2EA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(105,750</w:t>
            </w:r>
          </w:p>
        </w:tc>
        <w:tc>
          <w:tcPr>
            <w:tcW w:w="150" w:type="dxa"/>
            <w:shd w:val="clear" w:color="auto" w:fill="CFF0FC"/>
            <w:noWrap/>
            <w:tcMar>
              <w:top w:w="15" w:type="dxa"/>
              <w:left w:w="0" w:type="dxa"/>
              <w:bottom w:w="0" w:type="dxa"/>
              <w:right w:w="15" w:type="dxa"/>
            </w:tcMar>
            <w:vAlign w:val="bottom"/>
            <w:hideMark/>
          </w:tcPr>
          <w:p w14:paraId="0764A0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6" w:type="dxa"/>
            <w:shd w:val="clear" w:color="auto" w:fill="CFF0FC"/>
            <w:tcMar>
              <w:top w:w="15" w:type="dxa"/>
              <w:left w:w="0" w:type="dxa"/>
              <w:bottom w:w="0" w:type="dxa"/>
              <w:right w:w="15" w:type="dxa"/>
            </w:tcMar>
            <w:vAlign w:val="bottom"/>
            <w:hideMark/>
          </w:tcPr>
          <w:p w14:paraId="3A76DF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D6558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33FFDC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(86,086</w:t>
            </w:r>
          </w:p>
        </w:tc>
        <w:tc>
          <w:tcPr>
            <w:tcW w:w="150" w:type="dxa"/>
            <w:shd w:val="clear" w:color="auto" w:fill="CFF0FC"/>
            <w:noWrap/>
            <w:tcMar>
              <w:top w:w="15" w:type="dxa"/>
              <w:left w:w="0" w:type="dxa"/>
              <w:bottom w:w="0" w:type="dxa"/>
              <w:right w:w="15" w:type="dxa"/>
            </w:tcMar>
            <w:vAlign w:val="bottom"/>
            <w:hideMark/>
          </w:tcPr>
          <w:p w14:paraId="79BD92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6" w:type="dxa"/>
            <w:shd w:val="clear" w:color="auto" w:fill="CFF0FC"/>
            <w:tcMar>
              <w:top w:w="15" w:type="dxa"/>
              <w:left w:w="0" w:type="dxa"/>
              <w:bottom w:w="0" w:type="dxa"/>
              <w:right w:w="15" w:type="dxa"/>
            </w:tcMar>
            <w:vAlign w:val="bottom"/>
            <w:hideMark/>
          </w:tcPr>
          <w:p w14:paraId="78BB39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1A5A9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0B68F0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(84,425</w:t>
            </w:r>
          </w:p>
        </w:tc>
        <w:tc>
          <w:tcPr>
            <w:tcW w:w="150" w:type="dxa"/>
            <w:shd w:val="clear" w:color="auto" w:fill="CFF0FC"/>
            <w:noWrap/>
            <w:tcMar>
              <w:top w:w="15" w:type="dxa"/>
              <w:left w:w="0" w:type="dxa"/>
              <w:bottom w:w="0" w:type="dxa"/>
              <w:right w:w="15" w:type="dxa"/>
            </w:tcMar>
            <w:vAlign w:val="bottom"/>
            <w:hideMark/>
          </w:tcPr>
          <w:p w14:paraId="53D12B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82103D6" w14:textId="77777777" w:rsidTr="00AC4931">
        <w:tc>
          <w:tcPr>
            <w:tcW w:w="9466" w:type="dxa"/>
            <w:shd w:val="clear" w:color="auto" w:fill="FFFFFF"/>
            <w:tcMar>
              <w:top w:w="15" w:type="dxa"/>
              <w:left w:w="0" w:type="dxa"/>
              <w:bottom w:w="0" w:type="dxa"/>
              <w:right w:w="15" w:type="dxa"/>
            </w:tcMar>
            <w:hideMark/>
          </w:tcPr>
          <w:p w14:paraId="4590CB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Cancelled/Forfeited/Expired</w:t>
            </w:r>
          </w:p>
        </w:tc>
        <w:tc>
          <w:tcPr>
            <w:tcW w:w="216" w:type="dxa"/>
            <w:shd w:val="clear" w:color="auto" w:fill="FFFFFF"/>
            <w:tcMar>
              <w:top w:w="15" w:type="dxa"/>
              <w:left w:w="0" w:type="dxa"/>
              <w:bottom w:w="0" w:type="dxa"/>
              <w:right w:w="15" w:type="dxa"/>
            </w:tcMar>
            <w:vAlign w:val="bottom"/>
            <w:hideMark/>
          </w:tcPr>
          <w:p w14:paraId="5ED576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E370C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60EBB23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(20,044</w:t>
            </w:r>
          </w:p>
        </w:tc>
        <w:tc>
          <w:tcPr>
            <w:tcW w:w="150" w:type="dxa"/>
            <w:shd w:val="clear" w:color="auto" w:fill="FFFFFF"/>
            <w:noWrap/>
            <w:tcMar>
              <w:top w:w="15" w:type="dxa"/>
              <w:left w:w="0" w:type="dxa"/>
              <w:bottom w:w="0" w:type="dxa"/>
              <w:right w:w="15" w:type="dxa"/>
            </w:tcMar>
            <w:vAlign w:val="bottom"/>
            <w:hideMark/>
          </w:tcPr>
          <w:p w14:paraId="4D2181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6" w:type="dxa"/>
            <w:shd w:val="clear" w:color="auto" w:fill="FFFFFF"/>
            <w:tcMar>
              <w:top w:w="15" w:type="dxa"/>
              <w:left w:w="0" w:type="dxa"/>
              <w:bottom w:w="0" w:type="dxa"/>
              <w:right w:w="15" w:type="dxa"/>
            </w:tcMar>
            <w:vAlign w:val="bottom"/>
            <w:hideMark/>
          </w:tcPr>
          <w:p w14:paraId="196E7C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EA26F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78902B2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(30,446</w:t>
            </w:r>
          </w:p>
        </w:tc>
        <w:tc>
          <w:tcPr>
            <w:tcW w:w="150" w:type="dxa"/>
            <w:shd w:val="clear" w:color="auto" w:fill="FFFFFF"/>
            <w:noWrap/>
            <w:tcMar>
              <w:top w:w="15" w:type="dxa"/>
              <w:left w:w="0" w:type="dxa"/>
              <w:bottom w:w="0" w:type="dxa"/>
              <w:right w:w="15" w:type="dxa"/>
            </w:tcMar>
            <w:vAlign w:val="bottom"/>
            <w:hideMark/>
          </w:tcPr>
          <w:p w14:paraId="4DD533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6" w:type="dxa"/>
            <w:shd w:val="clear" w:color="auto" w:fill="FFFFFF"/>
            <w:tcMar>
              <w:top w:w="15" w:type="dxa"/>
              <w:left w:w="0" w:type="dxa"/>
              <w:bottom w:w="0" w:type="dxa"/>
              <w:right w:w="15" w:type="dxa"/>
            </w:tcMar>
            <w:vAlign w:val="bottom"/>
            <w:hideMark/>
          </w:tcPr>
          <w:p w14:paraId="072BE4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9DDE0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002160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(6,485</w:t>
            </w:r>
          </w:p>
        </w:tc>
        <w:tc>
          <w:tcPr>
            <w:tcW w:w="150" w:type="dxa"/>
            <w:shd w:val="clear" w:color="auto" w:fill="FFFFFF"/>
            <w:noWrap/>
            <w:tcMar>
              <w:top w:w="15" w:type="dxa"/>
              <w:left w:w="0" w:type="dxa"/>
              <w:bottom w:w="0" w:type="dxa"/>
              <w:right w:w="15" w:type="dxa"/>
            </w:tcMar>
            <w:vAlign w:val="bottom"/>
            <w:hideMark/>
          </w:tcPr>
          <w:p w14:paraId="3B1322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A8E0D0B" w14:textId="77777777" w:rsidTr="00AC4931">
        <w:tc>
          <w:tcPr>
            <w:tcW w:w="9466" w:type="dxa"/>
            <w:shd w:val="clear" w:color="auto" w:fill="CFF0FC"/>
            <w:tcMar>
              <w:top w:w="15" w:type="dxa"/>
              <w:left w:w="0" w:type="dxa"/>
              <w:bottom w:w="0" w:type="dxa"/>
              <w:right w:w="15" w:type="dxa"/>
            </w:tcMar>
            <w:hideMark/>
          </w:tcPr>
          <w:p w14:paraId="559D24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Spin conversion </w:t>
            </w:r>
            <w:r w:rsidRPr="00AC4931">
              <w:rPr>
                <w:rFonts w:ascii="Arial" w:eastAsia="宋体" w:hAnsi="Arial" w:cs="Arial"/>
                <w:color w:val="000000"/>
                <w:kern w:val="0"/>
                <w:sz w:val="18"/>
                <w:szCs w:val="18"/>
                <w:vertAlign w:val="superscript"/>
              </w:rPr>
              <w:t>2)</w:t>
            </w:r>
          </w:p>
        </w:tc>
        <w:tc>
          <w:tcPr>
            <w:tcW w:w="216" w:type="dxa"/>
            <w:shd w:val="clear" w:color="auto" w:fill="CFF0FC"/>
            <w:tcMar>
              <w:top w:w="15" w:type="dxa"/>
              <w:left w:w="0" w:type="dxa"/>
              <w:bottom w:w="0" w:type="dxa"/>
              <w:right w:w="15" w:type="dxa"/>
            </w:tcMar>
            <w:vAlign w:val="bottom"/>
            <w:hideMark/>
          </w:tcPr>
          <w:p w14:paraId="0894C4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4E54C91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25B43CC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0E8C263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31A3AF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6F8BDF1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63F9B6A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7DE08A3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2A235B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297E64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70ED492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33,328</w:t>
            </w:r>
          </w:p>
        </w:tc>
        <w:tc>
          <w:tcPr>
            <w:tcW w:w="150" w:type="dxa"/>
            <w:shd w:val="clear" w:color="auto" w:fill="CFF0FC"/>
            <w:noWrap/>
            <w:tcMar>
              <w:top w:w="15" w:type="dxa"/>
              <w:left w:w="0" w:type="dxa"/>
              <w:bottom w:w="0" w:type="dxa"/>
              <w:right w:w="15" w:type="dxa"/>
            </w:tcMar>
            <w:vAlign w:val="bottom"/>
            <w:hideMark/>
          </w:tcPr>
          <w:p w14:paraId="5A1D8B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63ADE6F" w14:textId="77777777" w:rsidTr="00AC4931">
        <w:tc>
          <w:tcPr>
            <w:tcW w:w="9466" w:type="dxa"/>
            <w:shd w:val="clear" w:color="auto" w:fill="FFFFFF"/>
            <w:tcMar>
              <w:top w:w="15" w:type="dxa"/>
              <w:left w:w="0" w:type="dxa"/>
              <w:bottom w:w="0" w:type="dxa"/>
              <w:right w:w="15" w:type="dxa"/>
            </w:tcMar>
            <w:hideMark/>
          </w:tcPr>
          <w:p w14:paraId="769721D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Outstanding at end of year</w:t>
            </w:r>
            <w:r w:rsidRPr="00AC4931">
              <w:rPr>
                <w:rFonts w:ascii="Arial" w:eastAsia="宋体" w:hAnsi="Arial" w:cs="Arial"/>
                <w:b/>
                <w:bCs/>
                <w:color w:val="000000"/>
                <w:kern w:val="0"/>
                <w:sz w:val="18"/>
                <w:szCs w:val="18"/>
                <w:vertAlign w:val="superscript"/>
              </w:rPr>
              <w:t>3)</w:t>
            </w:r>
          </w:p>
        </w:tc>
        <w:tc>
          <w:tcPr>
            <w:tcW w:w="216" w:type="dxa"/>
            <w:shd w:val="clear" w:color="auto" w:fill="FFFFFF"/>
            <w:tcMar>
              <w:top w:w="15" w:type="dxa"/>
              <w:left w:w="0" w:type="dxa"/>
              <w:bottom w:w="0" w:type="dxa"/>
              <w:right w:w="15" w:type="dxa"/>
            </w:tcMar>
            <w:vAlign w:val="bottom"/>
            <w:hideMark/>
          </w:tcPr>
          <w:p w14:paraId="1EF9C3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6EBF2E8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3769396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244,901</w:t>
            </w:r>
          </w:p>
        </w:tc>
        <w:tc>
          <w:tcPr>
            <w:tcW w:w="150" w:type="dxa"/>
            <w:shd w:val="clear" w:color="auto" w:fill="FFFFFF"/>
            <w:noWrap/>
            <w:tcMar>
              <w:top w:w="15" w:type="dxa"/>
              <w:left w:w="0" w:type="dxa"/>
              <w:bottom w:w="0" w:type="dxa"/>
              <w:right w:w="15" w:type="dxa"/>
            </w:tcMar>
            <w:vAlign w:val="bottom"/>
            <w:hideMark/>
          </w:tcPr>
          <w:p w14:paraId="5ACBF32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5D3C8E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773EB0D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3B1464E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255,195</w:t>
            </w:r>
          </w:p>
        </w:tc>
        <w:tc>
          <w:tcPr>
            <w:tcW w:w="150" w:type="dxa"/>
            <w:shd w:val="clear" w:color="auto" w:fill="FFFFFF"/>
            <w:noWrap/>
            <w:tcMar>
              <w:top w:w="15" w:type="dxa"/>
              <w:left w:w="0" w:type="dxa"/>
              <w:bottom w:w="0" w:type="dxa"/>
              <w:right w:w="15" w:type="dxa"/>
            </w:tcMar>
            <w:vAlign w:val="bottom"/>
            <w:hideMark/>
          </w:tcPr>
          <w:p w14:paraId="186EEDF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72AC21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509F65D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0E126E4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262,074</w:t>
            </w:r>
          </w:p>
        </w:tc>
        <w:tc>
          <w:tcPr>
            <w:tcW w:w="150" w:type="dxa"/>
            <w:shd w:val="clear" w:color="auto" w:fill="FFFFFF"/>
            <w:noWrap/>
            <w:tcMar>
              <w:top w:w="15" w:type="dxa"/>
              <w:left w:w="0" w:type="dxa"/>
              <w:bottom w:w="0" w:type="dxa"/>
              <w:right w:w="15" w:type="dxa"/>
            </w:tcMar>
            <w:vAlign w:val="bottom"/>
            <w:hideMark/>
          </w:tcPr>
          <w:p w14:paraId="741D61B9"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3B741547"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237AD39F" w14:textId="77777777" w:rsidTr="00AC4931">
        <w:tc>
          <w:tcPr>
            <w:tcW w:w="919" w:type="dxa"/>
            <w:noWrap/>
            <w:hideMark/>
          </w:tcPr>
          <w:p w14:paraId="6F610D2C"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vertAlign w:val="superscript"/>
              </w:rPr>
              <w:t>1)</w:t>
            </w:r>
          </w:p>
        </w:tc>
        <w:tc>
          <w:tcPr>
            <w:tcW w:w="0" w:type="auto"/>
            <w:hideMark/>
          </w:tcPr>
          <w:p w14:paraId="79433CA7"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6"/>
                <w:szCs w:val="16"/>
              </w:rPr>
              <w:t>Weighted average fair value at grant date pre spin-off in 2018.</w:t>
            </w:r>
          </w:p>
        </w:tc>
      </w:tr>
      <w:tr w:rsidR="00AC4931" w:rsidRPr="00AC4931" w14:paraId="4D601DE0" w14:textId="77777777" w:rsidTr="00AC4931">
        <w:tc>
          <w:tcPr>
            <w:tcW w:w="919" w:type="dxa"/>
            <w:noWrap/>
            <w:hideMark/>
          </w:tcPr>
          <w:p w14:paraId="3A154577"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vertAlign w:val="superscript"/>
              </w:rPr>
              <w:t>2)</w:t>
            </w:r>
          </w:p>
        </w:tc>
        <w:tc>
          <w:tcPr>
            <w:tcW w:w="0" w:type="auto"/>
            <w:hideMark/>
          </w:tcPr>
          <w:p w14:paraId="5D16C3BD"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6"/>
                <w:szCs w:val="16"/>
              </w:rPr>
              <w:t>Reflects the impact of the cancellation of PS awards outstanding as of the Distribution Date, and the conversion to RSUs in accordance with the conversion factor described above.</w:t>
            </w:r>
          </w:p>
        </w:tc>
      </w:tr>
    </w:tbl>
    <w:p w14:paraId="7B66E9A5" w14:textId="77777777" w:rsidR="00AC4931" w:rsidRPr="00AC4931" w:rsidRDefault="00AC4931" w:rsidP="00AC4931">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3A4AABF5" w14:textId="77777777" w:rsidTr="00AC4931">
        <w:tc>
          <w:tcPr>
            <w:tcW w:w="919" w:type="dxa"/>
            <w:noWrap/>
            <w:hideMark/>
          </w:tcPr>
          <w:p w14:paraId="361E65E3"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vertAlign w:val="superscript"/>
              </w:rPr>
              <w:t>3)</w:t>
            </w:r>
          </w:p>
        </w:tc>
        <w:tc>
          <w:tcPr>
            <w:tcW w:w="0" w:type="auto"/>
            <w:hideMark/>
          </w:tcPr>
          <w:p w14:paraId="4737948C"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6"/>
                <w:szCs w:val="16"/>
              </w:rPr>
              <w:t>Outstanding at the end of 2018 reflects the RSUs held by employees of Autoliv and Veoneer, in accordance with the conversion factor described above. The corresponding weighted average grant date fair value after applying the conversion factor is $100.74 as of December 31, 2018.</w:t>
            </w:r>
          </w:p>
        </w:tc>
      </w:tr>
    </w:tbl>
    <w:p w14:paraId="5DB39B76"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4E5FE651"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77</w:t>
      </w:r>
    </w:p>
    <w:p w14:paraId="5013933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A0333A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7E1F1AE"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201496D"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0CC83365">
          <v:rect id="_x0000_i1104" style="width:0;height:1.5pt" o:hralign="center" o:hrstd="t" o:hrnoshade="t" o:hr="t" fillcolor="black" stroked="f"/>
        </w:pict>
      </w:r>
    </w:p>
    <w:p w14:paraId="066A8A5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049870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FCE894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1744C1F" w14:textId="77777777" w:rsidR="00AC4931" w:rsidRPr="00AC4931" w:rsidRDefault="00AC4931" w:rsidP="00AC4931">
      <w:pPr>
        <w:widowControl/>
        <w:jc w:val="left"/>
        <w:rPr>
          <w:rFonts w:ascii="Times New Roman" w:eastAsia="宋体" w:hAnsi="Times New Roman" w:cs="Times New Roman" w:hint="eastAsia"/>
          <w:kern w:val="0"/>
          <w:sz w:val="22"/>
        </w:rPr>
      </w:pPr>
      <w:r w:rsidRPr="00AC4931">
        <w:rPr>
          <w:rFonts w:ascii="Times New Roman" w:eastAsia="宋体" w:hAnsi="Times New Roman" w:cs="Times New Roman"/>
          <w:kern w:val="0"/>
          <w:sz w:val="22"/>
        </w:rPr>
        <w:lastRenderedPageBreak/>
        <w:t> </w:t>
      </w:r>
    </w:p>
    <w:p w14:paraId="3598FC02" w14:textId="77777777" w:rsidR="00AC4931" w:rsidRPr="00AC4931" w:rsidRDefault="00AC4931" w:rsidP="00AC4931">
      <w:pPr>
        <w:widowControl/>
        <w:spacing w:before="60"/>
        <w:rPr>
          <w:rFonts w:ascii="Arial" w:eastAsia="宋体" w:hAnsi="Arial" w:cs="Arial"/>
          <w:kern w:val="0"/>
          <w:sz w:val="18"/>
          <w:szCs w:val="18"/>
        </w:rPr>
      </w:pPr>
      <w:r w:rsidRPr="00AC4931">
        <w:rPr>
          <w:rFonts w:ascii="Arial" w:eastAsia="宋体" w:hAnsi="Arial" w:cs="Arial"/>
          <w:kern w:val="0"/>
          <w:sz w:val="18"/>
          <w:szCs w:val="18"/>
        </w:rPr>
        <w:t>The aggregate intrinsic value for RSUs outstanding at December 31, 2020 was $22.6 million.</w:t>
      </w:r>
    </w:p>
    <w:p w14:paraId="49089BCA"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9533"/>
        <w:gridCol w:w="214"/>
        <w:gridCol w:w="159"/>
        <w:gridCol w:w="1787"/>
        <w:gridCol w:w="159"/>
        <w:gridCol w:w="214"/>
        <w:gridCol w:w="159"/>
        <w:gridCol w:w="1787"/>
        <w:gridCol w:w="159"/>
        <w:gridCol w:w="214"/>
        <w:gridCol w:w="159"/>
        <w:gridCol w:w="1787"/>
        <w:gridCol w:w="160"/>
      </w:tblGrid>
      <w:tr w:rsidR="00AC4931" w:rsidRPr="00AC4931" w14:paraId="4F89C4DC" w14:textId="77777777" w:rsidTr="00AC4931">
        <w:tc>
          <w:tcPr>
            <w:tcW w:w="9474" w:type="dxa"/>
            <w:shd w:val="clear" w:color="auto" w:fill="FFFFFF"/>
            <w:tcMar>
              <w:top w:w="15" w:type="dxa"/>
              <w:left w:w="0" w:type="dxa"/>
              <w:bottom w:w="0" w:type="dxa"/>
              <w:right w:w="15" w:type="dxa"/>
            </w:tcMar>
            <w:vAlign w:val="bottom"/>
            <w:hideMark/>
          </w:tcPr>
          <w:p w14:paraId="6A4D5DA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PSs</w:t>
            </w:r>
          </w:p>
        </w:tc>
        <w:tc>
          <w:tcPr>
            <w:tcW w:w="213" w:type="dxa"/>
            <w:shd w:val="clear" w:color="auto" w:fill="FFFFFF"/>
            <w:tcMar>
              <w:top w:w="15" w:type="dxa"/>
              <w:left w:w="0" w:type="dxa"/>
              <w:bottom w:w="0" w:type="dxa"/>
              <w:right w:w="15" w:type="dxa"/>
            </w:tcMar>
            <w:vAlign w:val="bottom"/>
            <w:hideMark/>
          </w:tcPr>
          <w:p w14:paraId="350F0EF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1DBDC2C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13E6ADE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shd w:val="clear" w:color="auto" w:fill="FFFFFF"/>
            <w:tcMar>
              <w:top w:w="15" w:type="dxa"/>
              <w:left w:w="0" w:type="dxa"/>
              <w:bottom w:w="0" w:type="dxa"/>
              <w:right w:w="15" w:type="dxa"/>
            </w:tcMar>
            <w:vAlign w:val="bottom"/>
            <w:hideMark/>
          </w:tcPr>
          <w:p w14:paraId="13AA4DB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0773197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65A439A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shd w:val="clear" w:color="auto" w:fill="FFFFFF"/>
            <w:tcMar>
              <w:top w:w="15" w:type="dxa"/>
              <w:left w:w="0" w:type="dxa"/>
              <w:bottom w:w="0" w:type="dxa"/>
              <w:right w:w="15" w:type="dxa"/>
            </w:tcMar>
            <w:vAlign w:val="bottom"/>
            <w:hideMark/>
          </w:tcPr>
          <w:p w14:paraId="6845871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4E5BCCF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32D2797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41DA066E" w14:textId="77777777" w:rsidTr="00AC4931">
        <w:tc>
          <w:tcPr>
            <w:tcW w:w="9474" w:type="dxa"/>
            <w:shd w:val="clear" w:color="auto" w:fill="CFF0FC"/>
            <w:tcMar>
              <w:top w:w="15" w:type="dxa"/>
              <w:left w:w="0" w:type="dxa"/>
              <w:bottom w:w="0" w:type="dxa"/>
              <w:right w:w="15" w:type="dxa"/>
            </w:tcMar>
            <w:hideMark/>
          </w:tcPr>
          <w:p w14:paraId="7351F97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Weighted average fair value at grant date </w:t>
            </w:r>
            <w:r w:rsidRPr="00AC4931">
              <w:rPr>
                <w:rFonts w:ascii="Arial" w:eastAsia="宋体" w:hAnsi="Arial" w:cs="Arial"/>
                <w:b/>
                <w:bCs/>
                <w:color w:val="000000"/>
                <w:kern w:val="0"/>
                <w:sz w:val="18"/>
                <w:szCs w:val="18"/>
                <w:vertAlign w:val="superscript"/>
              </w:rPr>
              <w:t>1)</w:t>
            </w:r>
          </w:p>
        </w:tc>
        <w:tc>
          <w:tcPr>
            <w:tcW w:w="213" w:type="dxa"/>
            <w:shd w:val="clear" w:color="auto" w:fill="CFF0FC"/>
            <w:tcMar>
              <w:top w:w="15" w:type="dxa"/>
              <w:left w:w="0" w:type="dxa"/>
              <w:bottom w:w="0" w:type="dxa"/>
              <w:right w:w="15" w:type="dxa"/>
            </w:tcMar>
            <w:vAlign w:val="bottom"/>
            <w:hideMark/>
          </w:tcPr>
          <w:p w14:paraId="2ADC70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5DD340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72230EE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69.86</w:t>
            </w:r>
          </w:p>
        </w:tc>
        <w:tc>
          <w:tcPr>
            <w:tcW w:w="150" w:type="dxa"/>
            <w:shd w:val="clear" w:color="auto" w:fill="CFF0FC"/>
            <w:noWrap/>
            <w:tcMar>
              <w:top w:w="15" w:type="dxa"/>
              <w:left w:w="0" w:type="dxa"/>
              <w:bottom w:w="0" w:type="dxa"/>
              <w:right w:w="15" w:type="dxa"/>
            </w:tcMar>
            <w:vAlign w:val="bottom"/>
            <w:hideMark/>
          </w:tcPr>
          <w:p w14:paraId="45FF532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6F2642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9CC7D9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24F9FBB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77.00</w:t>
            </w:r>
          </w:p>
        </w:tc>
        <w:tc>
          <w:tcPr>
            <w:tcW w:w="150" w:type="dxa"/>
            <w:shd w:val="clear" w:color="auto" w:fill="CFF0FC"/>
            <w:noWrap/>
            <w:tcMar>
              <w:top w:w="15" w:type="dxa"/>
              <w:left w:w="0" w:type="dxa"/>
              <w:bottom w:w="0" w:type="dxa"/>
              <w:right w:w="15" w:type="dxa"/>
            </w:tcMar>
            <w:vAlign w:val="bottom"/>
            <w:hideMark/>
          </w:tcPr>
          <w:p w14:paraId="253A85B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512920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1C2CA5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18D8329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105.87</w:t>
            </w:r>
          </w:p>
        </w:tc>
        <w:tc>
          <w:tcPr>
            <w:tcW w:w="151" w:type="dxa"/>
            <w:shd w:val="clear" w:color="auto" w:fill="CFF0FC"/>
            <w:noWrap/>
            <w:tcMar>
              <w:top w:w="15" w:type="dxa"/>
              <w:left w:w="0" w:type="dxa"/>
              <w:bottom w:w="0" w:type="dxa"/>
              <w:right w:w="15" w:type="dxa"/>
            </w:tcMar>
            <w:vAlign w:val="bottom"/>
            <w:hideMark/>
          </w:tcPr>
          <w:p w14:paraId="391A527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BAF1517" w14:textId="77777777" w:rsidTr="00AC4931">
        <w:tc>
          <w:tcPr>
            <w:tcW w:w="9474" w:type="dxa"/>
            <w:shd w:val="clear" w:color="auto" w:fill="FFFFFF"/>
            <w:tcMar>
              <w:top w:w="15" w:type="dxa"/>
              <w:left w:w="0" w:type="dxa"/>
              <w:bottom w:w="0" w:type="dxa"/>
              <w:right w:w="15" w:type="dxa"/>
            </w:tcMar>
            <w:hideMark/>
          </w:tcPr>
          <w:p w14:paraId="64357F1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735909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9C652B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086039F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E9D238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D69E2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221CE0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65E940A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06302C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316EFD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9F9B30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4B568EE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1" w:type="dxa"/>
            <w:shd w:val="clear" w:color="auto" w:fill="FFFFFF"/>
            <w:noWrap/>
            <w:tcMar>
              <w:top w:w="15" w:type="dxa"/>
              <w:left w:w="0" w:type="dxa"/>
              <w:bottom w:w="0" w:type="dxa"/>
              <w:right w:w="15" w:type="dxa"/>
            </w:tcMar>
            <w:vAlign w:val="bottom"/>
            <w:hideMark/>
          </w:tcPr>
          <w:p w14:paraId="52B6037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4857E96D" w14:textId="77777777" w:rsidTr="00AC4931">
        <w:tc>
          <w:tcPr>
            <w:tcW w:w="9474" w:type="dxa"/>
            <w:shd w:val="clear" w:color="auto" w:fill="CFF0FC"/>
            <w:tcMar>
              <w:top w:w="15" w:type="dxa"/>
              <w:left w:w="0" w:type="dxa"/>
              <w:bottom w:w="0" w:type="dxa"/>
              <w:right w:w="15" w:type="dxa"/>
            </w:tcMar>
            <w:hideMark/>
          </w:tcPr>
          <w:p w14:paraId="76C8E3A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Outstanding at beginning of year</w:t>
            </w:r>
          </w:p>
        </w:tc>
        <w:tc>
          <w:tcPr>
            <w:tcW w:w="213" w:type="dxa"/>
            <w:shd w:val="clear" w:color="auto" w:fill="CFF0FC"/>
            <w:tcMar>
              <w:top w:w="15" w:type="dxa"/>
              <w:left w:w="0" w:type="dxa"/>
              <w:bottom w:w="0" w:type="dxa"/>
              <w:right w:w="15" w:type="dxa"/>
            </w:tcMar>
            <w:vAlign w:val="bottom"/>
            <w:hideMark/>
          </w:tcPr>
          <w:p w14:paraId="13D359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E142B1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56C603B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76,321</w:t>
            </w:r>
          </w:p>
        </w:tc>
        <w:tc>
          <w:tcPr>
            <w:tcW w:w="150" w:type="dxa"/>
            <w:shd w:val="clear" w:color="auto" w:fill="CFF0FC"/>
            <w:noWrap/>
            <w:tcMar>
              <w:top w:w="15" w:type="dxa"/>
              <w:left w:w="0" w:type="dxa"/>
              <w:bottom w:w="0" w:type="dxa"/>
              <w:right w:w="15" w:type="dxa"/>
            </w:tcMar>
            <w:vAlign w:val="bottom"/>
            <w:hideMark/>
          </w:tcPr>
          <w:p w14:paraId="0588A48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661D63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07A55E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403D8A2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13EAE0B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34BB12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7C6C85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700166C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139,891</w:t>
            </w:r>
          </w:p>
        </w:tc>
        <w:tc>
          <w:tcPr>
            <w:tcW w:w="151" w:type="dxa"/>
            <w:shd w:val="clear" w:color="auto" w:fill="CFF0FC"/>
            <w:noWrap/>
            <w:tcMar>
              <w:top w:w="15" w:type="dxa"/>
              <w:left w:w="0" w:type="dxa"/>
              <w:bottom w:w="0" w:type="dxa"/>
              <w:right w:w="15" w:type="dxa"/>
            </w:tcMar>
            <w:vAlign w:val="bottom"/>
            <w:hideMark/>
          </w:tcPr>
          <w:p w14:paraId="00D00B8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6F520332" w14:textId="77777777" w:rsidTr="00AC4931">
        <w:tc>
          <w:tcPr>
            <w:tcW w:w="9474" w:type="dxa"/>
            <w:shd w:val="clear" w:color="auto" w:fill="FFFFFF"/>
            <w:tcMar>
              <w:top w:w="15" w:type="dxa"/>
              <w:left w:w="0" w:type="dxa"/>
              <w:bottom w:w="0" w:type="dxa"/>
              <w:right w:w="15" w:type="dxa"/>
            </w:tcMar>
            <w:hideMark/>
          </w:tcPr>
          <w:p w14:paraId="6FA2E6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Change in performance conditions</w:t>
            </w:r>
          </w:p>
        </w:tc>
        <w:tc>
          <w:tcPr>
            <w:tcW w:w="213" w:type="dxa"/>
            <w:shd w:val="clear" w:color="auto" w:fill="FFFFFF"/>
            <w:tcMar>
              <w:top w:w="15" w:type="dxa"/>
              <w:left w:w="0" w:type="dxa"/>
              <w:bottom w:w="0" w:type="dxa"/>
              <w:right w:w="15" w:type="dxa"/>
            </w:tcMar>
            <w:vAlign w:val="bottom"/>
            <w:hideMark/>
          </w:tcPr>
          <w:p w14:paraId="5765EB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BFBDD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085E6B1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23,998</w:t>
            </w:r>
          </w:p>
        </w:tc>
        <w:tc>
          <w:tcPr>
            <w:tcW w:w="150" w:type="dxa"/>
            <w:shd w:val="clear" w:color="auto" w:fill="FFFFFF"/>
            <w:noWrap/>
            <w:tcMar>
              <w:top w:w="15" w:type="dxa"/>
              <w:left w:w="0" w:type="dxa"/>
              <w:bottom w:w="0" w:type="dxa"/>
              <w:right w:w="15" w:type="dxa"/>
            </w:tcMar>
            <w:vAlign w:val="bottom"/>
            <w:hideMark/>
          </w:tcPr>
          <w:p w14:paraId="29401F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C0F48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1657C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7D5CB96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12,530</w:t>
            </w:r>
          </w:p>
        </w:tc>
        <w:tc>
          <w:tcPr>
            <w:tcW w:w="150" w:type="dxa"/>
            <w:shd w:val="clear" w:color="auto" w:fill="FFFFFF"/>
            <w:noWrap/>
            <w:tcMar>
              <w:top w:w="15" w:type="dxa"/>
              <w:left w:w="0" w:type="dxa"/>
              <w:bottom w:w="0" w:type="dxa"/>
              <w:right w:w="15" w:type="dxa"/>
            </w:tcMar>
            <w:vAlign w:val="bottom"/>
            <w:hideMark/>
          </w:tcPr>
          <w:p w14:paraId="6941A4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660B8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7A5B8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4B96556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1" w:type="dxa"/>
            <w:shd w:val="clear" w:color="auto" w:fill="FFFFFF"/>
            <w:noWrap/>
            <w:tcMar>
              <w:top w:w="15" w:type="dxa"/>
              <w:left w:w="0" w:type="dxa"/>
              <w:bottom w:w="0" w:type="dxa"/>
              <w:right w:w="15" w:type="dxa"/>
            </w:tcMar>
            <w:vAlign w:val="bottom"/>
            <w:hideMark/>
          </w:tcPr>
          <w:p w14:paraId="61575B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B23632F" w14:textId="77777777" w:rsidTr="00AC4931">
        <w:tc>
          <w:tcPr>
            <w:tcW w:w="9474" w:type="dxa"/>
            <w:shd w:val="clear" w:color="auto" w:fill="CFF0FC"/>
            <w:tcMar>
              <w:top w:w="15" w:type="dxa"/>
              <w:left w:w="0" w:type="dxa"/>
              <w:bottom w:w="0" w:type="dxa"/>
              <w:right w:w="15" w:type="dxa"/>
            </w:tcMar>
            <w:hideMark/>
          </w:tcPr>
          <w:p w14:paraId="38518F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Granted </w:t>
            </w:r>
            <w:r w:rsidRPr="00AC4931">
              <w:rPr>
                <w:rFonts w:ascii="Arial" w:eastAsia="宋体" w:hAnsi="Arial" w:cs="Arial"/>
                <w:color w:val="000000"/>
                <w:kern w:val="0"/>
                <w:sz w:val="18"/>
                <w:szCs w:val="18"/>
                <w:vertAlign w:val="superscript"/>
              </w:rPr>
              <w:t>2)</w:t>
            </w:r>
          </w:p>
        </w:tc>
        <w:tc>
          <w:tcPr>
            <w:tcW w:w="213" w:type="dxa"/>
            <w:shd w:val="clear" w:color="auto" w:fill="CFF0FC"/>
            <w:tcMar>
              <w:top w:w="15" w:type="dxa"/>
              <w:left w:w="0" w:type="dxa"/>
              <w:bottom w:w="0" w:type="dxa"/>
              <w:right w:w="15" w:type="dxa"/>
            </w:tcMar>
            <w:vAlign w:val="bottom"/>
            <w:hideMark/>
          </w:tcPr>
          <w:p w14:paraId="2BF333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C0978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025809C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75,940</w:t>
            </w:r>
          </w:p>
        </w:tc>
        <w:tc>
          <w:tcPr>
            <w:tcW w:w="150" w:type="dxa"/>
            <w:shd w:val="clear" w:color="auto" w:fill="CFF0FC"/>
            <w:noWrap/>
            <w:tcMar>
              <w:top w:w="15" w:type="dxa"/>
              <w:left w:w="0" w:type="dxa"/>
              <w:bottom w:w="0" w:type="dxa"/>
              <w:right w:w="15" w:type="dxa"/>
            </w:tcMar>
            <w:vAlign w:val="bottom"/>
            <w:hideMark/>
          </w:tcPr>
          <w:p w14:paraId="067C8D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735EC8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638CE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1C5F560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66,542</w:t>
            </w:r>
          </w:p>
        </w:tc>
        <w:tc>
          <w:tcPr>
            <w:tcW w:w="150" w:type="dxa"/>
            <w:shd w:val="clear" w:color="auto" w:fill="CFF0FC"/>
            <w:noWrap/>
            <w:tcMar>
              <w:top w:w="15" w:type="dxa"/>
              <w:left w:w="0" w:type="dxa"/>
              <w:bottom w:w="0" w:type="dxa"/>
              <w:right w:w="15" w:type="dxa"/>
            </w:tcMar>
            <w:vAlign w:val="bottom"/>
            <w:hideMark/>
          </w:tcPr>
          <w:p w14:paraId="1073A3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3F62D3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D4815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616735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588</w:t>
            </w:r>
          </w:p>
        </w:tc>
        <w:tc>
          <w:tcPr>
            <w:tcW w:w="151" w:type="dxa"/>
            <w:shd w:val="clear" w:color="auto" w:fill="CFF0FC"/>
            <w:noWrap/>
            <w:tcMar>
              <w:top w:w="15" w:type="dxa"/>
              <w:left w:w="0" w:type="dxa"/>
              <w:bottom w:w="0" w:type="dxa"/>
              <w:right w:w="15" w:type="dxa"/>
            </w:tcMar>
            <w:vAlign w:val="bottom"/>
            <w:hideMark/>
          </w:tcPr>
          <w:p w14:paraId="4F86A2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638E2D8" w14:textId="77777777" w:rsidTr="00AC4931">
        <w:tc>
          <w:tcPr>
            <w:tcW w:w="9474" w:type="dxa"/>
            <w:shd w:val="clear" w:color="auto" w:fill="FFFFFF"/>
            <w:tcMar>
              <w:top w:w="15" w:type="dxa"/>
              <w:left w:w="0" w:type="dxa"/>
              <w:bottom w:w="0" w:type="dxa"/>
              <w:right w:w="15" w:type="dxa"/>
            </w:tcMar>
            <w:hideMark/>
          </w:tcPr>
          <w:p w14:paraId="17A0EC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Cancelled/Forfeited/Expired</w:t>
            </w:r>
          </w:p>
        </w:tc>
        <w:tc>
          <w:tcPr>
            <w:tcW w:w="213" w:type="dxa"/>
            <w:shd w:val="clear" w:color="auto" w:fill="FFFFFF"/>
            <w:tcMar>
              <w:top w:w="15" w:type="dxa"/>
              <w:left w:w="0" w:type="dxa"/>
              <w:bottom w:w="0" w:type="dxa"/>
              <w:right w:w="15" w:type="dxa"/>
            </w:tcMar>
            <w:vAlign w:val="bottom"/>
            <w:hideMark/>
          </w:tcPr>
          <w:p w14:paraId="13ADF4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3889E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7B3648F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(18,131</w:t>
            </w:r>
          </w:p>
        </w:tc>
        <w:tc>
          <w:tcPr>
            <w:tcW w:w="150" w:type="dxa"/>
            <w:shd w:val="clear" w:color="auto" w:fill="FFFFFF"/>
            <w:noWrap/>
            <w:tcMar>
              <w:top w:w="15" w:type="dxa"/>
              <w:left w:w="0" w:type="dxa"/>
              <w:bottom w:w="0" w:type="dxa"/>
              <w:right w:w="15" w:type="dxa"/>
            </w:tcMar>
            <w:vAlign w:val="bottom"/>
            <w:hideMark/>
          </w:tcPr>
          <w:p w14:paraId="6C9A97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3" w:type="dxa"/>
            <w:shd w:val="clear" w:color="auto" w:fill="FFFFFF"/>
            <w:tcMar>
              <w:top w:w="15" w:type="dxa"/>
              <w:left w:w="0" w:type="dxa"/>
              <w:bottom w:w="0" w:type="dxa"/>
              <w:right w:w="15" w:type="dxa"/>
            </w:tcMar>
            <w:vAlign w:val="bottom"/>
            <w:hideMark/>
          </w:tcPr>
          <w:p w14:paraId="01C267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9FB8B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621223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(2,751</w:t>
            </w:r>
          </w:p>
        </w:tc>
        <w:tc>
          <w:tcPr>
            <w:tcW w:w="150" w:type="dxa"/>
            <w:shd w:val="clear" w:color="auto" w:fill="FFFFFF"/>
            <w:noWrap/>
            <w:tcMar>
              <w:top w:w="15" w:type="dxa"/>
              <w:left w:w="0" w:type="dxa"/>
              <w:bottom w:w="0" w:type="dxa"/>
              <w:right w:w="15" w:type="dxa"/>
            </w:tcMar>
            <w:vAlign w:val="bottom"/>
            <w:hideMark/>
          </w:tcPr>
          <w:p w14:paraId="6CE221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3" w:type="dxa"/>
            <w:shd w:val="clear" w:color="auto" w:fill="FFFFFF"/>
            <w:tcMar>
              <w:top w:w="15" w:type="dxa"/>
              <w:left w:w="0" w:type="dxa"/>
              <w:bottom w:w="0" w:type="dxa"/>
              <w:right w:w="15" w:type="dxa"/>
            </w:tcMar>
            <w:vAlign w:val="bottom"/>
            <w:hideMark/>
          </w:tcPr>
          <w:p w14:paraId="3A2989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69DF5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54CE383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(3,076</w:t>
            </w:r>
          </w:p>
        </w:tc>
        <w:tc>
          <w:tcPr>
            <w:tcW w:w="151" w:type="dxa"/>
            <w:shd w:val="clear" w:color="auto" w:fill="FFFFFF"/>
            <w:noWrap/>
            <w:tcMar>
              <w:top w:w="15" w:type="dxa"/>
              <w:left w:w="0" w:type="dxa"/>
              <w:bottom w:w="0" w:type="dxa"/>
              <w:right w:w="15" w:type="dxa"/>
            </w:tcMar>
            <w:vAlign w:val="bottom"/>
            <w:hideMark/>
          </w:tcPr>
          <w:p w14:paraId="065000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24785B3" w14:textId="77777777" w:rsidTr="00AC4931">
        <w:tc>
          <w:tcPr>
            <w:tcW w:w="9474" w:type="dxa"/>
            <w:shd w:val="clear" w:color="auto" w:fill="CFF0FC"/>
            <w:tcMar>
              <w:top w:w="15" w:type="dxa"/>
              <w:left w:w="0" w:type="dxa"/>
              <w:bottom w:w="0" w:type="dxa"/>
              <w:right w:w="15" w:type="dxa"/>
            </w:tcMar>
            <w:hideMark/>
          </w:tcPr>
          <w:p w14:paraId="0F635B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Spin conversion </w:t>
            </w:r>
            <w:r w:rsidRPr="00AC4931">
              <w:rPr>
                <w:rFonts w:ascii="Arial" w:eastAsia="宋体" w:hAnsi="Arial" w:cs="Arial"/>
                <w:color w:val="000000"/>
                <w:kern w:val="0"/>
                <w:sz w:val="18"/>
                <w:szCs w:val="18"/>
                <w:vertAlign w:val="superscript"/>
              </w:rPr>
              <w:t>3)</w:t>
            </w:r>
          </w:p>
        </w:tc>
        <w:tc>
          <w:tcPr>
            <w:tcW w:w="213" w:type="dxa"/>
            <w:shd w:val="clear" w:color="auto" w:fill="CFF0FC"/>
            <w:tcMar>
              <w:top w:w="15" w:type="dxa"/>
              <w:left w:w="0" w:type="dxa"/>
              <w:bottom w:w="0" w:type="dxa"/>
              <w:right w:w="15" w:type="dxa"/>
            </w:tcMar>
            <w:vAlign w:val="bottom"/>
            <w:hideMark/>
          </w:tcPr>
          <w:p w14:paraId="71B262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638722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524E278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1B501E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6BA8F2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4B77A4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47F6352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4B62EA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2CCADA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7D2310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453558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(137,403</w:t>
            </w:r>
          </w:p>
        </w:tc>
        <w:tc>
          <w:tcPr>
            <w:tcW w:w="151" w:type="dxa"/>
            <w:shd w:val="clear" w:color="auto" w:fill="CFF0FC"/>
            <w:noWrap/>
            <w:tcMar>
              <w:top w:w="15" w:type="dxa"/>
              <w:left w:w="0" w:type="dxa"/>
              <w:bottom w:w="0" w:type="dxa"/>
              <w:right w:w="15" w:type="dxa"/>
            </w:tcMar>
            <w:vAlign w:val="bottom"/>
            <w:hideMark/>
          </w:tcPr>
          <w:p w14:paraId="2A8C45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BE21AC7" w14:textId="77777777" w:rsidTr="00AC4931">
        <w:tc>
          <w:tcPr>
            <w:tcW w:w="9474" w:type="dxa"/>
            <w:shd w:val="clear" w:color="auto" w:fill="FFFFFF"/>
            <w:tcMar>
              <w:top w:w="15" w:type="dxa"/>
              <w:left w:w="0" w:type="dxa"/>
              <w:bottom w:w="0" w:type="dxa"/>
              <w:right w:w="15" w:type="dxa"/>
            </w:tcMar>
            <w:hideMark/>
          </w:tcPr>
          <w:p w14:paraId="6CE10B8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Outstanding at end of year</w:t>
            </w:r>
          </w:p>
        </w:tc>
        <w:tc>
          <w:tcPr>
            <w:tcW w:w="213" w:type="dxa"/>
            <w:shd w:val="clear" w:color="auto" w:fill="FFFFFF"/>
            <w:tcMar>
              <w:top w:w="15" w:type="dxa"/>
              <w:left w:w="0" w:type="dxa"/>
              <w:bottom w:w="0" w:type="dxa"/>
              <w:right w:w="15" w:type="dxa"/>
            </w:tcMar>
            <w:vAlign w:val="bottom"/>
            <w:hideMark/>
          </w:tcPr>
          <w:p w14:paraId="108327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129A0E4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3B22A5D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158,128</w:t>
            </w:r>
          </w:p>
        </w:tc>
        <w:tc>
          <w:tcPr>
            <w:tcW w:w="150" w:type="dxa"/>
            <w:shd w:val="clear" w:color="auto" w:fill="FFFFFF"/>
            <w:noWrap/>
            <w:tcMar>
              <w:top w:w="15" w:type="dxa"/>
              <w:left w:w="0" w:type="dxa"/>
              <w:bottom w:w="0" w:type="dxa"/>
              <w:right w:w="15" w:type="dxa"/>
            </w:tcMar>
            <w:vAlign w:val="bottom"/>
            <w:hideMark/>
          </w:tcPr>
          <w:p w14:paraId="3B41001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47AD94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6926CF0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10E172A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76,321</w:t>
            </w:r>
          </w:p>
        </w:tc>
        <w:tc>
          <w:tcPr>
            <w:tcW w:w="150" w:type="dxa"/>
            <w:shd w:val="clear" w:color="auto" w:fill="FFFFFF"/>
            <w:noWrap/>
            <w:tcMar>
              <w:top w:w="15" w:type="dxa"/>
              <w:left w:w="0" w:type="dxa"/>
              <w:bottom w:w="0" w:type="dxa"/>
              <w:right w:w="15" w:type="dxa"/>
            </w:tcMar>
            <w:vAlign w:val="bottom"/>
            <w:hideMark/>
          </w:tcPr>
          <w:p w14:paraId="33F71C3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2A0378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62366C0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5CDA6E2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51" w:type="dxa"/>
            <w:shd w:val="clear" w:color="auto" w:fill="FFFFFF"/>
            <w:noWrap/>
            <w:tcMar>
              <w:top w:w="15" w:type="dxa"/>
              <w:left w:w="0" w:type="dxa"/>
              <w:bottom w:w="0" w:type="dxa"/>
              <w:right w:w="15" w:type="dxa"/>
            </w:tcMar>
            <w:vAlign w:val="bottom"/>
            <w:hideMark/>
          </w:tcPr>
          <w:p w14:paraId="42C1B24D"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4C29FFDC" w14:textId="77777777" w:rsidR="00AC4931" w:rsidRPr="00AC4931" w:rsidRDefault="00AC4931" w:rsidP="00AC4931">
      <w:pPr>
        <w:widowControl/>
        <w:ind w:left="919" w:hanging="546"/>
        <w:rPr>
          <w:rFonts w:ascii="宋体" w:eastAsia="宋体" w:hAnsi="宋体" w:cs="宋体"/>
          <w:kern w:val="0"/>
          <w:sz w:val="24"/>
          <w:szCs w:val="24"/>
        </w:rPr>
      </w:pPr>
      <w:r w:rsidRPr="00AC4931">
        <w:rPr>
          <w:rFonts w:ascii="宋体" w:eastAsia="宋体" w:hAnsi="宋体" w:cs="宋体"/>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7421D059" w14:textId="77777777" w:rsidTr="00AC4931">
        <w:tc>
          <w:tcPr>
            <w:tcW w:w="919" w:type="dxa"/>
            <w:noWrap/>
            <w:hideMark/>
          </w:tcPr>
          <w:p w14:paraId="02498446"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8"/>
                <w:szCs w:val="18"/>
                <w:vertAlign w:val="superscript"/>
              </w:rPr>
              <w:t>1)</w:t>
            </w:r>
          </w:p>
        </w:tc>
        <w:tc>
          <w:tcPr>
            <w:tcW w:w="0" w:type="auto"/>
            <w:hideMark/>
          </w:tcPr>
          <w:p w14:paraId="596433BD"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Weighted average fair value at grant date pre spin-off in 2018.</w:t>
            </w:r>
          </w:p>
        </w:tc>
      </w:tr>
      <w:tr w:rsidR="00AC4931" w:rsidRPr="00AC4931" w14:paraId="15CD1758" w14:textId="77777777" w:rsidTr="00AC4931">
        <w:tc>
          <w:tcPr>
            <w:tcW w:w="919" w:type="dxa"/>
            <w:noWrap/>
            <w:hideMark/>
          </w:tcPr>
          <w:p w14:paraId="5042CC62"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8"/>
                <w:szCs w:val="18"/>
                <w:vertAlign w:val="superscript"/>
              </w:rPr>
              <w:t>2)</w:t>
            </w:r>
          </w:p>
        </w:tc>
        <w:tc>
          <w:tcPr>
            <w:tcW w:w="0" w:type="auto"/>
            <w:hideMark/>
          </w:tcPr>
          <w:p w14:paraId="2DA7B4BA"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2018 grants reflect awards issued pre-spin-off as a result of dividend equivalent rights.</w:t>
            </w:r>
          </w:p>
        </w:tc>
      </w:tr>
    </w:tbl>
    <w:p w14:paraId="7805414A" w14:textId="77777777" w:rsidR="00AC4931" w:rsidRPr="00AC4931" w:rsidRDefault="00AC4931" w:rsidP="00AC4931">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145A6B9C" w14:textId="77777777" w:rsidTr="00AC4931">
        <w:tc>
          <w:tcPr>
            <w:tcW w:w="919" w:type="dxa"/>
            <w:noWrap/>
            <w:hideMark/>
          </w:tcPr>
          <w:p w14:paraId="7CA6A82B"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vertAlign w:val="superscript"/>
              </w:rPr>
              <w:t>3)</w:t>
            </w:r>
          </w:p>
        </w:tc>
        <w:tc>
          <w:tcPr>
            <w:tcW w:w="0" w:type="auto"/>
            <w:hideMark/>
          </w:tcPr>
          <w:p w14:paraId="208E763B"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6"/>
                <w:szCs w:val="16"/>
              </w:rPr>
              <w:t>Reflects the replacement of awards due to the spin-off. Outstanding PS awards were converted to RSU awards in accordance with the conversion factor described above.</w:t>
            </w:r>
          </w:p>
        </w:tc>
      </w:tr>
    </w:tbl>
    <w:p w14:paraId="6BDEFFA9" w14:textId="77777777" w:rsidR="00AC4931" w:rsidRPr="00AC4931" w:rsidRDefault="00AC4931" w:rsidP="00AC4931">
      <w:pPr>
        <w:widowControl/>
        <w:rPr>
          <w:rFonts w:ascii="宋体" w:eastAsia="宋体" w:hAnsi="宋体" w:cs="宋体"/>
          <w:kern w:val="0"/>
          <w:sz w:val="16"/>
          <w:szCs w:val="16"/>
        </w:rPr>
      </w:pPr>
      <w:r w:rsidRPr="00AC4931">
        <w:rPr>
          <w:rFonts w:ascii="宋体" w:eastAsia="宋体" w:hAnsi="宋体" w:cs="宋体"/>
          <w:kern w:val="0"/>
          <w:sz w:val="16"/>
          <w:szCs w:val="16"/>
        </w:rPr>
        <w:t> </w:t>
      </w:r>
    </w:p>
    <w:p w14:paraId="6502D4E1" w14:textId="77777777" w:rsidR="00AC4931" w:rsidRPr="00AC4931" w:rsidRDefault="00AC4931" w:rsidP="00AC4931">
      <w:pPr>
        <w:widowControl/>
        <w:spacing w:before="80"/>
        <w:rPr>
          <w:rFonts w:ascii="Arial" w:eastAsia="宋体" w:hAnsi="Arial" w:cs="Arial"/>
          <w:color w:val="000000"/>
          <w:kern w:val="0"/>
          <w:sz w:val="18"/>
          <w:szCs w:val="18"/>
        </w:rPr>
      </w:pPr>
      <w:r w:rsidRPr="00AC4931">
        <w:rPr>
          <w:rFonts w:ascii="Arial" w:eastAsia="宋体" w:hAnsi="Arial" w:cs="Arial"/>
          <w:color w:val="000000"/>
          <w:kern w:val="0"/>
          <w:sz w:val="18"/>
          <w:szCs w:val="18"/>
        </w:rPr>
        <w:t>The PSs granted include assumptions regarding the ultimate number of shares that will be issued based on the probability of achievement of the performance conditions. Changes in those assumptions result in changes in the estimated shares to be issued which is reflected in the “Change in performance conditions” line above. </w:t>
      </w:r>
    </w:p>
    <w:p w14:paraId="38AD9787"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4430" w:type="dxa"/>
        <w:tblCellMar>
          <w:left w:w="0" w:type="dxa"/>
          <w:right w:w="0" w:type="dxa"/>
        </w:tblCellMar>
        <w:tblLook w:val="04A0" w:firstRow="1" w:lastRow="0" w:firstColumn="1" w:lastColumn="0" w:noHBand="0" w:noVBand="1"/>
      </w:tblPr>
      <w:tblGrid>
        <w:gridCol w:w="9701"/>
        <w:gridCol w:w="220"/>
        <w:gridCol w:w="138"/>
        <w:gridCol w:w="1868"/>
        <w:gridCol w:w="138"/>
        <w:gridCol w:w="220"/>
        <w:gridCol w:w="138"/>
        <w:gridCol w:w="1868"/>
        <w:gridCol w:w="139"/>
      </w:tblGrid>
      <w:tr w:rsidR="00AC4931" w:rsidRPr="00AC4931" w14:paraId="627176DB" w14:textId="77777777" w:rsidTr="00AC4931">
        <w:tc>
          <w:tcPr>
            <w:tcW w:w="9652" w:type="dxa"/>
            <w:shd w:val="clear" w:color="auto" w:fill="FFFFFF"/>
            <w:tcMar>
              <w:top w:w="15" w:type="dxa"/>
              <w:left w:w="0" w:type="dxa"/>
              <w:bottom w:w="0" w:type="dxa"/>
              <w:right w:w="15" w:type="dxa"/>
            </w:tcMar>
            <w:vAlign w:val="bottom"/>
            <w:hideMark/>
          </w:tcPr>
          <w:p w14:paraId="769ADD1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SOs</w:t>
            </w:r>
          </w:p>
        </w:tc>
        <w:tc>
          <w:tcPr>
            <w:tcW w:w="219" w:type="dxa"/>
            <w:shd w:val="clear" w:color="auto" w:fill="FFFFFF"/>
            <w:tcMar>
              <w:top w:w="15" w:type="dxa"/>
              <w:left w:w="0" w:type="dxa"/>
              <w:bottom w:w="0" w:type="dxa"/>
              <w:right w:w="15" w:type="dxa"/>
            </w:tcMar>
            <w:vAlign w:val="bottom"/>
            <w:hideMark/>
          </w:tcPr>
          <w:p w14:paraId="2E20033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88" w:type="dxa"/>
            <w:gridSpan w:val="2"/>
            <w:tcBorders>
              <w:bottom w:val="single" w:sz="6" w:space="0" w:color="000000"/>
            </w:tcBorders>
            <w:shd w:val="clear" w:color="auto" w:fill="FFFFFF"/>
            <w:tcMar>
              <w:top w:w="15" w:type="dxa"/>
              <w:left w:w="0" w:type="dxa"/>
              <w:bottom w:w="0" w:type="dxa"/>
              <w:right w:w="15" w:type="dxa"/>
            </w:tcMar>
            <w:vAlign w:val="bottom"/>
            <w:hideMark/>
          </w:tcPr>
          <w:p w14:paraId="1D28ECD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Number</w:t>
            </w:r>
          </w:p>
          <w:p w14:paraId="4612B7F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of options</w:t>
            </w:r>
          </w:p>
        </w:tc>
        <w:tc>
          <w:tcPr>
            <w:tcW w:w="129" w:type="dxa"/>
            <w:shd w:val="clear" w:color="auto" w:fill="FFFFFF"/>
            <w:noWrap/>
            <w:tcMar>
              <w:top w:w="15" w:type="dxa"/>
              <w:left w:w="0" w:type="dxa"/>
              <w:bottom w:w="0" w:type="dxa"/>
              <w:right w:w="15" w:type="dxa"/>
            </w:tcMar>
            <w:vAlign w:val="bottom"/>
            <w:hideMark/>
          </w:tcPr>
          <w:p w14:paraId="5729547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9" w:type="dxa"/>
            <w:shd w:val="clear" w:color="auto" w:fill="FFFFFF"/>
            <w:tcMar>
              <w:top w:w="15" w:type="dxa"/>
              <w:left w:w="0" w:type="dxa"/>
              <w:bottom w:w="0" w:type="dxa"/>
              <w:right w:w="15" w:type="dxa"/>
            </w:tcMar>
            <w:vAlign w:val="bottom"/>
            <w:hideMark/>
          </w:tcPr>
          <w:p w14:paraId="679AB7E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88" w:type="dxa"/>
            <w:gridSpan w:val="2"/>
            <w:tcBorders>
              <w:bottom w:val="single" w:sz="6" w:space="0" w:color="000000"/>
            </w:tcBorders>
            <w:shd w:val="clear" w:color="auto" w:fill="FFFFFF"/>
            <w:tcMar>
              <w:top w:w="15" w:type="dxa"/>
              <w:left w:w="0" w:type="dxa"/>
              <w:bottom w:w="0" w:type="dxa"/>
              <w:right w:w="15" w:type="dxa"/>
            </w:tcMar>
            <w:vAlign w:val="bottom"/>
            <w:hideMark/>
          </w:tcPr>
          <w:p w14:paraId="358E85E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Weighted</w:t>
            </w:r>
          </w:p>
          <w:p w14:paraId="37B4502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average</w:t>
            </w:r>
          </w:p>
          <w:p w14:paraId="1B73C27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exercise</w:t>
            </w:r>
          </w:p>
          <w:p w14:paraId="42F7D79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price</w:t>
            </w:r>
          </w:p>
        </w:tc>
        <w:tc>
          <w:tcPr>
            <w:tcW w:w="130" w:type="dxa"/>
            <w:shd w:val="clear" w:color="auto" w:fill="FFFFFF"/>
            <w:noWrap/>
            <w:tcMar>
              <w:top w:w="15" w:type="dxa"/>
              <w:left w:w="0" w:type="dxa"/>
              <w:bottom w:w="0" w:type="dxa"/>
              <w:right w:w="15" w:type="dxa"/>
            </w:tcMar>
            <w:vAlign w:val="bottom"/>
            <w:hideMark/>
          </w:tcPr>
          <w:p w14:paraId="3917D5C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4F2F157" w14:textId="77777777" w:rsidTr="00AC4931">
        <w:tc>
          <w:tcPr>
            <w:tcW w:w="9652" w:type="dxa"/>
            <w:shd w:val="clear" w:color="auto" w:fill="CFF0FC"/>
            <w:tcMar>
              <w:top w:w="15" w:type="dxa"/>
              <w:left w:w="0" w:type="dxa"/>
              <w:bottom w:w="0" w:type="dxa"/>
              <w:right w:w="15" w:type="dxa"/>
            </w:tcMar>
            <w:hideMark/>
          </w:tcPr>
          <w:p w14:paraId="35E98C8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Outstanding at Dec 31, 2017</w:t>
            </w:r>
          </w:p>
        </w:tc>
        <w:tc>
          <w:tcPr>
            <w:tcW w:w="219" w:type="dxa"/>
            <w:shd w:val="clear" w:color="auto" w:fill="CFF0FC"/>
            <w:tcMar>
              <w:top w:w="15" w:type="dxa"/>
              <w:left w:w="0" w:type="dxa"/>
              <w:bottom w:w="0" w:type="dxa"/>
              <w:right w:w="15" w:type="dxa"/>
            </w:tcMar>
            <w:vAlign w:val="bottom"/>
            <w:hideMark/>
          </w:tcPr>
          <w:p w14:paraId="5BC19A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2D491B5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68ABC31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299,949</w:t>
            </w:r>
          </w:p>
        </w:tc>
        <w:tc>
          <w:tcPr>
            <w:tcW w:w="129" w:type="dxa"/>
            <w:shd w:val="clear" w:color="auto" w:fill="CFF0FC"/>
            <w:noWrap/>
            <w:tcMar>
              <w:top w:w="15" w:type="dxa"/>
              <w:left w:w="0" w:type="dxa"/>
              <w:bottom w:w="0" w:type="dxa"/>
              <w:right w:w="15" w:type="dxa"/>
            </w:tcMar>
            <w:vAlign w:val="bottom"/>
            <w:hideMark/>
          </w:tcPr>
          <w:p w14:paraId="2068DA7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71920A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0AA9D9B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31114B9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89.20</w:t>
            </w:r>
          </w:p>
        </w:tc>
        <w:tc>
          <w:tcPr>
            <w:tcW w:w="130" w:type="dxa"/>
            <w:shd w:val="clear" w:color="auto" w:fill="CFF0FC"/>
            <w:noWrap/>
            <w:tcMar>
              <w:top w:w="15" w:type="dxa"/>
              <w:left w:w="0" w:type="dxa"/>
              <w:bottom w:w="0" w:type="dxa"/>
              <w:right w:w="15" w:type="dxa"/>
            </w:tcMar>
            <w:vAlign w:val="bottom"/>
            <w:hideMark/>
          </w:tcPr>
          <w:p w14:paraId="7F8ED0F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4C0700E0" w14:textId="77777777" w:rsidTr="00AC4931">
        <w:tc>
          <w:tcPr>
            <w:tcW w:w="9652" w:type="dxa"/>
            <w:shd w:val="clear" w:color="auto" w:fill="FFFFFF"/>
            <w:tcMar>
              <w:top w:w="15" w:type="dxa"/>
              <w:left w:w="0" w:type="dxa"/>
              <w:bottom w:w="0" w:type="dxa"/>
              <w:right w:w="15" w:type="dxa"/>
            </w:tcMar>
            <w:hideMark/>
          </w:tcPr>
          <w:p w14:paraId="172162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Exercised</w:t>
            </w:r>
          </w:p>
        </w:tc>
        <w:tc>
          <w:tcPr>
            <w:tcW w:w="219" w:type="dxa"/>
            <w:shd w:val="clear" w:color="auto" w:fill="FFFFFF"/>
            <w:tcMar>
              <w:top w:w="15" w:type="dxa"/>
              <w:left w:w="0" w:type="dxa"/>
              <w:bottom w:w="0" w:type="dxa"/>
              <w:right w:w="15" w:type="dxa"/>
            </w:tcMar>
            <w:vAlign w:val="bottom"/>
            <w:hideMark/>
          </w:tcPr>
          <w:p w14:paraId="76C16F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75E569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7CFFF75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(92,485</w:t>
            </w:r>
          </w:p>
        </w:tc>
        <w:tc>
          <w:tcPr>
            <w:tcW w:w="129" w:type="dxa"/>
            <w:shd w:val="clear" w:color="auto" w:fill="FFFFFF"/>
            <w:noWrap/>
            <w:tcMar>
              <w:top w:w="15" w:type="dxa"/>
              <w:left w:w="0" w:type="dxa"/>
              <w:bottom w:w="0" w:type="dxa"/>
              <w:right w:w="15" w:type="dxa"/>
            </w:tcMar>
            <w:vAlign w:val="bottom"/>
            <w:hideMark/>
          </w:tcPr>
          <w:p w14:paraId="02C201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9" w:type="dxa"/>
            <w:shd w:val="clear" w:color="auto" w:fill="FFFFFF"/>
            <w:tcMar>
              <w:top w:w="15" w:type="dxa"/>
              <w:left w:w="0" w:type="dxa"/>
              <w:bottom w:w="0" w:type="dxa"/>
              <w:right w:w="15" w:type="dxa"/>
            </w:tcMar>
            <w:vAlign w:val="bottom"/>
            <w:hideMark/>
          </w:tcPr>
          <w:p w14:paraId="67C468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74DC9F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4EF2E5D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86.59</w:t>
            </w:r>
          </w:p>
        </w:tc>
        <w:tc>
          <w:tcPr>
            <w:tcW w:w="130" w:type="dxa"/>
            <w:shd w:val="clear" w:color="auto" w:fill="FFFFFF"/>
            <w:noWrap/>
            <w:tcMar>
              <w:top w:w="15" w:type="dxa"/>
              <w:left w:w="0" w:type="dxa"/>
              <w:bottom w:w="0" w:type="dxa"/>
              <w:right w:w="15" w:type="dxa"/>
            </w:tcMar>
            <w:vAlign w:val="bottom"/>
            <w:hideMark/>
          </w:tcPr>
          <w:p w14:paraId="576801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C6C1467" w14:textId="77777777" w:rsidTr="00AC4931">
        <w:tc>
          <w:tcPr>
            <w:tcW w:w="9652" w:type="dxa"/>
            <w:shd w:val="clear" w:color="auto" w:fill="CFF0FC"/>
            <w:tcMar>
              <w:top w:w="15" w:type="dxa"/>
              <w:left w:w="0" w:type="dxa"/>
              <w:bottom w:w="0" w:type="dxa"/>
              <w:right w:w="15" w:type="dxa"/>
            </w:tcMar>
            <w:hideMark/>
          </w:tcPr>
          <w:p w14:paraId="43B96E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Cancelled/Forfeited/Expired</w:t>
            </w:r>
          </w:p>
        </w:tc>
        <w:tc>
          <w:tcPr>
            <w:tcW w:w="219" w:type="dxa"/>
            <w:shd w:val="clear" w:color="auto" w:fill="CFF0FC"/>
            <w:tcMar>
              <w:top w:w="15" w:type="dxa"/>
              <w:left w:w="0" w:type="dxa"/>
              <w:bottom w:w="0" w:type="dxa"/>
              <w:right w:w="15" w:type="dxa"/>
            </w:tcMar>
            <w:vAlign w:val="bottom"/>
            <w:hideMark/>
          </w:tcPr>
          <w:p w14:paraId="3BD728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CFF0FC"/>
            <w:noWrap/>
            <w:tcMar>
              <w:top w:w="15" w:type="dxa"/>
              <w:left w:w="0" w:type="dxa"/>
              <w:bottom w:w="0" w:type="dxa"/>
              <w:right w:w="15" w:type="dxa"/>
            </w:tcMar>
            <w:vAlign w:val="bottom"/>
            <w:hideMark/>
          </w:tcPr>
          <w:p w14:paraId="48415D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tcBorders>
              <w:bottom w:val="single" w:sz="6" w:space="0" w:color="000000"/>
            </w:tcBorders>
            <w:shd w:val="clear" w:color="auto" w:fill="CFF0FC"/>
            <w:noWrap/>
            <w:tcMar>
              <w:top w:w="15" w:type="dxa"/>
              <w:left w:w="0" w:type="dxa"/>
              <w:bottom w:w="0" w:type="dxa"/>
              <w:right w:w="15" w:type="dxa"/>
            </w:tcMar>
            <w:vAlign w:val="bottom"/>
            <w:hideMark/>
          </w:tcPr>
          <w:p w14:paraId="0E9AB50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(65,390</w:t>
            </w:r>
          </w:p>
        </w:tc>
        <w:tc>
          <w:tcPr>
            <w:tcW w:w="129" w:type="dxa"/>
            <w:shd w:val="clear" w:color="auto" w:fill="CFF0FC"/>
            <w:noWrap/>
            <w:tcMar>
              <w:top w:w="15" w:type="dxa"/>
              <w:left w:w="0" w:type="dxa"/>
              <w:bottom w:w="0" w:type="dxa"/>
              <w:right w:w="15" w:type="dxa"/>
            </w:tcMar>
            <w:vAlign w:val="bottom"/>
            <w:hideMark/>
          </w:tcPr>
          <w:p w14:paraId="601EAA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9" w:type="dxa"/>
            <w:shd w:val="clear" w:color="auto" w:fill="CFF0FC"/>
            <w:tcMar>
              <w:top w:w="15" w:type="dxa"/>
              <w:left w:w="0" w:type="dxa"/>
              <w:bottom w:w="0" w:type="dxa"/>
              <w:right w:w="15" w:type="dxa"/>
            </w:tcMar>
            <w:vAlign w:val="bottom"/>
            <w:hideMark/>
          </w:tcPr>
          <w:p w14:paraId="1382A0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1558B7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078D046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88.75</w:t>
            </w:r>
          </w:p>
        </w:tc>
        <w:tc>
          <w:tcPr>
            <w:tcW w:w="130" w:type="dxa"/>
            <w:shd w:val="clear" w:color="auto" w:fill="CFF0FC"/>
            <w:noWrap/>
            <w:tcMar>
              <w:top w:w="15" w:type="dxa"/>
              <w:left w:w="0" w:type="dxa"/>
              <w:bottom w:w="0" w:type="dxa"/>
              <w:right w:w="15" w:type="dxa"/>
            </w:tcMar>
            <w:vAlign w:val="bottom"/>
            <w:hideMark/>
          </w:tcPr>
          <w:p w14:paraId="47EDE4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7CD74FC" w14:textId="77777777" w:rsidTr="00AC4931">
        <w:tc>
          <w:tcPr>
            <w:tcW w:w="9652" w:type="dxa"/>
            <w:shd w:val="clear" w:color="auto" w:fill="FFFFFF"/>
            <w:tcMar>
              <w:top w:w="15" w:type="dxa"/>
              <w:left w:w="0" w:type="dxa"/>
              <w:bottom w:w="0" w:type="dxa"/>
              <w:right w:w="15" w:type="dxa"/>
            </w:tcMar>
            <w:hideMark/>
          </w:tcPr>
          <w:p w14:paraId="295777A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Outstanding at Dec 31, 2018</w:t>
            </w:r>
          </w:p>
        </w:tc>
        <w:tc>
          <w:tcPr>
            <w:tcW w:w="219" w:type="dxa"/>
            <w:shd w:val="clear" w:color="auto" w:fill="FFFFFF"/>
            <w:tcMar>
              <w:top w:w="15" w:type="dxa"/>
              <w:left w:w="0" w:type="dxa"/>
              <w:bottom w:w="0" w:type="dxa"/>
              <w:right w:w="15" w:type="dxa"/>
            </w:tcMar>
            <w:vAlign w:val="bottom"/>
            <w:hideMark/>
          </w:tcPr>
          <w:p w14:paraId="1B9713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FFFFFF"/>
            <w:noWrap/>
            <w:tcMar>
              <w:top w:w="15" w:type="dxa"/>
              <w:left w:w="0" w:type="dxa"/>
              <w:bottom w:w="0" w:type="dxa"/>
              <w:right w:w="15" w:type="dxa"/>
            </w:tcMar>
            <w:vAlign w:val="bottom"/>
            <w:hideMark/>
          </w:tcPr>
          <w:p w14:paraId="0DE30F3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4" w:type="dxa"/>
            <w:tcBorders>
              <w:top w:val="single" w:sz="6" w:space="0" w:color="000000"/>
            </w:tcBorders>
            <w:shd w:val="clear" w:color="auto" w:fill="FFFFFF"/>
            <w:noWrap/>
            <w:tcMar>
              <w:top w:w="15" w:type="dxa"/>
              <w:left w:w="0" w:type="dxa"/>
              <w:bottom w:w="0" w:type="dxa"/>
              <w:right w:w="15" w:type="dxa"/>
            </w:tcMar>
            <w:vAlign w:val="bottom"/>
            <w:hideMark/>
          </w:tcPr>
          <w:p w14:paraId="5ACA537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142,074</w:t>
            </w:r>
          </w:p>
        </w:tc>
        <w:tc>
          <w:tcPr>
            <w:tcW w:w="129" w:type="dxa"/>
            <w:shd w:val="clear" w:color="auto" w:fill="FFFFFF"/>
            <w:noWrap/>
            <w:tcMar>
              <w:top w:w="15" w:type="dxa"/>
              <w:left w:w="0" w:type="dxa"/>
              <w:bottom w:w="0" w:type="dxa"/>
              <w:right w:w="15" w:type="dxa"/>
            </w:tcMar>
            <w:vAlign w:val="bottom"/>
            <w:hideMark/>
          </w:tcPr>
          <w:p w14:paraId="1EF1E55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40F6EE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5C17473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041397F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63.43</w:t>
            </w:r>
          </w:p>
        </w:tc>
        <w:tc>
          <w:tcPr>
            <w:tcW w:w="130" w:type="dxa"/>
            <w:shd w:val="clear" w:color="auto" w:fill="FFFFFF"/>
            <w:noWrap/>
            <w:tcMar>
              <w:top w:w="15" w:type="dxa"/>
              <w:left w:w="0" w:type="dxa"/>
              <w:bottom w:w="0" w:type="dxa"/>
              <w:right w:w="15" w:type="dxa"/>
            </w:tcMar>
            <w:vAlign w:val="bottom"/>
            <w:hideMark/>
          </w:tcPr>
          <w:p w14:paraId="7EB9C52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5757AAF5" w14:textId="77777777" w:rsidTr="00AC4931">
        <w:tc>
          <w:tcPr>
            <w:tcW w:w="9652" w:type="dxa"/>
            <w:shd w:val="clear" w:color="auto" w:fill="CFF0FC"/>
            <w:tcMar>
              <w:top w:w="15" w:type="dxa"/>
              <w:left w:w="0" w:type="dxa"/>
              <w:bottom w:w="0" w:type="dxa"/>
              <w:right w:w="15" w:type="dxa"/>
            </w:tcMar>
            <w:hideMark/>
          </w:tcPr>
          <w:p w14:paraId="600DBF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Exercised</w:t>
            </w:r>
          </w:p>
        </w:tc>
        <w:tc>
          <w:tcPr>
            <w:tcW w:w="219" w:type="dxa"/>
            <w:shd w:val="clear" w:color="auto" w:fill="CFF0FC"/>
            <w:tcMar>
              <w:top w:w="15" w:type="dxa"/>
              <w:left w:w="0" w:type="dxa"/>
              <w:bottom w:w="0" w:type="dxa"/>
              <w:right w:w="15" w:type="dxa"/>
            </w:tcMar>
            <w:vAlign w:val="bottom"/>
            <w:hideMark/>
          </w:tcPr>
          <w:p w14:paraId="0A7048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1090E5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21C794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(20,928</w:t>
            </w:r>
          </w:p>
        </w:tc>
        <w:tc>
          <w:tcPr>
            <w:tcW w:w="129" w:type="dxa"/>
            <w:shd w:val="clear" w:color="auto" w:fill="CFF0FC"/>
            <w:noWrap/>
            <w:tcMar>
              <w:top w:w="15" w:type="dxa"/>
              <w:left w:w="0" w:type="dxa"/>
              <w:bottom w:w="0" w:type="dxa"/>
              <w:right w:w="15" w:type="dxa"/>
            </w:tcMar>
            <w:vAlign w:val="bottom"/>
            <w:hideMark/>
          </w:tcPr>
          <w:p w14:paraId="00A677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9" w:type="dxa"/>
            <w:shd w:val="clear" w:color="auto" w:fill="CFF0FC"/>
            <w:tcMar>
              <w:top w:w="15" w:type="dxa"/>
              <w:left w:w="0" w:type="dxa"/>
              <w:bottom w:w="0" w:type="dxa"/>
              <w:right w:w="15" w:type="dxa"/>
            </w:tcMar>
            <w:vAlign w:val="bottom"/>
            <w:hideMark/>
          </w:tcPr>
          <w:p w14:paraId="0D3760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207556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5087B92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42.11</w:t>
            </w:r>
          </w:p>
        </w:tc>
        <w:tc>
          <w:tcPr>
            <w:tcW w:w="130" w:type="dxa"/>
            <w:shd w:val="clear" w:color="auto" w:fill="CFF0FC"/>
            <w:noWrap/>
            <w:tcMar>
              <w:top w:w="15" w:type="dxa"/>
              <w:left w:w="0" w:type="dxa"/>
              <w:bottom w:w="0" w:type="dxa"/>
              <w:right w:w="15" w:type="dxa"/>
            </w:tcMar>
            <w:vAlign w:val="bottom"/>
            <w:hideMark/>
          </w:tcPr>
          <w:p w14:paraId="01D805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0398BE0" w14:textId="77777777" w:rsidTr="00AC4931">
        <w:tc>
          <w:tcPr>
            <w:tcW w:w="9652" w:type="dxa"/>
            <w:shd w:val="clear" w:color="auto" w:fill="FFFFFF"/>
            <w:tcMar>
              <w:top w:w="15" w:type="dxa"/>
              <w:left w:w="0" w:type="dxa"/>
              <w:bottom w:w="0" w:type="dxa"/>
              <w:right w:w="15" w:type="dxa"/>
            </w:tcMar>
            <w:hideMark/>
          </w:tcPr>
          <w:p w14:paraId="594660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Spin conversion </w:t>
            </w:r>
            <w:r w:rsidRPr="00AC4931">
              <w:rPr>
                <w:rFonts w:ascii="Arial" w:eastAsia="宋体" w:hAnsi="Arial" w:cs="Arial"/>
                <w:color w:val="000000"/>
                <w:kern w:val="0"/>
                <w:sz w:val="18"/>
                <w:szCs w:val="18"/>
                <w:vertAlign w:val="superscript"/>
              </w:rPr>
              <w:t>1)</w:t>
            </w:r>
          </w:p>
        </w:tc>
        <w:tc>
          <w:tcPr>
            <w:tcW w:w="219" w:type="dxa"/>
            <w:shd w:val="clear" w:color="auto" w:fill="FFFFFF"/>
            <w:tcMar>
              <w:top w:w="15" w:type="dxa"/>
              <w:left w:w="0" w:type="dxa"/>
              <w:bottom w:w="0" w:type="dxa"/>
              <w:right w:w="15" w:type="dxa"/>
            </w:tcMar>
            <w:vAlign w:val="bottom"/>
            <w:hideMark/>
          </w:tcPr>
          <w:p w14:paraId="7BEA79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FFFFFF"/>
            <w:noWrap/>
            <w:tcMar>
              <w:top w:w="15" w:type="dxa"/>
              <w:left w:w="0" w:type="dxa"/>
              <w:bottom w:w="0" w:type="dxa"/>
              <w:right w:w="15" w:type="dxa"/>
            </w:tcMar>
            <w:vAlign w:val="bottom"/>
            <w:hideMark/>
          </w:tcPr>
          <w:p w14:paraId="6D51FD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tcBorders>
              <w:bottom w:val="single" w:sz="6" w:space="0" w:color="000000"/>
            </w:tcBorders>
            <w:shd w:val="clear" w:color="auto" w:fill="FFFFFF"/>
            <w:noWrap/>
            <w:tcMar>
              <w:top w:w="15" w:type="dxa"/>
              <w:left w:w="0" w:type="dxa"/>
              <w:bottom w:w="0" w:type="dxa"/>
              <w:right w:w="15" w:type="dxa"/>
            </w:tcMar>
            <w:vAlign w:val="bottom"/>
            <w:hideMark/>
          </w:tcPr>
          <w:p w14:paraId="7D66FAB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(5,271</w:t>
            </w:r>
          </w:p>
        </w:tc>
        <w:tc>
          <w:tcPr>
            <w:tcW w:w="129" w:type="dxa"/>
            <w:shd w:val="clear" w:color="auto" w:fill="FFFFFF"/>
            <w:noWrap/>
            <w:tcMar>
              <w:top w:w="15" w:type="dxa"/>
              <w:left w:w="0" w:type="dxa"/>
              <w:bottom w:w="0" w:type="dxa"/>
              <w:right w:w="15" w:type="dxa"/>
            </w:tcMar>
            <w:vAlign w:val="bottom"/>
            <w:hideMark/>
          </w:tcPr>
          <w:p w14:paraId="72AE75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9" w:type="dxa"/>
            <w:shd w:val="clear" w:color="auto" w:fill="FFFFFF"/>
            <w:tcMar>
              <w:top w:w="15" w:type="dxa"/>
              <w:left w:w="0" w:type="dxa"/>
              <w:bottom w:w="0" w:type="dxa"/>
              <w:right w:w="15" w:type="dxa"/>
            </w:tcMar>
            <w:vAlign w:val="bottom"/>
            <w:hideMark/>
          </w:tcPr>
          <w:p w14:paraId="29E978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7CBB41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36C340A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80.40</w:t>
            </w:r>
          </w:p>
        </w:tc>
        <w:tc>
          <w:tcPr>
            <w:tcW w:w="130" w:type="dxa"/>
            <w:shd w:val="clear" w:color="auto" w:fill="FFFFFF"/>
            <w:noWrap/>
            <w:tcMar>
              <w:top w:w="15" w:type="dxa"/>
              <w:left w:w="0" w:type="dxa"/>
              <w:bottom w:w="0" w:type="dxa"/>
              <w:right w:w="15" w:type="dxa"/>
            </w:tcMar>
            <w:vAlign w:val="bottom"/>
            <w:hideMark/>
          </w:tcPr>
          <w:p w14:paraId="7B94A2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8585923" w14:textId="77777777" w:rsidTr="00AC4931">
        <w:tc>
          <w:tcPr>
            <w:tcW w:w="9652" w:type="dxa"/>
            <w:shd w:val="clear" w:color="auto" w:fill="CFF0FC"/>
            <w:tcMar>
              <w:top w:w="15" w:type="dxa"/>
              <w:left w:w="0" w:type="dxa"/>
              <w:bottom w:w="0" w:type="dxa"/>
              <w:right w:w="15" w:type="dxa"/>
            </w:tcMar>
            <w:hideMark/>
          </w:tcPr>
          <w:p w14:paraId="0AB7C6D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Outstanding at Dec 31, 2019 </w:t>
            </w:r>
            <w:r w:rsidRPr="00AC4931">
              <w:rPr>
                <w:rFonts w:ascii="Arial" w:eastAsia="宋体" w:hAnsi="Arial" w:cs="Arial"/>
                <w:b/>
                <w:bCs/>
                <w:color w:val="000000"/>
                <w:kern w:val="0"/>
                <w:sz w:val="18"/>
                <w:szCs w:val="18"/>
                <w:vertAlign w:val="superscript"/>
              </w:rPr>
              <w:t>2)</w:t>
            </w:r>
          </w:p>
        </w:tc>
        <w:tc>
          <w:tcPr>
            <w:tcW w:w="219" w:type="dxa"/>
            <w:shd w:val="clear" w:color="auto" w:fill="CFF0FC"/>
            <w:tcMar>
              <w:top w:w="15" w:type="dxa"/>
              <w:left w:w="0" w:type="dxa"/>
              <w:bottom w:w="0" w:type="dxa"/>
              <w:right w:w="15" w:type="dxa"/>
            </w:tcMar>
            <w:vAlign w:val="bottom"/>
            <w:hideMark/>
          </w:tcPr>
          <w:p w14:paraId="47544E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085BD0A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4560E6F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115,875</w:t>
            </w:r>
          </w:p>
        </w:tc>
        <w:tc>
          <w:tcPr>
            <w:tcW w:w="129" w:type="dxa"/>
            <w:shd w:val="clear" w:color="auto" w:fill="CFF0FC"/>
            <w:noWrap/>
            <w:tcMar>
              <w:top w:w="15" w:type="dxa"/>
              <w:left w:w="0" w:type="dxa"/>
              <w:bottom w:w="0" w:type="dxa"/>
              <w:right w:w="15" w:type="dxa"/>
            </w:tcMar>
            <w:vAlign w:val="bottom"/>
            <w:hideMark/>
          </w:tcPr>
          <w:p w14:paraId="3189906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0576D2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3A664EB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01E6893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66.70</w:t>
            </w:r>
          </w:p>
        </w:tc>
        <w:tc>
          <w:tcPr>
            <w:tcW w:w="130" w:type="dxa"/>
            <w:shd w:val="clear" w:color="auto" w:fill="CFF0FC"/>
            <w:noWrap/>
            <w:tcMar>
              <w:top w:w="15" w:type="dxa"/>
              <w:left w:w="0" w:type="dxa"/>
              <w:bottom w:w="0" w:type="dxa"/>
              <w:right w:w="15" w:type="dxa"/>
            </w:tcMar>
            <w:vAlign w:val="bottom"/>
            <w:hideMark/>
          </w:tcPr>
          <w:p w14:paraId="042AC87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439E2C24" w14:textId="77777777" w:rsidTr="00AC4931">
        <w:tc>
          <w:tcPr>
            <w:tcW w:w="9652" w:type="dxa"/>
            <w:shd w:val="clear" w:color="auto" w:fill="FFFFFF"/>
            <w:tcMar>
              <w:top w:w="15" w:type="dxa"/>
              <w:left w:w="0" w:type="dxa"/>
              <w:bottom w:w="0" w:type="dxa"/>
              <w:right w:w="15" w:type="dxa"/>
            </w:tcMar>
            <w:hideMark/>
          </w:tcPr>
          <w:p w14:paraId="70608C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Exercised</w:t>
            </w:r>
          </w:p>
        </w:tc>
        <w:tc>
          <w:tcPr>
            <w:tcW w:w="219" w:type="dxa"/>
            <w:shd w:val="clear" w:color="auto" w:fill="FFFFFF"/>
            <w:tcMar>
              <w:top w:w="15" w:type="dxa"/>
              <w:left w:w="0" w:type="dxa"/>
              <w:bottom w:w="0" w:type="dxa"/>
              <w:right w:w="15" w:type="dxa"/>
            </w:tcMar>
            <w:vAlign w:val="bottom"/>
            <w:hideMark/>
          </w:tcPr>
          <w:p w14:paraId="42FA80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1F331A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0699750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(14,238</w:t>
            </w:r>
          </w:p>
        </w:tc>
        <w:tc>
          <w:tcPr>
            <w:tcW w:w="129" w:type="dxa"/>
            <w:shd w:val="clear" w:color="auto" w:fill="FFFFFF"/>
            <w:noWrap/>
            <w:tcMar>
              <w:top w:w="15" w:type="dxa"/>
              <w:left w:w="0" w:type="dxa"/>
              <w:bottom w:w="0" w:type="dxa"/>
              <w:right w:w="15" w:type="dxa"/>
            </w:tcMar>
            <w:vAlign w:val="bottom"/>
            <w:hideMark/>
          </w:tcPr>
          <w:p w14:paraId="482BA6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9" w:type="dxa"/>
            <w:shd w:val="clear" w:color="auto" w:fill="FFFFFF"/>
            <w:tcMar>
              <w:top w:w="15" w:type="dxa"/>
              <w:left w:w="0" w:type="dxa"/>
              <w:bottom w:w="0" w:type="dxa"/>
              <w:right w:w="15" w:type="dxa"/>
            </w:tcMar>
            <w:vAlign w:val="bottom"/>
            <w:hideMark/>
          </w:tcPr>
          <w:p w14:paraId="4D987F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6E6586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47F7FAD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55.55</w:t>
            </w:r>
          </w:p>
        </w:tc>
        <w:tc>
          <w:tcPr>
            <w:tcW w:w="130" w:type="dxa"/>
            <w:shd w:val="clear" w:color="auto" w:fill="FFFFFF"/>
            <w:noWrap/>
            <w:tcMar>
              <w:top w:w="15" w:type="dxa"/>
              <w:left w:w="0" w:type="dxa"/>
              <w:bottom w:w="0" w:type="dxa"/>
              <w:right w:w="15" w:type="dxa"/>
            </w:tcMar>
            <w:vAlign w:val="bottom"/>
            <w:hideMark/>
          </w:tcPr>
          <w:p w14:paraId="0F5ED1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BF8D9BB" w14:textId="77777777" w:rsidTr="00AC4931">
        <w:tc>
          <w:tcPr>
            <w:tcW w:w="9652" w:type="dxa"/>
            <w:shd w:val="clear" w:color="auto" w:fill="CFF0FC"/>
            <w:tcMar>
              <w:top w:w="15" w:type="dxa"/>
              <w:left w:w="0" w:type="dxa"/>
              <w:bottom w:w="0" w:type="dxa"/>
              <w:right w:w="15" w:type="dxa"/>
            </w:tcMar>
            <w:hideMark/>
          </w:tcPr>
          <w:p w14:paraId="261042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Cancelled/Forfeited/Expired</w:t>
            </w:r>
          </w:p>
        </w:tc>
        <w:tc>
          <w:tcPr>
            <w:tcW w:w="219" w:type="dxa"/>
            <w:shd w:val="clear" w:color="auto" w:fill="CFF0FC"/>
            <w:tcMar>
              <w:top w:w="15" w:type="dxa"/>
              <w:left w:w="0" w:type="dxa"/>
              <w:bottom w:w="0" w:type="dxa"/>
              <w:right w:w="15" w:type="dxa"/>
            </w:tcMar>
            <w:vAlign w:val="bottom"/>
            <w:hideMark/>
          </w:tcPr>
          <w:p w14:paraId="58D64D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30757F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269EEEE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(11,462</w:t>
            </w:r>
          </w:p>
        </w:tc>
        <w:tc>
          <w:tcPr>
            <w:tcW w:w="129" w:type="dxa"/>
            <w:shd w:val="clear" w:color="auto" w:fill="CFF0FC"/>
            <w:noWrap/>
            <w:tcMar>
              <w:top w:w="15" w:type="dxa"/>
              <w:left w:w="0" w:type="dxa"/>
              <w:bottom w:w="0" w:type="dxa"/>
              <w:right w:w="15" w:type="dxa"/>
            </w:tcMar>
            <w:vAlign w:val="bottom"/>
            <w:hideMark/>
          </w:tcPr>
          <w:p w14:paraId="3A3EC5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9" w:type="dxa"/>
            <w:shd w:val="clear" w:color="auto" w:fill="CFF0FC"/>
            <w:tcMar>
              <w:top w:w="15" w:type="dxa"/>
              <w:left w:w="0" w:type="dxa"/>
              <w:bottom w:w="0" w:type="dxa"/>
              <w:right w:w="15" w:type="dxa"/>
            </w:tcMar>
            <w:vAlign w:val="bottom"/>
            <w:hideMark/>
          </w:tcPr>
          <w:p w14:paraId="151FBD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7DA348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7C326DD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69.25</w:t>
            </w:r>
          </w:p>
        </w:tc>
        <w:tc>
          <w:tcPr>
            <w:tcW w:w="130" w:type="dxa"/>
            <w:shd w:val="clear" w:color="auto" w:fill="CFF0FC"/>
            <w:noWrap/>
            <w:tcMar>
              <w:top w:w="15" w:type="dxa"/>
              <w:left w:w="0" w:type="dxa"/>
              <w:bottom w:w="0" w:type="dxa"/>
              <w:right w:w="15" w:type="dxa"/>
            </w:tcMar>
            <w:vAlign w:val="bottom"/>
            <w:hideMark/>
          </w:tcPr>
          <w:p w14:paraId="35ACA9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99CA132" w14:textId="77777777" w:rsidTr="00AC4931">
        <w:tc>
          <w:tcPr>
            <w:tcW w:w="9652" w:type="dxa"/>
            <w:shd w:val="clear" w:color="auto" w:fill="FFFFFF"/>
            <w:tcMar>
              <w:top w:w="15" w:type="dxa"/>
              <w:left w:w="0" w:type="dxa"/>
              <w:bottom w:w="0" w:type="dxa"/>
              <w:right w:w="15" w:type="dxa"/>
            </w:tcMar>
            <w:hideMark/>
          </w:tcPr>
          <w:p w14:paraId="54C5B08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Outstanding at Dec 31, 2020</w:t>
            </w:r>
          </w:p>
        </w:tc>
        <w:tc>
          <w:tcPr>
            <w:tcW w:w="219" w:type="dxa"/>
            <w:shd w:val="clear" w:color="auto" w:fill="FFFFFF"/>
            <w:tcMar>
              <w:top w:w="15" w:type="dxa"/>
              <w:left w:w="0" w:type="dxa"/>
              <w:bottom w:w="0" w:type="dxa"/>
              <w:right w:w="15" w:type="dxa"/>
            </w:tcMar>
            <w:vAlign w:val="bottom"/>
            <w:hideMark/>
          </w:tcPr>
          <w:p w14:paraId="3F1108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0B92169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7E7897E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90,175</w:t>
            </w:r>
          </w:p>
        </w:tc>
        <w:tc>
          <w:tcPr>
            <w:tcW w:w="129" w:type="dxa"/>
            <w:shd w:val="clear" w:color="auto" w:fill="FFFFFF"/>
            <w:noWrap/>
            <w:tcMar>
              <w:top w:w="15" w:type="dxa"/>
              <w:left w:w="0" w:type="dxa"/>
              <w:bottom w:w="0" w:type="dxa"/>
              <w:right w:w="15" w:type="dxa"/>
            </w:tcMar>
            <w:vAlign w:val="bottom"/>
            <w:hideMark/>
          </w:tcPr>
          <w:p w14:paraId="73689A5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0EF4D2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6147869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4" w:type="dxa"/>
            <w:shd w:val="clear" w:color="auto" w:fill="FFFFFF"/>
            <w:noWrap/>
            <w:tcMar>
              <w:top w:w="15" w:type="dxa"/>
              <w:left w:w="0" w:type="dxa"/>
              <w:bottom w:w="0" w:type="dxa"/>
              <w:right w:w="15" w:type="dxa"/>
            </w:tcMar>
            <w:vAlign w:val="bottom"/>
            <w:hideMark/>
          </w:tcPr>
          <w:p w14:paraId="10034EB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68.13</w:t>
            </w:r>
          </w:p>
        </w:tc>
        <w:tc>
          <w:tcPr>
            <w:tcW w:w="130" w:type="dxa"/>
            <w:shd w:val="clear" w:color="auto" w:fill="FFFFFF"/>
            <w:noWrap/>
            <w:tcMar>
              <w:top w:w="15" w:type="dxa"/>
              <w:left w:w="0" w:type="dxa"/>
              <w:bottom w:w="0" w:type="dxa"/>
              <w:right w:w="15" w:type="dxa"/>
            </w:tcMar>
            <w:vAlign w:val="bottom"/>
            <w:hideMark/>
          </w:tcPr>
          <w:p w14:paraId="69EE64C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3C9401CC" w14:textId="77777777" w:rsidTr="00AC4931">
        <w:tc>
          <w:tcPr>
            <w:tcW w:w="9652" w:type="dxa"/>
            <w:shd w:val="clear" w:color="auto" w:fill="CFF0FC"/>
            <w:tcMar>
              <w:top w:w="15" w:type="dxa"/>
              <w:left w:w="0" w:type="dxa"/>
              <w:bottom w:w="0" w:type="dxa"/>
              <w:right w:w="15" w:type="dxa"/>
            </w:tcMar>
            <w:hideMark/>
          </w:tcPr>
          <w:p w14:paraId="08E0EDE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3812AE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3FB0BB3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7A0B99D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2A193A3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24DB7F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13AD1B8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7305F81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30" w:type="dxa"/>
            <w:shd w:val="clear" w:color="auto" w:fill="CFF0FC"/>
            <w:noWrap/>
            <w:tcMar>
              <w:top w:w="15" w:type="dxa"/>
              <w:left w:w="0" w:type="dxa"/>
              <w:bottom w:w="0" w:type="dxa"/>
              <w:right w:w="15" w:type="dxa"/>
            </w:tcMar>
            <w:vAlign w:val="bottom"/>
            <w:hideMark/>
          </w:tcPr>
          <w:p w14:paraId="470C43D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9DA4424" w14:textId="77777777" w:rsidTr="00AC4931">
        <w:tc>
          <w:tcPr>
            <w:tcW w:w="9652" w:type="dxa"/>
            <w:shd w:val="clear" w:color="auto" w:fill="FFFFFF"/>
            <w:tcMar>
              <w:top w:w="15" w:type="dxa"/>
              <w:left w:w="0" w:type="dxa"/>
              <w:bottom w:w="0" w:type="dxa"/>
              <w:right w:w="15" w:type="dxa"/>
            </w:tcMar>
            <w:hideMark/>
          </w:tcPr>
          <w:p w14:paraId="1515D5C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u w:val="single"/>
              </w:rPr>
              <w:t>OPTIONS EXERCISABLE</w:t>
            </w:r>
          </w:p>
        </w:tc>
        <w:tc>
          <w:tcPr>
            <w:tcW w:w="219" w:type="dxa"/>
            <w:shd w:val="clear" w:color="auto" w:fill="FFFFFF"/>
            <w:tcMar>
              <w:top w:w="15" w:type="dxa"/>
              <w:left w:w="0" w:type="dxa"/>
              <w:bottom w:w="0" w:type="dxa"/>
              <w:right w:w="15" w:type="dxa"/>
            </w:tcMar>
            <w:vAlign w:val="bottom"/>
            <w:hideMark/>
          </w:tcPr>
          <w:p w14:paraId="01B66D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4EA075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7CDA93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684715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0A049B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6DC84E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387FC05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0" w:type="dxa"/>
            <w:shd w:val="clear" w:color="auto" w:fill="FFFFFF"/>
            <w:noWrap/>
            <w:tcMar>
              <w:top w:w="15" w:type="dxa"/>
              <w:left w:w="0" w:type="dxa"/>
              <w:bottom w:w="0" w:type="dxa"/>
              <w:right w:w="15" w:type="dxa"/>
            </w:tcMar>
            <w:vAlign w:val="bottom"/>
            <w:hideMark/>
          </w:tcPr>
          <w:p w14:paraId="180243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05EC4D3" w14:textId="77777777" w:rsidTr="00AC4931">
        <w:tc>
          <w:tcPr>
            <w:tcW w:w="9652" w:type="dxa"/>
            <w:shd w:val="clear" w:color="auto" w:fill="CFF0FC"/>
            <w:tcMar>
              <w:top w:w="15" w:type="dxa"/>
              <w:left w:w="0" w:type="dxa"/>
              <w:bottom w:w="0" w:type="dxa"/>
              <w:right w:w="15" w:type="dxa"/>
            </w:tcMar>
            <w:hideMark/>
          </w:tcPr>
          <w:p w14:paraId="3574EF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At December 31, 2018</w:t>
            </w:r>
          </w:p>
        </w:tc>
        <w:tc>
          <w:tcPr>
            <w:tcW w:w="219" w:type="dxa"/>
            <w:shd w:val="clear" w:color="auto" w:fill="CFF0FC"/>
            <w:tcMar>
              <w:top w:w="15" w:type="dxa"/>
              <w:left w:w="0" w:type="dxa"/>
              <w:bottom w:w="0" w:type="dxa"/>
              <w:right w:w="15" w:type="dxa"/>
            </w:tcMar>
            <w:vAlign w:val="bottom"/>
            <w:hideMark/>
          </w:tcPr>
          <w:p w14:paraId="621F38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62C666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706969A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142,074</w:t>
            </w:r>
          </w:p>
        </w:tc>
        <w:tc>
          <w:tcPr>
            <w:tcW w:w="129" w:type="dxa"/>
            <w:shd w:val="clear" w:color="auto" w:fill="CFF0FC"/>
            <w:noWrap/>
            <w:tcMar>
              <w:top w:w="15" w:type="dxa"/>
              <w:left w:w="0" w:type="dxa"/>
              <w:bottom w:w="0" w:type="dxa"/>
              <w:right w:w="15" w:type="dxa"/>
            </w:tcMar>
            <w:vAlign w:val="bottom"/>
            <w:hideMark/>
          </w:tcPr>
          <w:p w14:paraId="1707D8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22F872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30500A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44" w:type="dxa"/>
            <w:shd w:val="clear" w:color="auto" w:fill="CFF0FC"/>
            <w:noWrap/>
            <w:tcMar>
              <w:top w:w="15" w:type="dxa"/>
              <w:left w:w="0" w:type="dxa"/>
              <w:bottom w:w="0" w:type="dxa"/>
              <w:right w:w="15" w:type="dxa"/>
            </w:tcMar>
            <w:vAlign w:val="bottom"/>
            <w:hideMark/>
          </w:tcPr>
          <w:p w14:paraId="09B2AAC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63.43</w:t>
            </w:r>
          </w:p>
        </w:tc>
        <w:tc>
          <w:tcPr>
            <w:tcW w:w="130" w:type="dxa"/>
            <w:shd w:val="clear" w:color="auto" w:fill="CFF0FC"/>
            <w:noWrap/>
            <w:tcMar>
              <w:top w:w="15" w:type="dxa"/>
              <w:left w:w="0" w:type="dxa"/>
              <w:bottom w:w="0" w:type="dxa"/>
              <w:right w:w="15" w:type="dxa"/>
            </w:tcMar>
            <w:vAlign w:val="bottom"/>
            <w:hideMark/>
          </w:tcPr>
          <w:p w14:paraId="264F6E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DCF768B" w14:textId="77777777" w:rsidTr="00AC4931">
        <w:tc>
          <w:tcPr>
            <w:tcW w:w="9652" w:type="dxa"/>
            <w:shd w:val="clear" w:color="auto" w:fill="FFFFFF"/>
            <w:tcMar>
              <w:top w:w="15" w:type="dxa"/>
              <w:left w:w="0" w:type="dxa"/>
              <w:bottom w:w="0" w:type="dxa"/>
              <w:right w:w="15" w:type="dxa"/>
            </w:tcMar>
            <w:hideMark/>
          </w:tcPr>
          <w:p w14:paraId="5EB1A6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At December 31, 2019</w:t>
            </w:r>
          </w:p>
        </w:tc>
        <w:tc>
          <w:tcPr>
            <w:tcW w:w="219" w:type="dxa"/>
            <w:shd w:val="clear" w:color="auto" w:fill="FFFFFF"/>
            <w:tcMar>
              <w:top w:w="15" w:type="dxa"/>
              <w:left w:w="0" w:type="dxa"/>
              <w:bottom w:w="0" w:type="dxa"/>
              <w:right w:w="15" w:type="dxa"/>
            </w:tcMar>
            <w:vAlign w:val="bottom"/>
            <w:hideMark/>
          </w:tcPr>
          <w:p w14:paraId="605B99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350EFC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1AE68AD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115,875</w:t>
            </w:r>
          </w:p>
        </w:tc>
        <w:tc>
          <w:tcPr>
            <w:tcW w:w="129" w:type="dxa"/>
            <w:shd w:val="clear" w:color="auto" w:fill="FFFFFF"/>
            <w:noWrap/>
            <w:tcMar>
              <w:top w:w="15" w:type="dxa"/>
              <w:left w:w="0" w:type="dxa"/>
              <w:bottom w:w="0" w:type="dxa"/>
              <w:right w:w="15" w:type="dxa"/>
            </w:tcMar>
            <w:vAlign w:val="bottom"/>
            <w:hideMark/>
          </w:tcPr>
          <w:p w14:paraId="1969BA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083393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3DB4F4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62268C8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66.70</w:t>
            </w:r>
          </w:p>
        </w:tc>
        <w:tc>
          <w:tcPr>
            <w:tcW w:w="130" w:type="dxa"/>
            <w:shd w:val="clear" w:color="auto" w:fill="FFFFFF"/>
            <w:noWrap/>
            <w:tcMar>
              <w:top w:w="15" w:type="dxa"/>
              <w:left w:w="0" w:type="dxa"/>
              <w:bottom w:w="0" w:type="dxa"/>
              <w:right w:w="15" w:type="dxa"/>
            </w:tcMar>
            <w:vAlign w:val="bottom"/>
            <w:hideMark/>
          </w:tcPr>
          <w:p w14:paraId="7BE93C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F520919" w14:textId="77777777" w:rsidTr="00AC4931">
        <w:tc>
          <w:tcPr>
            <w:tcW w:w="9652" w:type="dxa"/>
            <w:shd w:val="clear" w:color="auto" w:fill="CFF0FC"/>
            <w:tcMar>
              <w:top w:w="15" w:type="dxa"/>
              <w:left w:w="0" w:type="dxa"/>
              <w:bottom w:w="0" w:type="dxa"/>
              <w:right w:w="15" w:type="dxa"/>
            </w:tcMar>
            <w:hideMark/>
          </w:tcPr>
          <w:p w14:paraId="5B0391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At December 31, 2020</w:t>
            </w:r>
          </w:p>
        </w:tc>
        <w:tc>
          <w:tcPr>
            <w:tcW w:w="219" w:type="dxa"/>
            <w:shd w:val="clear" w:color="auto" w:fill="CFF0FC"/>
            <w:tcMar>
              <w:top w:w="15" w:type="dxa"/>
              <w:left w:w="0" w:type="dxa"/>
              <w:bottom w:w="0" w:type="dxa"/>
              <w:right w:w="15" w:type="dxa"/>
            </w:tcMar>
            <w:vAlign w:val="bottom"/>
            <w:hideMark/>
          </w:tcPr>
          <w:p w14:paraId="32E388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5DFDB3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68D8364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90,175</w:t>
            </w:r>
          </w:p>
        </w:tc>
        <w:tc>
          <w:tcPr>
            <w:tcW w:w="129" w:type="dxa"/>
            <w:shd w:val="clear" w:color="auto" w:fill="CFF0FC"/>
            <w:noWrap/>
            <w:tcMar>
              <w:top w:w="15" w:type="dxa"/>
              <w:left w:w="0" w:type="dxa"/>
              <w:bottom w:w="0" w:type="dxa"/>
              <w:right w:w="15" w:type="dxa"/>
            </w:tcMar>
            <w:vAlign w:val="bottom"/>
            <w:hideMark/>
          </w:tcPr>
          <w:p w14:paraId="49A652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0CB8C2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270FA6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1E74758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68.13</w:t>
            </w:r>
          </w:p>
        </w:tc>
        <w:tc>
          <w:tcPr>
            <w:tcW w:w="130" w:type="dxa"/>
            <w:shd w:val="clear" w:color="auto" w:fill="CFF0FC"/>
            <w:noWrap/>
            <w:tcMar>
              <w:top w:w="15" w:type="dxa"/>
              <w:left w:w="0" w:type="dxa"/>
              <w:bottom w:w="0" w:type="dxa"/>
              <w:right w:w="15" w:type="dxa"/>
            </w:tcMar>
            <w:vAlign w:val="bottom"/>
            <w:hideMark/>
          </w:tcPr>
          <w:p w14:paraId="74CE0992"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2933BCA8"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6AB9D72E" w14:textId="77777777" w:rsidTr="00AC4931">
        <w:tc>
          <w:tcPr>
            <w:tcW w:w="919" w:type="dxa"/>
            <w:noWrap/>
            <w:hideMark/>
          </w:tcPr>
          <w:p w14:paraId="40D931D4"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8"/>
                <w:szCs w:val="18"/>
                <w:vertAlign w:val="superscript"/>
              </w:rPr>
              <w:lastRenderedPageBreak/>
              <w:t>1)</w:t>
            </w:r>
          </w:p>
        </w:tc>
        <w:tc>
          <w:tcPr>
            <w:tcW w:w="0" w:type="auto"/>
            <w:hideMark/>
          </w:tcPr>
          <w:p w14:paraId="67595FB7"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Reflects the cancellation of SOs outstanding as of the Distribution Date, and the conversion to new awards in accordance with the conversion factor described above. The weighted average exercise price reflects the exercise price of the shares cancelled due to the spin-off.</w:t>
            </w:r>
          </w:p>
        </w:tc>
      </w:tr>
      <w:tr w:rsidR="00AC4931" w:rsidRPr="00AC4931" w14:paraId="39D22FDD" w14:textId="77777777" w:rsidTr="00AC4931">
        <w:tc>
          <w:tcPr>
            <w:tcW w:w="919" w:type="dxa"/>
            <w:noWrap/>
            <w:hideMark/>
          </w:tcPr>
          <w:p w14:paraId="7680E888"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8"/>
                <w:szCs w:val="18"/>
                <w:vertAlign w:val="superscript"/>
              </w:rPr>
              <w:t>2)</w:t>
            </w:r>
          </w:p>
        </w:tc>
        <w:tc>
          <w:tcPr>
            <w:tcW w:w="0" w:type="auto"/>
            <w:hideMark/>
          </w:tcPr>
          <w:p w14:paraId="4A65AE07"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Reflects outstanding SOs held by employees of Autoliv and Veoneer at the end of the year and the weighted average exercise price after applying the conversion factor described above.</w:t>
            </w:r>
          </w:p>
        </w:tc>
      </w:tr>
    </w:tbl>
    <w:p w14:paraId="4F830BA6"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7162BB64" w14:textId="77777777" w:rsidR="00AC4931" w:rsidRPr="00AC4931" w:rsidRDefault="00AC4931" w:rsidP="00AC4931">
      <w:pPr>
        <w:widowControl/>
        <w:spacing w:before="60"/>
        <w:rPr>
          <w:rFonts w:ascii="Arial" w:eastAsia="宋体" w:hAnsi="Arial" w:cs="Arial"/>
          <w:kern w:val="0"/>
          <w:sz w:val="18"/>
          <w:szCs w:val="18"/>
        </w:rPr>
      </w:pPr>
      <w:r w:rsidRPr="00AC4931">
        <w:rPr>
          <w:rFonts w:ascii="Arial" w:eastAsia="宋体" w:hAnsi="Arial" w:cs="Arial"/>
          <w:kern w:val="0"/>
          <w:sz w:val="18"/>
          <w:szCs w:val="18"/>
        </w:rPr>
        <w:t>The following summarizes information about SOs outstanding and exercisable at December 31, 2020:</w:t>
      </w:r>
    </w:p>
    <w:p w14:paraId="73BBCE3B"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9533"/>
        <w:gridCol w:w="214"/>
        <w:gridCol w:w="159"/>
        <w:gridCol w:w="1787"/>
        <w:gridCol w:w="159"/>
        <w:gridCol w:w="214"/>
        <w:gridCol w:w="159"/>
        <w:gridCol w:w="1787"/>
        <w:gridCol w:w="159"/>
        <w:gridCol w:w="214"/>
        <w:gridCol w:w="159"/>
        <w:gridCol w:w="1787"/>
        <w:gridCol w:w="160"/>
      </w:tblGrid>
      <w:tr w:rsidR="00AC4931" w:rsidRPr="00AC4931" w14:paraId="79F1B4F1" w14:textId="77777777" w:rsidTr="00AC4931">
        <w:tc>
          <w:tcPr>
            <w:tcW w:w="9474" w:type="dxa"/>
            <w:shd w:val="clear" w:color="auto" w:fill="FFFFFF"/>
            <w:tcMar>
              <w:top w:w="15" w:type="dxa"/>
              <w:left w:w="0" w:type="dxa"/>
              <w:bottom w:w="0" w:type="dxa"/>
              <w:right w:w="15" w:type="dxa"/>
            </w:tcMar>
            <w:vAlign w:val="bottom"/>
            <w:hideMark/>
          </w:tcPr>
          <w:p w14:paraId="06E3A4A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RANGE OF EXERCISE PRICES</w:t>
            </w:r>
          </w:p>
        </w:tc>
        <w:tc>
          <w:tcPr>
            <w:tcW w:w="213" w:type="dxa"/>
            <w:shd w:val="clear" w:color="auto" w:fill="FFFFFF"/>
            <w:tcMar>
              <w:top w:w="15" w:type="dxa"/>
              <w:left w:w="0" w:type="dxa"/>
              <w:bottom w:w="0" w:type="dxa"/>
              <w:right w:w="15" w:type="dxa"/>
            </w:tcMar>
            <w:vAlign w:val="bottom"/>
            <w:hideMark/>
          </w:tcPr>
          <w:p w14:paraId="6630277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606775D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Number</w:t>
            </w:r>
          </w:p>
          <w:p w14:paraId="7C20C95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outstanding &amp;</w:t>
            </w:r>
          </w:p>
          <w:p w14:paraId="10D901B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exercisable</w:t>
            </w:r>
          </w:p>
        </w:tc>
        <w:tc>
          <w:tcPr>
            <w:tcW w:w="150" w:type="dxa"/>
            <w:shd w:val="clear" w:color="auto" w:fill="FFFFFF"/>
            <w:noWrap/>
            <w:tcMar>
              <w:top w:w="15" w:type="dxa"/>
              <w:left w:w="0" w:type="dxa"/>
              <w:bottom w:w="0" w:type="dxa"/>
              <w:right w:w="15" w:type="dxa"/>
            </w:tcMar>
            <w:vAlign w:val="bottom"/>
            <w:hideMark/>
          </w:tcPr>
          <w:p w14:paraId="7022E38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shd w:val="clear" w:color="auto" w:fill="FFFFFF"/>
            <w:tcMar>
              <w:top w:w="15" w:type="dxa"/>
              <w:left w:w="0" w:type="dxa"/>
              <w:bottom w:w="0" w:type="dxa"/>
              <w:right w:w="15" w:type="dxa"/>
            </w:tcMar>
            <w:vAlign w:val="bottom"/>
            <w:hideMark/>
          </w:tcPr>
          <w:p w14:paraId="057E9D8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656E6A4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Remaining</w:t>
            </w:r>
          </w:p>
          <w:p w14:paraId="57F134D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contract life</w:t>
            </w:r>
          </w:p>
          <w:p w14:paraId="5B85C5C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(in years)</w:t>
            </w:r>
          </w:p>
        </w:tc>
        <w:tc>
          <w:tcPr>
            <w:tcW w:w="150" w:type="dxa"/>
            <w:shd w:val="clear" w:color="auto" w:fill="FFFFFF"/>
            <w:noWrap/>
            <w:tcMar>
              <w:top w:w="15" w:type="dxa"/>
              <w:left w:w="0" w:type="dxa"/>
              <w:bottom w:w="0" w:type="dxa"/>
              <w:right w:w="15" w:type="dxa"/>
            </w:tcMar>
            <w:vAlign w:val="bottom"/>
            <w:hideMark/>
          </w:tcPr>
          <w:p w14:paraId="3601EFD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shd w:val="clear" w:color="auto" w:fill="FFFFFF"/>
            <w:tcMar>
              <w:top w:w="15" w:type="dxa"/>
              <w:left w:w="0" w:type="dxa"/>
              <w:bottom w:w="0" w:type="dxa"/>
              <w:right w:w="15" w:type="dxa"/>
            </w:tcMar>
            <w:vAlign w:val="bottom"/>
            <w:hideMark/>
          </w:tcPr>
          <w:p w14:paraId="035ABE9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4B4E2BC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Weighted</w:t>
            </w:r>
          </w:p>
          <w:p w14:paraId="10F330D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average</w:t>
            </w:r>
          </w:p>
          <w:p w14:paraId="5CA65C8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exercise</w:t>
            </w:r>
          </w:p>
          <w:p w14:paraId="7537D95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price</w:t>
            </w:r>
          </w:p>
        </w:tc>
        <w:tc>
          <w:tcPr>
            <w:tcW w:w="151" w:type="dxa"/>
            <w:shd w:val="clear" w:color="auto" w:fill="FFFFFF"/>
            <w:noWrap/>
            <w:tcMar>
              <w:top w:w="15" w:type="dxa"/>
              <w:left w:w="0" w:type="dxa"/>
              <w:bottom w:w="0" w:type="dxa"/>
              <w:right w:w="15" w:type="dxa"/>
            </w:tcMar>
            <w:vAlign w:val="bottom"/>
            <w:hideMark/>
          </w:tcPr>
          <w:p w14:paraId="7A99D0F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27240E5" w14:textId="77777777" w:rsidTr="00AC4931">
        <w:tc>
          <w:tcPr>
            <w:tcW w:w="9474" w:type="dxa"/>
            <w:shd w:val="clear" w:color="auto" w:fill="CFF0FC"/>
            <w:tcMar>
              <w:top w:w="15" w:type="dxa"/>
              <w:left w:w="0" w:type="dxa"/>
              <w:bottom w:w="0" w:type="dxa"/>
              <w:right w:w="15" w:type="dxa"/>
            </w:tcMar>
            <w:hideMark/>
          </w:tcPr>
          <w:p w14:paraId="48B78A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$47.52</w:t>
            </w:r>
          </w:p>
        </w:tc>
        <w:tc>
          <w:tcPr>
            <w:tcW w:w="213" w:type="dxa"/>
            <w:shd w:val="clear" w:color="auto" w:fill="CFF0FC"/>
            <w:tcMar>
              <w:top w:w="15" w:type="dxa"/>
              <w:left w:w="0" w:type="dxa"/>
              <w:bottom w:w="0" w:type="dxa"/>
              <w:right w:w="15" w:type="dxa"/>
            </w:tcMar>
            <w:vAlign w:val="bottom"/>
            <w:hideMark/>
          </w:tcPr>
          <w:p w14:paraId="44470B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749EC5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0A0F4DC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6,607</w:t>
            </w:r>
          </w:p>
        </w:tc>
        <w:tc>
          <w:tcPr>
            <w:tcW w:w="150" w:type="dxa"/>
            <w:shd w:val="clear" w:color="auto" w:fill="CFF0FC"/>
            <w:noWrap/>
            <w:tcMar>
              <w:top w:w="15" w:type="dxa"/>
              <w:left w:w="0" w:type="dxa"/>
              <w:bottom w:w="0" w:type="dxa"/>
              <w:right w:w="15" w:type="dxa"/>
            </w:tcMar>
            <w:vAlign w:val="bottom"/>
            <w:hideMark/>
          </w:tcPr>
          <w:p w14:paraId="0827CB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79B0D9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08442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3D03CCC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1.14</w:t>
            </w:r>
          </w:p>
        </w:tc>
        <w:tc>
          <w:tcPr>
            <w:tcW w:w="150" w:type="dxa"/>
            <w:shd w:val="clear" w:color="auto" w:fill="CFF0FC"/>
            <w:noWrap/>
            <w:tcMar>
              <w:top w:w="15" w:type="dxa"/>
              <w:left w:w="0" w:type="dxa"/>
              <w:bottom w:w="0" w:type="dxa"/>
              <w:right w:w="15" w:type="dxa"/>
            </w:tcMar>
            <w:vAlign w:val="bottom"/>
            <w:hideMark/>
          </w:tcPr>
          <w:p w14:paraId="55D2BB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107081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72AE7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54018D5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47.52</w:t>
            </w:r>
          </w:p>
        </w:tc>
        <w:tc>
          <w:tcPr>
            <w:tcW w:w="151" w:type="dxa"/>
            <w:shd w:val="clear" w:color="auto" w:fill="CFF0FC"/>
            <w:noWrap/>
            <w:tcMar>
              <w:top w:w="15" w:type="dxa"/>
              <w:left w:w="0" w:type="dxa"/>
              <w:bottom w:w="0" w:type="dxa"/>
              <w:right w:w="15" w:type="dxa"/>
            </w:tcMar>
            <w:vAlign w:val="bottom"/>
            <w:hideMark/>
          </w:tcPr>
          <w:p w14:paraId="5A985E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E14E5A8" w14:textId="77777777" w:rsidTr="00AC4931">
        <w:tc>
          <w:tcPr>
            <w:tcW w:w="9474" w:type="dxa"/>
            <w:shd w:val="clear" w:color="auto" w:fill="FFFFFF"/>
            <w:tcMar>
              <w:top w:w="15" w:type="dxa"/>
              <w:left w:w="0" w:type="dxa"/>
              <w:bottom w:w="0" w:type="dxa"/>
              <w:right w:w="15" w:type="dxa"/>
            </w:tcMar>
            <w:hideMark/>
          </w:tcPr>
          <w:p w14:paraId="143049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$49.07</w:t>
            </w:r>
          </w:p>
        </w:tc>
        <w:tc>
          <w:tcPr>
            <w:tcW w:w="213" w:type="dxa"/>
            <w:shd w:val="clear" w:color="auto" w:fill="FFFFFF"/>
            <w:tcMar>
              <w:top w:w="15" w:type="dxa"/>
              <w:left w:w="0" w:type="dxa"/>
              <w:bottom w:w="0" w:type="dxa"/>
              <w:right w:w="15" w:type="dxa"/>
            </w:tcMar>
            <w:vAlign w:val="bottom"/>
            <w:hideMark/>
          </w:tcPr>
          <w:p w14:paraId="1B8D7C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DFC40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7146C8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13,612</w:t>
            </w:r>
          </w:p>
        </w:tc>
        <w:tc>
          <w:tcPr>
            <w:tcW w:w="150" w:type="dxa"/>
            <w:shd w:val="clear" w:color="auto" w:fill="FFFFFF"/>
            <w:noWrap/>
            <w:tcMar>
              <w:top w:w="15" w:type="dxa"/>
              <w:left w:w="0" w:type="dxa"/>
              <w:bottom w:w="0" w:type="dxa"/>
              <w:right w:w="15" w:type="dxa"/>
            </w:tcMar>
            <w:vAlign w:val="bottom"/>
            <w:hideMark/>
          </w:tcPr>
          <w:p w14:paraId="439737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B4323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9C377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5AD0302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w:t>
            </w:r>
          </w:p>
        </w:tc>
        <w:tc>
          <w:tcPr>
            <w:tcW w:w="150" w:type="dxa"/>
            <w:shd w:val="clear" w:color="auto" w:fill="FFFFFF"/>
            <w:noWrap/>
            <w:tcMar>
              <w:top w:w="15" w:type="dxa"/>
              <w:left w:w="0" w:type="dxa"/>
              <w:bottom w:w="0" w:type="dxa"/>
              <w:right w:w="15" w:type="dxa"/>
            </w:tcMar>
            <w:vAlign w:val="bottom"/>
            <w:hideMark/>
          </w:tcPr>
          <w:p w14:paraId="7FD32C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634F60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7432D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672D3C2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49.07</w:t>
            </w:r>
          </w:p>
        </w:tc>
        <w:tc>
          <w:tcPr>
            <w:tcW w:w="151" w:type="dxa"/>
            <w:shd w:val="clear" w:color="auto" w:fill="FFFFFF"/>
            <w:noWrap/>
            <w:tcMar>
              <w:top w:w="15" w:type="dxa"/>
              <w:left w:w="0" w:type="dxa"/>
              <w:bottom w:w="0" w:type="dxa"/>
              <w:right w:w="15" w:type="dxa"/>
            </w:tcMar>
            <w:vAlign w:val="bottom"/>
            <w:hideMark/>
          </w:tcPr>
          <w:p w14:paraId="4D69C7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06E33BE" w14:textId="77777777" w:rsidTr="00AC4931">
        <w:tc>
          <w:tcPr>
            <w:tcW w:w="9474" w:type="dxa"/>
            <w:shd w:val="clear" w:color="auto" w:fill="CFF0FC"/>
            <w:tcMar>
              <w:top w:w="15" w:type="dxa"/>
              <w:left w:w="0" w:type="dxa"/>
              <w:bottom w:w="0" w:type="dxa"/>
              <w:right w:w="15" w:type="dxa"/>
            </w:tcMar>
            <w:hideMark/>
          </w:tcPr>
          <w:p w14:paraId="32BB53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$51.74</w:t>
            </w:r>
          </w:p>
        </w:tc>
        <w:tc>
          <w:tcPr>
            <w:tcW w:w="213" w:type="dxa"/>
            <w:shd w:val="clear" w:color="auto" w:fill="CFF0FC"/>
            <w:tcMar>
              <w:top w:w="15" w:type="dxa"/>
              <w:left w:w="0" w:type="dxa"/>
              <w:bottom w:w="0" w:type="dxa"/>
              <w:right w:w="15" w:type="dxa"/>
            </w:tcMar>
            <w:vAlign w:val="bottom"/>
            <w:hideMark/>
          </w:tcPr>
          <w:p w14:paraId="577748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62251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3DA99F0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3,799</w:t>
            </w:r>
          </w:p>
        </w:tc>
        <w:tc>
          <w:tcPr>
            <w:tcW w:w="150" w:type="dxa"/>
            <w:shd w:val="clear" w:color="auto" w:fill="CFF0FC"/>
            <w:noWrap/>
            <w:tcMar>
              <w:top w:w="15" w:type="dxa"/>
              <w:left w:w="0" w:type="dxa"/>
              <w:bottom w:w="0" w:type="dxa"/>
              <w:right w:w="15" w:type="dxa"/>
            </w:tcMar>
            <w:vAlign w:val="bottom"/>
            <w:hideMark/>
          </w:tcPr>
          <w:p w14:paraId="2F47DE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731CF1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86CA8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3B878D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0.14</w:t>
            </w:r>
          </w:p>
        </w:tc>
        <w:tc>
          <w:tcPr>
            <w:tcW w:w="150" w:type="dxa"/>
            <w:shd w:val="clear" w:color="auto" w:fill="CFF0FC"/>
            <w:noWrap/>
            <w:tcMar>
              <w:top w:w="15" w:type="dxa"/>
              <w:left w:w="0" w:type="dxa"/>
              <w:bottom w:w="0" w:type="dxa"/>
              <w:right w:w="15" w:type="dxa"/>
            </w:tcMar>
            <w:vAlign w:val="bottom"/>
            <w:hideMark/>
          </w:tcPr>
          <w:p w14:paraId="5A5446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6E2540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622EF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25389E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51.74</w:t>
            </w:r>
          </w:p>
        </w:tc>
        <w:tc>
          <w:tcPr>
            <w:tcW w:w="151" w:type="dxa"/>
            <w:shd w:val="clear" w:color="auto" w:fill="CFF0FC"/>
            <w:noWrap/>
            <w:tcMar>
              <w:top w:w="15" w:type="dxa"/>
              <w:left w:w="0" w:type="dxa"/>
              <w:bottom w:w="0" w:type="dxa"/>
              <w:right w:w="15" w:type="dxa"/>
            </w:tcMar>
            <w:vAlign w:val="bottom"/>
            <w:hideMark/>
          </w:tcPr>
          <w:p w14:paraId="082D64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B276EBE" w14:textId="77777777" w:rsidTr="00AC4931">
        <w:tc>
          <w:tcPr>
            <w:tcW w:w="9474" w:type="dxa"/>
            <w:shd w:val="clear" w:color="auto" w:fill="FFFFFF"/>
            <w:tcMar>
              <w:top w:w="15" w:type="dxa"/>
              <w:left w:w="0" w:type="dxa"/>
              <w:bottom w:w="0" w:type="dxa"/>
              <w:right w:w="15" w:type="dxa"/>
            </w:tcMar>
            <w:hideMark/>
          </w:tcPr>
          <w:p w14:paraId="2EC3E2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$67.29</w:t>
            </w:r>
          </w:p>
        </w:tc>
        <w:tc>
          <w:tcPr>
            <w:tcW w:w="213" w:type="dxa"/>
            <w:shd w:val="clear" w:color="auto" w:fill="FFFFFF"/>
            <w:tcMar>
              <w:top w:w="15" w:type="dxa"/>
              <w:left w:w="0" w:type="dxa"/>
              <w:bottom w:w="0" w:type="dxa"/>
              <w:right w:w="15" w:type="dxa"/>
            </w:tcMar>
            <w:vAlign w:val="bottom"/>
            <w:hideMark/>
          </w:tcPr>
          <w:p w14:paraId="2BCE96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F6A82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240B8BD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26,965</w:t>
            </w:r>
          </w:p>
        </w:tc>
        <w:tc>
          <w:tcPr>
            <w:tcW w:w="150" w:type="dxa"/>
            <w:shd w:val="clear" w:color="auto" w:fill="FFFFFF"/>
            <w:noWrap/>
            <w:tcMar>
              <w:top w:w="15" w:type="dxa"/>
              <w:left w:w="0" w:type="dxa"/>
              <w:bottom w:w="0" w:type="dxa"/>
              <w:right w:w="15" w:type="dxa"/>
            </w:tcMar>
            <w:vAlign w:val="bottom"/>
            <w:hideMark/>
          </w:tcPr>
          <w:p w14:paraId="6A0027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23047B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DF0B0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5A793D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3.14</w:t>
            </w:r>
          </w:p>
        </w:tc>
        <w:tc>
          <w:tcPr>
            <w:tcW w:w="150" w:type="dxa"/>
            <w:shd w:val="clear" w:color="auto" w:fill="FFFFFF"/>
            <w:noWrap/>
            <w:tcMar>
              <w:top w:w="15" w:type="dxa"/>
              <w:left w:w="0" w:type="dxa"/>
              <w:bottom w:w="0" w:type="dxa"/>
              <w:right w:w="15" w:type="dxa"/>
            </w:tcMar>
            <w:vAlign w:val="bottom"/>
            <w:hideMark/>
          </w:tcPr>
          <w:p w14:paraId="58DFAF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8620F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4ED21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81A5C5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67.29</w:t>
            </w:r>
          </w:p>
        </w:tc>
        <w:tc>
          <w:tcPr>
            <w:tcW w:w="151" w:type="dxa"/>
            <w:shd w:val="clear" w:color="auto" w:fill="FFFFFF"/>
            <w:noWrap/>
            <w:tcMar>
              <w:top w:w="15" w:type="dxa"/>
              <w:left w:w="0" w:type="dxa"/>
              <w:bottom w:w="0" w:type="dxa"/>
              <w:right w:w="15" w:type="dxa"/>
            </w:tcMar>
            <w:vAlign w:val="bottom"/>
            <w:hideMark/>
          </w:tcPr>
          <w:p w14:paraId="46558D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13B7AF6" w14:textId="77777777" w:rsidTr="00AC4931">
        <w:tc>
          <w:tcPr>
            <w:tcW w:w="9474" w:type="dxa"/>
            <w:shd w:val="clear" w:color="auto" w:fill="CFF0FC"/>
            <w:tcMar>
              <w:top w:w="15" w:type="dxa"/>
              <w:left w:w="0" w:type="dxa"/>
              <w:bottom w:w="0" w:type="dxa"/>
              <w:right w:w="15" w:type="dxa"/>
            </w:tcMar>
            <w:hideMark/>
          </w:tcPr>
          <w:p w14:paraId="12D068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$80.40</w:t>
            </w:r>
          </w:p>
        </w:tc>
        <w:tc>
          <w:tcPr>
            <w:tcW w:w="213" w:type="dxa"/>
            <w:shd w:val="clear" w:color="auto" w:fill="CFF0FC"/>
            <w:tcMar>
              <w:top w:w="15" w:type="dxa"/>
              <w:left w:w="0" w:type="dxa"/>
              <w:bottom w:w="0" w:type="dxa"/>
              <w:right w:w="15" w:type="dxa"/>
            </w:tcMar>
            <w:vAlign w:val="bottom"/>
            <w:hideMark/>
          </w:tcPr>
          <w:p w14:paraId="604AE1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33AB4D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4DB725E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39,192</w:t>
            </w:r>
          </w:p>
        </w:tc>
        <w:tc>
          <w:tcPr>
            <w:tcW w:w="150" w:type="dxa"/>
            <w:shd w:val="clear" w:color="auto" w:fill="CFF0FC"/>
            <w:noWrap/>
            <w:tcMar>
              <w:top w:w="15" w:type="dxa"/>
              <w:left w:w="0" w:type="dxa"/>
              <w:bottom w:w="0" w:type="dxa"/>
              <w:right w:w="15" w:type="dxa"/>
            </w:tcMar>
            <w:vAlign w:val="bottom"/>
            <w:hideMark/>
          </w:tcPr>
          <w:p w14:paraId="06356A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4A4685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E8CF7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50F8C1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4.13</w:t>
            </w:r>
          </w:p>
        </w:tc>
        <w:tc>
          <w:tcPr>
            <w:tcW w:w="150" w:type="dxa"/>
            <w:shd w:val="clear" w:color="auto" w:fill="CFF0FC"/>
            <w:noWrap/>
            <w:tcMar>
              <w:top w:w="15" w:type="dxa"/>
              <w:left w:w="0" w:type="dxa"/>
              <w:bottom w:w="0" w:type="dxa"/>
              <w:right w:w="15" w:type="dxa"/>
            </w:tcMar>
            <w:vAlign w:val="bottom"/>
            <w:hideMark/>
          </w:tcPr>
          <w:p w14:paraId="7234A9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695ECA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47E5F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2F18608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80.40</w:t>
            </w:r>
          </w:p>
        </w:tc>
        <w:tc>
          <w:tcPr>
            <w:tcW w:w="151" w:type="dxa"/>
            <w:shd w:val="clear" w:color="auto" w:fill="CFF0FC"/>
            <w:noWrap/>
            <w:tcMar>
              <w:top w:w="15" w:type="dxa"/>
              <w:left w:w="0" w:type="dxa"/>
              <w:bottom w:w="0" w:type="dxa"/>
              <w:right w:w="15" w:type="dxa"/>
            </w:tcMar>
            <w:vAlign w:val="bottom"/>
            <w:hideMark/>
          </w:tcPr>
          <w:p w14:paraId="553D06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580B4D8" w14:textId="77777777" w:rsidTr="00AC4931">
        <w:tc>
          <w:tcPr>
            <w:tcW w:w="9474" w:type="dxa"/>
            <w:shd w:val="clear" w:color="auto" w:fill="FFFFFF"/>
            <w:tcMar>
              <w:top w:w="15" w:type="dxa"/>
              <w:left w:w="0" w:type="dxa"/>
              <w:bottom w:w="0" w:type="dxa"/>
              <w:right w:w="15" w:type="dxa"/>
            </w:tcMar>
            <w:hideMark/>
          </w:tcPr>
          <w:p w14:paraId="01E8EC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5FC8F9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3C11E64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15BB3B2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90,175</w:t>
            </w:r>
          </w:p>
        </w:tc>
        <w:tc>
          <w:tcPr>
            <w:tcW w:w="150" w:type="dxa"/>
            <w:shd w:val="clear" w:color="auto" w:fill="FFFFFF"/>
            <w:noWrap/>
            <w:tcMar>
              <w:top w:w="15" w:type="dxa"/>
              <w:left w:w="0" w:type="dxa"/>
              <w:bottom w:w="0" w:type="dxa"/>
              <w:right w:w="15" w:type="dxa"/>
            </w:tcMar>
            <w:vAlign w:val="bottom"/>
            <w:hideMark/>
          </w:tcPr>
          <w:p w14:paraId="4ADA3F4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31BB8D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32671A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74E3876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3.14</w:t>
            </w:r>
          </w:p>
        </w:tc>
        <w:tc>
          <w:tcPr>
            <w:tcW w:w="150" w:type="dxa"/>
            <w:shd w:val="clear" w:color="auto" w:fill="FFFFFF"/>
            <w:noWrap/>
            <w:tcMar>
              <w:top w:w="15" w:type="dxa"/>
              <w:left w:w="0" w:type="dxa"/>
              <w:bottom w:w="0" w:type="dxa"/>
              <w:right w:w="15" w:type="dxa"/>
            </w:tcMar>
            <w:vAlign w:val="bottom"/>
            <w:hideMark/>
          </w:tcPr>
          <w:p w14:paraId="57CE9C4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2C4DB4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C1047C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579EEA1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68.13</w:t>
            </w:r>
          </w:p>
        </w:tc>
        <w:tc>
          <w:tcPr>
            <w:tcW w:w="151" w:type="dxa"/>
            <w:shd w:val="clear" w:color="auto" w:fill="FFFFFF"/>
            <w:noWrap/>
            <w:tcMar>
              <w:top w:w="15" w:type="dxa"/>
              <w:left w:w="0" w:type="dxa"/>
              <w:bottom w:w="0" w:type="dxa"/>
              <w:right w:w="15" w:type="dxa"/>
            </w:tcMar>
            <w:vAlign w:val="bottom"/>
            <w:hideMark/>
          </w:tcPr>
          <w:p w14:paraId="06869EA4"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65A6B64E"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47ACC7A5"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total aggregate intrinsic value, which is the difference between the exercise price and $92.10 (closing price per share at December 31, 2020), for all “in the money” SOs, both outstanding and exercisable as of December 31, 2020, was $2.2 million.</w:t>
      </w:r>
    </w:p>
    <w:p w14:paraId="4A73E1B4"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78</w:t>
      </w:r>
    </w:p>
    <w:p w14:paraId="5AA68B4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23A41A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FF50D6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7107760"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776867A7">
          <v:rect id="_x0000_i1105" style="width:0;height:1.5pt" o:hralign="center" o:hrstd="t" o:hrnoshade="t" o:hr="t" fillcolor="black" stroked="f"/>
        </w:pict>
      </w:r>
    </w:p>
    <w:p w14:paraId="1DC0458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4378FC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29483D1"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691A265" w14:textId="77777777" w:rsidR="00AC4931" w:rsidRPr="00AC4931" w:rsidRDefault="00AC4931" w:rsidP="00AC4931">
      <w:pPr>
        <w:widowControl/>
        <w:spacing w:before="340"/>
        <w:rPr>
          <w:rFonts w:ascii="Arial" w:eastAsia="宋体" w:hAnsi="Arial" w:cs="Arial" w:hint="eastAsia"/>
          <w:b/>
          <w:bCs/>
          <w:kern w:val="0"/>
          <w:sz w:val="22"/>
        </w:rPr>
      </w:pPr>
      <w:r w:rsidRPr="00AC4931">
        <w:rPr>
          <w:rFonts w:ascii="Arial" w:eastAsia="宋体" w:hAnsi="Arial" w:cs="Arial"/>
          <w:b/>
          <w:bCs/>
          <w:kern w:val="0"/>
          <w:sz w:val="22"/>
        </w:rPr>
        <w:t>18. Contingent Liabilities</w:t>
      </w:r>
    </w:p>
    <w:p w14:paraId="7C0FE2B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p w14:paraId="087A7C00" w14:textId="77777777" w:rsidR="00AC4931" w:rsidRPr="00AC4931" w:rsidRDefault="00AC4931" w:rsidP="00AC4931">
      <w:pPr>
        <w:widowControl/>
        <w:rPr>
          <w:rFonts w:ascii="Arial" w:eastAsia="宋体" w:hAnsi="Arial" w:cs="Arial"/>
          <w:b/>
          <w:bCs/>
          <w:kern w:val="0"/>
          <w:sz w:val="18"/>
          <w:szCs w:val="18"/>
        </w:rPr>
      </w:pPr>
      <w:r w:rsidRPr="00AC4931">
        <w:rPr>
          <w:rFonts w:ascii="Arial" w:eastAsia="宋体" w:hAnsi="Arial" w:cs="Arial"/>
          <w:b/>
          <w:bCs/>
          <w:kern w:val="0"/>
          <w:sz w:val="18"/>
          <w:szCs w:val="18"/>
        </w:rPr>
        <w:t>LEGAL PROCEEDINGS</w:t>
      </w:r>
    </w:p>
    <w:p w14:paraId="5DF3D1E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Various claims, lawsuits and proceedings are pending or threatened against the Company or its subsidiaries, covering a range of matters that arise in the ordinary course of its business activities with respect to commercial, product liability and other matters. Litigation is subject to many uncertainties, and the outcome of any litigation cannot be assured. After discussions with counsel, and with the exception of losses resulting from the antitrust proceedings described below, it is the opinion of management that the various legal proceedings and investigations to which the Company currently is a party will not have a material adverse impact on the consolidated financial position of Autoliv, but the Company cannot provide assurance that Autoliv will not experience material litigation, product liability or other losses in the future.</w:t>
      </w:r>
    </w:p>
    <w:p w14:paraId="6DC89D2D"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p w14:paraId="4442B6C4"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ANTITRUST MATTERS</w:t>
      </w:r>
    </w:p>
    <w:p w14:paraId="4E6A5AF0"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lastRenderedPageBreak/>
        <w:t>Authorities in several jurisdictions have conducted broad, and in some cases, long-running investigations of suspected anti-competitive behavior among parts suppliers in the global automotive vehicle industry. These investigations included, but are not limited to, the products that the Company sells. In addition to concluded matters, authorities of other countries with significant light vehicle manufacturing or sales may initiate similar investigations. It is the Company’s policy to cooperate with governmental investigations.</w:t>
      </w:r>
    </w:p>
    <w:p w14:paraId="612F8BF1" w14:textId="77777777" w:rsidR="00AC4931" w:rsidRPr="00AC4931" w:rsidRDefault="00AC4931" w:rsidP="00AC4931">
      <w:pPr>
        <w:widowControl/>
        <w:shd w:val="clear" w:color="auto" w:fill="FFFFFF"/>
        <w:spacing w:before="340"/>
        <w:rPr>
          <w:rFonts w:ascii="Arial" w:eastAsia="宋体" w:hAnsi="Arial" w:cs="Arial"/>
          <w:kern w:val="0"/>
          <w:sz w:val="18"/>
          <w:szCs w:val="18"/>
        </w:rPr>
      </w:pPr>
      <w:r w:rsidRPr="00AC4931">
        <w:rPr>
          <w:rFonts w:ascii="Arial" w:eastAsia="宋体" w:hAnsi="Arial" w:cs="Arial"/>
          <w:kern w:val="0"/>
          <w:sz w:val="18"/>
          <w:szCs w:val="18"/>
          <w:u w:val="single"/>
        </w:rPr>
        <w:t>European Commission (“EC”) Investigations:</w:t>
      </w:r>
    </w:p>
    <w:p w14:paraId="781885D2" w14:textId="77777777" w:rsidR="00AC4931" w:rsidRPr="00AC4931" w:rsidRDefault="00AC4931" w:rsidP="00AC4931">
      <w:pPr>
        <w:widowControl/>
        <w:shd w:val="clear" w:color="auto" w:fill="FFFFFF"/>
        <w:spacing w:before="120"/>
        <w:rPr>
          <w:rFonts w:ascii="Arial" w:eastAsia="宋体" w:hAnsi="Arial" w:cs="Arial"/>
          <w:kern w:val="0"/>
          <w:sz w:val="18"/>
          <w:szCs w:val="18"/>
        </w:rPr>
      </w:pPr>
      <w:r w:rsidRPr="00AC4931">
        <w:rPr>
          <w:rFonts w:ascii="Arial" w:eastAsia="宋体" w:hAnsi="Arial" w:cs="Arial"/>
          <w:kern w:val="0"/>
          <w:sz w:val="18"/>
          <w:szCs w:val="18"/>
        </w:rPr>
        <w:t>On June 7-9, 2011, representatives of the European Commission (“EC”), the European antitrust authority, visited two facilities of a Company subsidiary in Germany to gather information for an investigation of anti-competitive behavior among suppliers of occupant safety systems. On November 22, 2017, the EC concluded a discrete portion of its investigation and imposed a fine on the Company of €8.1 million (approximately $9.7 million), and t</w:t>
      </w:r>
      <w:r w:rsidRPr="00AC4931">
        <w:rPr>
          <w:rFonts w:ascii="Arial" w:eastAsia="宋体" w:hAnsi="Arial" w:cs="Arial"/>
          <w:color w:val="000000"/>
          <w:kern w:val="0"/>
          <w:sz w:val="18"/>
          <w:szCs w:val="18"/>
        </w:rPr>
        <w:t>he Company paid this amount during the first quarter of 2018.</w:t>
      </w:r>
      <w:r w:rsidRPr="00AC4931">
        <w:rPr>
          <w:rFonts w:ascii="Arial" w:eastAsia="宋体" w:hAnsi="Arial" w:cs="Arial"/>
          <w:kern w:val="0"/>
          <w:sz w:val="18"/>
          <w:szCs w:val="18"/>
        </w:rPr>
        <w:t> </w:t>
      </w:r>
      <w:r w:rsidRPr="00AC4931">
        <w:rPr>
          <w:rFonts w:ascii="Arial" w:eastAsia="宋体" w:hAnsi="Arial" w:cs="Arial"/>
          <w:color w:val="000000"/>
          <w:kern w:val="0"/>
          <w:sz w:val="18"/>
          <w:szCs w:val="18"/>
        </w:rPr>
        <w:t>On March 5, 2019, the EC completed the remaining portion of the investigation and imposed a fine on the Company of €179 million (approximately $203 million), and the Company paid this amount in June 2019.</w:t>
      </w:r>
    </w:p>
    <w:p w14:paraId="5FD2D15B"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kern w:val="0"/>
          <w:sz w:val="20"/>
          <w:szCs w:val="20"/>
        </w:rPr>
        <w:t>  </w:t>
      </w:r>
    </w:p>
    <w:p w14:paraId="35B68ADE" w14:textId="77777777" w:rsidR="00AC4931" w:rsidRPr="00AC4931" w:rsidRDefault="00AC4931" w:rsidP="00AC4931">
      <w:pPr>
        <w:widowControl/>
        <w:spacing w:before="160"/>
        <w:rPr>
          <w:rFonts w:ascii="Arial" w:eastAsia="宋体" w:hAnsi="Arial" w:cs="Arial"/>
          <w:b/>
          <w:bCs/>
          <w:kern w:val="0"/>
          <w:sz w:val="18"/>
          <w:szCs w:val="18"/>
        </w:rPr>
      </w:pPr>
      <w:r w:rsidRPr="00AC4931">
        <w:rPr>
          <w:rFonts w:ascii="Arial" w:eastAsia="宋体" w:hAnsi="Arial" w:cs="Arial"/>
          <w:b/>
          <w:bCs/>
          <w:kern w:val="0"/>
          <w:sz w:val="18"/>
          <w:szCs w:val="18"/>
        </w:rPr>
        <w:t>PRODUCT WARRANTY, RECALLS AND INTELLECTUAL PROPERTY</w:t>
      </w:r>
    </w:p>
    <w:p w14:paraId="36FA3553"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xml:space="preserve">Autoliv is exposed to various claims for damages and compensation if its products fail to perform as expected. Such claims can be made, and result in costs and other losses to the Company, even where the product is eventually found to have functioned properly. Where a product (actually or allegedly) fails to perform as expected or is defective, the Company may face warranty and recall claims. Where such (actual or alleged) failure or defect results, or is alleged to result, in bodily injury and/or property damage, the Company may also face product liability and other claims. There can be no assurance that the Company will not experience material warranty, recall or product (or other) liability claims or losses in the future, or that the Company will not incur significant costs to defend against such claims. The Company may be required to participate in a recall involving its products. Each vehicle manufacturer has its own practices regarding product recalls and other product liability actions relating to its suppliers. As suppliers become more integrally involved in the vehicle design process and assume more of the vehicle assembly functions, vehicle manufacturers are increasingly looking to their suppliers for contribution when faced with recalls and product liability claims. Government safety regulators may also play a role in warranty and recall practices. Recall decisions regarding the Company’s products may require a significant amount of judgment by us, our customers and safety regulators and are influenced by a variety of factors. Once a recall has been made, the cost of a recall is also subject to a significant amount of judgment and discussions between the Company and its customers. A warranty, recall or product-liability claim brought against the Company in excess of its insurance may have a material adverse effect on the Company’s business. Vehicle manufacturers are also increasingly requiring their outside suppliers to guarantee or warrant their products and bear the costs of repair and replacement of such products under new vehicle warranties. A vehicle manufacturer may attempt to hold the Company responsible for some, or all, of the repair or replacement costs of products when the product supplied did not perform as represented by us or expected by the customer in either a warranty or a recall situation. Accordingly, the future costs of warranty or recall claims by the customers may be material. However, the Company believes its established reserves are adequate. Autoliv’s warranty reserves are based upon the Company’s best estimates of amounts necessary to settle future and existing claims. The Company regularly evaluates </w:t>
      </w:r>
      <w:r w:rsidRPr="00AC4931">
        <w:rPr>
          <w:rFonts w:ascii="Arial" w:eastAsia="宋体" w:hAnsi="Arial" w:cs="Arial"/>
          <w:kern w:val="0"/>
          <w:sz w:val="18"/>
          <w:szCs w:val="18"/>
        </w:rPr>
        <w:lastRenderedPageBreak/>
        <w:t>the adequacy of these reserves, and adjusts them when appropriate. However, the final amounts actually due related to these matters could differ materially from the Company’s recorded estimates.</w:t>
      </w:r>
    </w:p>
    <w:p w14:paraId="37DC805A"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addition, as vehicle manufacturers increasingly use global platforms and procedures, quality performance evaluations are also conducted on a global basis. Any one or more quality, warranty or other recall issue(s) (including those affecting few units and/or having a small financial impact) may cause a vehicle manufacturer to implement measures such as a temporary or prolonged suspension of new orders, which may have a material impact on the Company’s results of operations.</w:t>
      </w:r>
    </w:p>
    <w:p w14:paraId="2134D650"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shd w:val="clear" w:color="auto" w:fill="FFFFFF"/>
        </w:rPr>
        <w:t>The Company maintains a program of insurance, which may include commercial insurance, self-insurance, or a combination of both approaches, for potential recall and product liability claims in amounts and on terms that it believes are reasonable and prudent based on our prior claims experience. The Company’s insurance policies generally include coverage of the costs of a recall, although costs related to replacement parts are generally not covered. In addition, a number of the agreements entered into by the Company, including the Spin-off Agreements, require Autoliv to indemnify the other parties for certain claims. Autoliv cannot assure that the level of coverage will be sufficient to cover every possible claim that can arise in our businesses or with respect to other obligations, now or in the future, or that such coverage always will be available should we, now or in the future, wish to extend, increase or otherwise adjust our insurance.</w:t>
      </w:r>
    </w:p>
    <w:p w14:paraId="030E77D5"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shd w:val="clear" w:color="auto" w:fill="FFFFFF"/>
        </w:rPr>
        <w:t>As noted in Note 13 above, as of December 31, 2020, the Company has accrued $341 million for total product related liabilities. The</w:t>
      </w:r>
      <w:r w:rsidRPr="00AC4931">
        <w:rPr>
          <w:rFonts w:ascii="Arial" w:eastAsia="宋体" w:hAnsi="Arial" w:cs="Arial"/>
          <w:kern w:val="0"/>
          <w:sz w:val="18"/>
          <w:szCs w:val="18"/>
        </w:rPr>
        <w:t> majority of the total product liability accrual as of December 31, 2020, relates to recalls, which are mostly covered by insurance. Insurance receivables for such </w:t>
      </w:r>
      <w:r w:rsidRPr="00AC4931">
        <w:rPr>
          <w:rFonts w:ascii="Arial" w:eastAsia="宋体" w:hAnsi="Arial" w:cs="Arial"/>
          <w:kern w:val="0"/>
          <w:sz w:val="18"/>
          <w:szCs w:val="18"/>
          <w:shd w:val="clear" w:color="auto" w:fill="FFFFFF"/>
        </w:rPr>
        <w:t>recall related liabilities</w:t>
      </w:r>
      <w:r w:rsidRPr="00AC4931">
        <w:rPr>
          <w:rFonts w:ascii="Arial" w:eastAsia="宋体" w:hAnsi="Arial" w:cs="Arial"/>
          <w:kern w:val="0"/>
          <w:sz w:val="18"/>
          <w:szCs w:val="18"/>
        </w:rPr>
        <w:t> total $343 million as of December 31, 2020.</w:t>
      </w:r>
      <w:r w:rsidRPr="00AC4931">
        <w:rPr>
          <w:rFonts w:ascii="Arial" w:eastAsia="宋体" w:hAnsi="Arial" w:cs="Arial"/>
          <w:b/>
          <w:bCs/>
          <w:kern w:val="0"/>
          <w:sz w:val="18"/>
          <w:szCs w:val="18"/>
        </w:rPr>
        <w:t> </w:t>
      </w:r>
      <w:r w:rsidRPr="00AC4931">
        <w:rPr>
          <w:rFonts w:ascii="Arial" w:eastAsia="宋体" w:hAnsi="Arial" w:cs="Arial"/>
          <w:kern w:val="0"/>
          <w:sz w:val="18"/>
          <w:szCs w:val="18"/>
        </w:rPr>
        <w:t>The total product liability accrual currently is less</w:t>
      </w:r>
    </w:p>
    <w:p w14:paraId="5D17E5C4"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79</w:t>
      </w:r>
    </w:p>
    <w:p w14:paraId="78D683A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8862471"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D30DD7E"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6ADE777"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7B5D7A2F">
          <v:rect id="_x0000_i1106" style="width:0;height:1.5pt" o:hralign="center" o:hrstd="t" o:hrnoshade="t" o:hr="t" fillcolor="black" stroked="f"/>
        </w:pict>
      </w:r>
    </w:p>
    <w:p w14:paraId="18959F0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F022DA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19F1BC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FF9FB55" w14:textId="77777777" w:rsidR="00AC4931" w:rsidRPr="00AC4931" w:rsidRDefault="00AC4931" w:rsidP="00AC4931">
      <w:pPr>
        <w:widowControl/>
        <w:spacing w:before="240"/>
        <w:rPr>
          <w:rFonts w:ascii="Arial" w:eastAsia="宋体" w:hAnsi="Arial" w:cs="Arial" w:hint="eastAsia"/>
          <w:kern w:val="0"/>
          <w:sz w:val="18"/>
          <w:szCs w:val="18"/>
        </w:rPr>
      </w:pPr>
      <w:r w:rsidRPr="00AC4931">
        <w:rPr>
          <w:rFonts w:ascii="Arial" w:eastAsia="宋体" w:hAnsi="Arial" w:cs="Arial"/>
          <w:kern w:val="0"/>
          <w:sz w:val="18"/>
          <w:szCs w:val="18"/>
        </w:rPr>
        <w:t>than the product liability insurance receivable because the timing of insurance recoveries does not match the timing of the recording of our product liability.</w:t>
      </w:r>
    </w:p>
    <w:p w14:paraId="142BDBC0" w14:textId="77777777" w:rsidR="00AC4931" w:rsidRPr="00AC4931" w:rsidRDefault="00AC4931" w:rsidP="00AC4931">
      <w:pPr>
        <w:widowControl/>
        <w:spacing w:before="340"/>
        <w:rPr>
          <w:rFonts w:ascii="Arial" w:eastAsia="宋体" w:hAnsi="Arial" w:cs="Arial"/>
          <w:kern w:val="0"/>
          <w:sz w:val="18"/>
          <w:szCs w:val="18"/>
        </w:rPr>
      </w:pPr>
      <w:r w:rsidRPr="00AC4931">
        <w:rPr>
          <w:rFonts w:ascii="Arial" w:eastAsia="宋体" w:hAnsi="Arial" w:cs="Arial"/>
          <w:kern w:val="0"/>
          <w:sz w:val="18"/>
          <w:szCs w:val="18"/>
          <w:u w:val="single"/>
        </w:rPr>
        <w:t>Specific Recalls:</w:t>
      </w:r>
    </w:p>
    <w:p w14:paraId="719A0F7E"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On June 29, 2016, the Company announced that it is cooperating with Toyota Motor Corp. in its recall of approximately 1.4 million </w:t>
      </w:r>
      <w:r w:rsidRPr="00AC4931">
        <w:rPr>
          <w:rFonts w:ascii="Arial" w:eastAsia="宋体" w:hAnsi="Arial" w:cs="Arial"/>
          <w:color w:val="000000"/>
          <w:kern w:val="0"/>
          <w:sz w:val="18"/>
          <w:szCs w:val="18"/>
        </w:rPr>
        <w:t>vehicles equipped with a certain model of the Company’s side curtain airbag (the “Toyota Recall”). </w:t>
      </w:r>
      <w:r w:rsidRPr="00AC4931">
        <w:rPr>
          <w:rFonts w:ascii="Arial" w:eastAsia="宋体" w:hAnsi="Arial" w:cs="Arial"/>
          <w:color w:val="000000"/>
          <w:kern w:val="0"/>
          <w:sz w:val="18"/>
          <w:szCs w:val="18"/>
          <w:shd w:val="clear" w:color="auto" w:fill="FFFFFF"/>
        </w:rPr>
        <w:t>The Company has determined pursuant to ASC 450 that a loss with respect to the Toyota Recall is probable and has accrued </w:t>
      </w:r>
      <w:r w:rsidRPr="00AC4931">
        <w:rPr>
          <w:rFonts w:ascii="Arial" w:eastAsia="宋体" w:hAnsi="Arial" w:cs="Arial"/>
          <w:kern w:val="0"/>
          <w:sz w:val="18"/>
          <w:szCs w:val="18"/>
        </w:rPr>
        <w:t xml:space="preserve">an amount that is included in the total product liability accrual in the fourth quarter of 2020. The amount by which the product liability accrual exceeds the product liability insurance receivable with respect to the Toyota Recall is $25 million and includes deductibles and </w:t>
      </w:r>
      <w:r w:rsidRPr="00AC4931">
        <w:rPr>
          <w:rFonts w:ascii="Arial" w:eastAsia="宋体" w:hAnsi="Arial" w:cs="Arial"/>
          <w:kern w:val="0"/>
          <w:sz w:val="18"/>
          <w:szCs w:val="18"/>
        </w:rPr>
        <w:lastRenderedPageBreak/>
        <w:t>replacement parts. The ultimate loss to the Company of the Toyota Recall could be materially different from the amount the Company has accrued. The Company expects this matter to be resolved in 2021.</w:t>
      </w:r>
    </w:p>
    <w:p w14:paraId="3E513E33"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Additionally, in the fourth quarter of 2020, the Company was made aware of a potential recall by one of its customers (the “Unannounced Recall”). The Company continues to evaluate this matter with its customer. The Company has determined pursuant to ASC 450 that a loss with respect to the Unannounced Recall is probable and has accrued an amount that is reflected in the total product liability accrual in the fourth quarter of 2020. The amount by which the product liability accrual exceeds the product liability insurance receivable with respect to the Unannounced Recall is $26 million and includes self-insurance retention costs and deductibles. The ultimate loss to the Company of the Unannounced Recall could be materially different from the amount the Company has accrued.</w:t>
      </w:r>
    </w:p>
    <w:p w14:paraId="4DCBF3E2" w14:textId="77777777" w:rsidR="00AC4931" w:rsidRPr="00AC4931" w:rsidRDefault="00AC4931" w:rsidP="00AC4931">
      <w:pPr>
        <w:widowControl/>
        <w:spacing w:before="340"/>
        <w:rPr>
          <w:rFonts w:ascii="Arial" w:eastAsia="宋体" w:hAnsi="Arial" w:cs="Arial"/>
          <w:kern w:val="0"/>
          <w:sz w:val="18"/>
          <w:szCs w:val="18"/>
        </w:rPr>
      </w:pPr>
      <w:r w:rsidRPr="00AC4931">
        <w:rPr>
          <w:rFonts w:ascii="Arial" w:eastAsia="宋体" w:hAnsi="Arial" w:cs="Arial"/>
          <w:kern w:val="0"/>
          <w:sz w:val="18"/>
          <w:szCs w:val="18"/>
          <w:u w:val="single"/>
        </w:rPr>
        <w:t>Intellectual property</w:t>
      </w:r>
    </w:p>
    <w:p w14:paraId="2457F846"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In its products, the Company utilizes technologies which may be subject to intellectual property rights of third parties. While the Company does seek to procure the necessary rights to utilize intellectual property rights associated with its products, it may fail to do so. Where the Company so fails, the Company may be exposed to material claims from the owners of such rights. Where the Company has sold products which infringe upon such rights, its customers may be entitled to be indemnified by the Company for the claims they suffer as a result thereof. Such claims could be material.</w:t>
      </w:r>
    </w:p>
    <w:p w14:paraId="5DDC60BB"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table in Note 13 Product Related Liabilities above summarizes the change in the balance sheet position of the product related liabilities for the fiscal year ended December 31, 2020.</w:t>
      </w:r>
    </w:p>
    <w:p w14:paraId="6A77D4D3" w14:textId="77777777" w:rsidR="00AC4931" w:rsidRPr="00AC4931" w:rsidRDefault="00AC4931" w:rsidP="00AC4931">
      <w:pPr>
        <w:widowControl/>
        <w:spacing w:before="340"/>
        <w:rPr>
          <w:rFonts w:ascii="Arial" w:eastAsia="宋体" w:hAnsi="Arial" w:cs="Arial"/>
          <w:b/>
          <w:bCs/>
          <w:kern w:val="0"/>
          <w:sz w:val="22"/>
        </w:rPr>
      </w:pPr>
      <w:r w:rsidRPr="00AC4931">
        <w:rPr>
          <w:rFonts w:ascii="Arial" w:eastAsia="宋体" w:hAnsi="Arial" w:cs="Arial"/>
          <w:b/>
          <w:bCs/>
          <w:kern w:val="0"/>
          <w:sz w:val="22"/>
        </w:rPr>
        <w:t>19. Retirement Plans</w:t>
      </w:r>
    </w:p>
    <w:p w14:paraId="122C9C44" w14:textId="77777777" w:rsidR="00AC4931" w:rsidRPr="00AC4931" w:rsidRDefault="00AC4931" w:rsidP="00AC4931">
      <w:pPr>
        <w:widowControl/>
        <w:spacing w:before="120"/>
        <w:rPr>
          <w:rFonts w:ascii="Arial" w:eastAsia="宋体" w:hAnsi="Arial" w:cs="Arial"/>
          <w:b/>
          <w:bCs/>
          <w:kern w:val="0"/>
          <w:sz w:val="18"/>
          <w:szCs w:val="18"/>
        </w:rPr>
      </w:pPr>
      <w:r w:rsidRPr="00AC4931">
        <w:rPr>
          <w:rFonts w:ascii="Arial" w:eastAsia="宋体" w:hAnsi="Arial" w:cs="Arial"/>
          <w:b/>
          <w:bCs/>
          <w:kern w:val="0"/>
          <w:sz w:val="18"/>
          <w:szCs w:val="18"/>
        </w:rPr>
        <w:t>DEFINED CONTRIBUTION PLANS</w:t>
      </w:r>
    </w:p>
    <w:p w14:paraId="5473889C"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Many of the Company’s employees are covered by government sponsored pension and welfare programs. Under the terms of these programs, the Company makes periodic payments to various government agencies. In addition, in some countries the Company sponsors or participates in certain non-governmental defined contribution plans. Contributions to defined contribution plans for the years ended December 31, 2020, 2019 and 2018 were $14.7 million, $15.7 million and $19.2 million, respectively.</w:t>
      </w:r>
    </w:p>
    <w:p w14:paraId="6F4CB371"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MULTIEMPLOYER PLANS</w:t>
      </w:r>
    </w:p>
    <w:p w14:paraId="6C8CF00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Company participates in a multiemployer plan in Sweden. This ITP-2 plan is funded through Alecta and covers employees born before 1979, for whom it provides a final pay pension benefit based on all service with participating employers. The Company must pay for wage increases in excess of inflation on service earned with previous employers. The plan also provides disability and family benefits and is more than 100% funded. The Company´s contributions to this multiemployer plan for the years ended December 31, 2020, 2019 and 2018 were $4.0 million, $3.9 million and $6.1 million, respectively.</w:t>
      </w:r>
    </w:p>
    <w:p w14:paraId="75E15804"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DEFINED BENEFIT PLANS</w:t>
      </w:r>
    </w:p>
    <w:p w14:paraId="60FA8E0F"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xml:space="preserve">The Company has a number of defined benefit pension plans, both contributory and non-contributory, in the U.S., France, Germany, India, Japan, Mexico, Philippines, Sweden, South Korea, Thailand, Turkey </w:t>
      </w:r>
      <w:r w:rsidRPr="00AC4931">
        <w:rPr>
          <w:rFonts w:ascii="Arial" w:eastAsia="宋体" w:hAnsi="Arial" w:cs="Arial"/>
          <w:kern w:val="0"/>
          <w:sz w:val="18"/>
          <w:szCs w:val="18"/>
        </w:rPr>
        <w:lastRenderedPageBreak/>
        <w:t>and the United Kingdom. There are funded as well as unfunded plan arrangements which provide retirement benefits to both U.S. and non-U.S. participants.</w:t>
      </w:r>
    </w:p>
    <w:p w14:paraId="0728B1FD"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main plan is the U.S. plan for which the benefits are based on an average of the employee’s earnings in the years preceding retirement and on credited service. In a prior year, the Company closed participation in the Autoliv ASP, Inc. Pension Plan to exclude those employees hired after December 31, 2003. Within the U.S. there is also a non-qualified restoration plan that provides benefits to employees whose benefits in the primary U.S. plan are restricted by limitations on the compensation that can be considered in calculating their benefits. During December 2017 the Company amended the U.S. defined benefit pension plan, communicating a benefits freeze that will begin on December 31, 2021.</w:t>
      </w:r>
    </w:p>
    <w:p w14:paraId="3F40F6E6"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For the Company’s non-U.S. defined benefit plans the most significant individual plan is in the U.K. The Company has closed participation in the U.K. defined benefit plan to exclude all employees hired after April 30, 2003 with few members currently accruing benefits.</w:t>
      </w:r>
    </w:p>
    <w:p w14:paraId="3A4CB40A"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80</w:t>
      </w:r>
    </w:p>
    <w:p w14:paraId="2BA3BF59"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3F0796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B6DFD2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5954C08"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4C255B7A">
          <v:rect id="_x0000_i1107" style="width:0;height:1.5pt" o:hralign="center" o:hrstd="t" o:hrnoshade="t" o:hr="t" fillcolor="black" stroked="f"/>
        </w:pict>
      </w:r>
    </w:p>
    <w:p w14:paraId="0B92B5C9"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654A28F"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7ED06D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B2B429C" w14:textId="77777777" w:rsidR="00AC4931" w:rsidRPr="00AC4931" w:rsidRDefault="00AC4931" w:rsidP="00AC4931">
      <w:pPr>
        <w:widowControl/>
        <w:spacing w:before="340"/>
        <w:rPr>
          <w:rFonts w:ascii="Arial" w:eastAsia="宋体" w:hAnsi="Arial" w:cs="Arial" w:hint="eastAsia"/>
          <w:b/>
          <w:bCs/>
          <w:kern w:val="0"/>
          <w:sz w:val="18"/>
          <w:szCs w:val="18"/>
        </w:rPr>
      </w:pPr>
      <w:r w:rsidRPr="00AC4931">
        <w:rPr>
          <w:rFonts w:ascii="Arial" w:eastAsia="宋体" w:hAnsi="Arial" w:cs="Arial"/>
          <w:b/>
          <w:bCs/>
          <w:kern w:val="0"/>
          <w:sz w:val="18"/>
          <w:szCs w:val="18"/>
        </w:rPr>
        <w:t>CHANGES IN BENEFIT OBLIGATIONS AND PLAN ASSETS FOR THE PERIODS ENDED DECEMBER 31</w:t>
      </w:r>
    </w:p>
    <w:p w14:paraId="75A74DD5"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8553" w:type="dxa"/>
        <w:tblCellMar>
          <w:left w:w="0" w:type="dxa"/>
          <w:right w:w="0" w:type="dxa"/>
        </w:tblCellMar>
        <w:tblLook w:val="04A0" w:firstRow="1" w:lastRow="0" w:firstColumn="1" w:lastColumn="0" w:noHBand="0" w:noVBand="1"/>
      </w:tblPr>
      <w:tblGrid>
        <w:gridCol w:w="9353"/>
        <w:gridCol w:w="212"/>
        <w:gridCol w:w="179"/>
        <w:gridCol w:w="1710"/>
        <w:gridCol w:w="179"/>
        <w:gridCol w:w="211"/>
        <w:gridCol w:w="178"/>
        <w:gridCol w:w="1754"/>
        <w:gridCol w:w="178"/>
        <w:gridCol w:w="211"/>
        <w:gridCol w:w="178"/>
        <w:gridCol w:w="1709"/>
        <w:gridCol w:w="178"/>
        <w:gridCol w:w="211"/>
        <w:gridCol w:w="178"/>
        <w:gridCol w:w="1754"/>
        <w:gridCol w:w="180"/>
      </w:tblGrid>
      <w:tr w:rsidR="00AC4931" w:rsidRPr="00AC4931" w14:paraId="132477C3" w14:textId="77777777" w:rsidTr="00AC4931">
        <w:tc>
          <w:tcPr>
            <w:tcW w:w="9330" w:type="dxa"/>
            <w:shd w:val="clear" w:color="auto" w:fill="FFFFFF"/>
            <w:tcMar>
              <w:top w:w="15" w:type="dxa"/>
              <w:left w:w="0" w:type="dxa"/>
              <w:bottom w:w="0" w:type="dxa"/>
              <w:right w:w="15" w:type="dxa"/>
            </w:tcMar>
            <w:vAlign w:val="bottom"/>
            <w:hideMark/>
          </w:tcPr>
          <w:p w14:paraId="2E61EBA0"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11" w:type="dxa"/>
            <w:shd w:val="clear" w:color="auto" w:fill="FFFFFF"/>
            <w:tcMar>
              <w:top w:w="15" w:type="dxa"/>
              <w:left w:w="0" w:type="dxa"/>
              <w:bottom w:w="0" w:type="dxa"/>
              <w:right w:w="15" w:type="dxa"/>
            </w:tcMar>
            <w:vAlign w:val="bottom"/>
            <w:hideMark/>
          </w:tcPr>
          <w:p w14:paraId="7D992DB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76" w:type="dxa"/>
            <w:gridSpan w:val="6"/>
            <w:tcBorders>
              <w:bottom w:val="single" w:sz="6" w:space="0" w:color="000000"/>
            </w:tcBorders>
            <w:shd w:val="clear" w:color="auto" w:fill="FFFFFF"/>
            <w:tcMar>
              <w:top w:w="15" w:type="dxa"/>
              <w:left w:w="0" w:type="dxa"/>
              <w:bottom w:w="0" w:type="dxa"/>
              <w:right w:w="15" w:type="dxa"/>
            </w:tcMar>
            <w:vAlign w:val="bottom"/>
            <w:hideMark/>
          </w:tcPr>
          <w:p w14:paraId="787BC87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tc>
        <w:tc>
          <w:tcPr>
            <w:tcW w:w="170" w:type="dxa"/>
            <w:shd w:val="clear" w:color="auto" w:fill="FFFFFF"/>
            <w:noWrap/>
            <w:tcMar>
              <w:top w:w="15" w:type="dxa"/>
              <w:left w:w="0" w:type="dxa"/>
              <w:bottom w:w="0" w:type="dxa"/>
              <w:right w:w="15" w:type="dxa"/>
            </w:tcMar>
            <w:vAlign w:val="bottom"/>
            <w:hideMark/>
          </w:tcPr>
          <w:p w14:paraId="3FC5F77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shd w:val="clear" w:color="auto" w:fill="FFFFFF"/>
            <w:tcMar>
              <w:top w:w="15" w:type="dxa"/>
              <w:left w:w="0" w:type="dxa"/>
              <w:bottom w:w="0" w:type="dxa"/>
              <w:right w:w="15" w:type="dxa"/>
            </w:tcMar>
            <w:vAlign w:val="bottom"/>
            <w:hideMark/>
          </w:tcPr>
          <w:p w14:paraId="28B3444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76" w:type="dxa"/>
            <w:gridSpan w:val="6"/>
            <w:tcBorders>
              <w:bottom w:val="single" w:sz="6" w:space="0" w:color="000000"/>
            </w:tcBorders>
            <w:shd w:val="clear" w:color="auto" w:fill="FFFFFF"/>
            <w:tcMar>
              <w:top w:w="15" w:type="dxa"/>
              <w:left w:w="0" w:type="dxa"/>
              <w:bottom w:w="0" w:type="dxa"/>
              <w:right w:w="15" w:type="dxa"/>
            </w:tcMar>
            <w:vAlign w:val="bottom"/>
            <w:hideMark/>
          </w:tcPr>
          <w:p w14:paraId="0050476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Non-U.S.</w:t>
            </w:r>
          </w:p>
        </w:tc>
        <w:tc>
          <w:tcPr>
            <w:tcW w:w="172" w:type="dxa"/>
            <w:shd w:val="clear" w:color="auto" w:fill="FFFFFF"/>
            <w:noWrap/>
            <w:tcMar>
              <w:top w:w="15" w:type="dxa"/>
              <w:left w:w="0" w:type="dxa"/>
              <w:bottom w:w="0" w:type="dxa"/>
              <w:right w:w="15" w:type="dxa"/>
            </w:tcMar>
            <w:vAlign w:val="bottom"/>
            <w:hideMark/>
          </w:tcPr>
          <w:p w14:paraId="22CFA61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2B0A5AD" w14:textId="77777777" w:rsidTr="00AC4931">
        <w:tc>
          <w:tcPr>
            <w:tcW w:w="9330" w:type="dxa"/>
            <w:shd w:val="clear" w:color="auto" w:fill="FFFFFF"/>
            <w:tcMar>
              <w:top w:w="15" w:type="dxa"/>
              <w:left w:w="0" w:type="dxa"/>
              <w:bottom w:w="0" w:type="dxa"/>
              <w:right w:w="15" w:type="dxa"/>
            </w:tcMar>
            <w:vAlign w:val="bottom"/>
            <w:hideMark/>
          </w:tcPr>
          <w:p w14:paraId="791331CD" w14:textId="77777777" w:rsidR="00AC4931" w:rsidRPr="00AC4931" w:rsidRDefault="00AC4931" w:rsidP="00AC4931">
            <w:pPr>
              <w:widowControl/>
              <w:jc w:val="left"/>
              <w:rPr>
                <w:rFonts w:ascii="Arial" w:eastAsia="宋体" w:hAnsi="Arial" w:cs="Arial"/>
                <w:color w:val="000000"/>
                <w:kern w:val="0"/>
                <w:sz w:val="20"/>
                <w:szCs w:val="20"/>
              </w:rPr>
            </w:pPr>
            <w:r w:rsidRPr="00AC4931">
              <w:rPr>
                <w:rFonts w:ascii="Arial" w:eastAsia="宋体" w:hAnsi="Arial" w:cs="Arial"/>
                <w:color w:val="000000"/>
                <w:kern w:val="0"/>
                <w:sz w:val="20"/>
                <w:szCs w:val="20"/>
              </w:rPr>
              <w:t> </w:t>
            </w:r>
          </w:p>
        </w:tc>
        <w:tc>
          <w:tcPr>
            <w:tcW w:w="211" w:type="dxa"/>
            <w:shd w:val="clear" w:color="auto" w:fill="FFFFFF"/>
            <w:tcMar>
              <w:top w:w="15" w:type="dxa"/>
              <w:left w:w="0" w:type="dxa"/>
              <w:bottom w:w="0" w:type="dxa"/>
              <w:right w:w="15" w:type="dxa"/>
            </w:tcMar>
            <w:vAlign w:val="bottom"/>
            <w:hideMark/>
          </w:tcPr>
          <w:p w14:paraId="706A8DF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D6215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70" w:type="dxa"/>
            <w:shd w:val="clear" w:color="auto" w:fill="FFFFFF"/>
            <w:noWrap/>
            <w:tcMar>
              <w:top w:w="15" w:type="dxa"/>
              <w:left w:w="0" w:type="dxa"/>
              <w:bottom w:w="0" w:type="dxa"/>
              <w:right w:w="15" w:type="dxa"/>
            </w:tcMar>
            <w:vAlign w:val="bottom"/>
            <w:hideMark/>
          </w:tcPr>
          <w:p w14:paraId="2BC8E46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tcBorders>
              <w:top w:val="single" w:sz="6" w:space="0" w:color="000000"/>
            </w:tcBorders>
            <w:shd w:val="clear" w:color="auto" w:fill="FFFFFF"/>
            <w:tcMar>
              <w:top w:w="15" w:type="dxa"/>
              <w:left w:w="0" w:type="dxa"/>
              <w:bottom w:w="0" w:type="dxa"/>
              <w:right w:w="15" w:type="dxa"/>
            </w:tcMar>
            <w:vAlign w:val="bottom"/>
            <w:hideMark/>
          </w:tcPr>
          <w:p w14:paraId="54EE7A2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D0783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70" w:type="dxa"/>
            <w:shd w:val="clear" w:color="auto" w:fill="FFFFFF"/>
            <w:noWrap/>
            <w:tcMar>
              <w:top w:w="15" w:type="dxa"/>
              <w:left w:w="0" w:type="dxa"/>
              <w:bottom w:w="0" w:type="dxa"/>
              <w:right w:w="15" w:type="dxa"/>
            </w:tcMar>
            <w:vAlign w:val="bottom"/>
            <w:hideMark/>
          </w:tcPr>
          <w:p w14:paraId="679FC3B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shd w:val="clear" w:color="auto" w:fill="FFFFFF"/>
            <w:tcMar>
              <w:top w:w="15" w:type="dxa"/>
              <w:left w:w="0" w:type="dxa"/>
              <w:bottom w:w="0" w:type="dxa"/>
              <w:right w:w="15" w:type="dxa"/>
            </w:tcMar>
            <w:vAlign w:val="bottom"/>
            <w:hideMark/>
          </w:tcPr>
          <w:p w14:paraId="7724547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C9454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70" w:type="dxa"/>
            <w:shd w:val="clear" w:color="auto" w:fill="FFFFFF"/>
            <w:noWrap/>
            <w:tcMar>
              <w:top w:w="15" w:type="dxa"/>
              <w:left w:w="0" w:type="dxa"/>
              <w:bottom w:w="0" w:type="dxa"/>
              <w:right w:w="15" w:type="dxa"/>
            </w:tcMar>
            <w:vAlign w:val="bottom"/>
            <w:hideMark/>
          </w:tcPr>
          <w:p w14:paraId="0F738BF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tcBorders>
              <w:top w:val="single" w:sz="6" w:space="0" w:color="000000"/>
            </w:tcBorders>
            <w:shd w:val="clear" w:color="auto" w:fill="FFFFFF"/>
            <w:tcMar>
              <w:top w:w="15" w:type="dxa"/>
              <w:left w:w="0" w:type="dxa"/>
              <w:bottom w:w="0" w:type="dxa"/>
              <w:right w:w="15" w:type="dxa"/>
            </w:tcMar>
            <w:vAlign w:val="bottom"/>
            <w:hideMark/>
          </w:tcPr>
          <w:p w14:paraId="5ECC332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D4400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72" w:type="dxa"/>
            <w:shd w:val="clear" w:color="auto" w:fill="FFFFFF"/>
            <w:noWrap/>
            <w:tcMar>
              <w:top w:w="15" w:type="dxa"/>
              <w:left w:w="0" w:type="dxa"/>
              <w:bottom w:w="0" w:type="dxa"/>
              <w:right w:w="15" w:type="dxa"/>
            </w:tcMar>
            <w:vAlign w:val="bottom"/>
            <w:hideMark/>
          </w:tcPr>
          <w:p w14:paraId="1BA84D7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962A557" w14:textId="77777777" w:rsidTr="00AC4931">
        <w:tc>
          <w:tcPr>
            <w:tcW w:w="9330" w:type="dxa"/>
            <w:shd w:val="clear" w:color="auto" w:fill="CFF0FC"/>
            <w:tcMar>
              <w:top w:w="15" w:type="dxa"/>
              <w:left w:w="0" w:type="dxa"/>
              <w:bottom w:w="0" w:type="dxa"/>
              <w:right w:w="15" w:type="dxa"/>
            </w:tcMar>
            <w:hideMark/>
          </w:tcPr>
          <w:p w14:paraId="6DD0905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Benefit obligation at beginning of year</w:t>
            </w:r>
          </w:p>
        </w:tc>
        <w:tc>
          <w:tcPr>
            <w:tcW w:w="211" w:type="dxa"/>
            <w:shd w:val="clear" w:color="auto" w:fill="CFF0FC"/>
            <w:tcMar>
              <w:top w:w="15" w:type="dxa"/>
              <w:left w:w="0" w:type="dxa"/>
              <w:bottom w:w="0" w:type="dxa"/>
              <w:right w:w="15" w:type="dxa"/>
            </w:tcMar>
            <w:vAlign w:val="bottom"/>
            <w:hideMark/>
          </w:tcPr>
          <w:p w14:paraId="753E90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7C3A8D8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6D54B78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400.1</w:t>
            </w:r>
          </w:p>
        </w:tc>
        <w:tc>
          <w:tcPr>
            <w:tcW w:w="170" w:type="dxa"/>
            <w:shd w:val="clear" w:color="auto" w:fill="CFF0FC"/>
            <w:noWrap/>
            <w:tcMar>
              <w:top w:w="15" w:type="dxa"/>
              <w:left w:w="0" w:type="dxa"/>
              <w:bottom w:w="0" w:type="dxa"/>
              <w:right w:w="15" w:type="dxa"/>
            </w:tcMar>
            <w:vAlign w:val="bottom"/>
            <w:hideMark/>
          </w:tcPr>
          <w:p w14:paraId="6611B27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4FF9A7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378C58A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1E32C29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332.1</w:t>
            </w:r>
          </w:p>
        </w:tc>
        <w:tc>
          <w:tcPr>
            <w:tcW w:w="170" w:type="dxa"/>
            <w:shd w:val="clear" w:color="auto" w:fill="CFF0FC"/>
            <w:noWrap/>
            <w:tcMar>
              <w:top w:w="15" w:type="dxa"/>
              <w:left w:w="0" w:type="dxa"/>
              <w:bottom w:w="0" w:type="dxa"/>
              <w:right w:w="15" w:type="dxa"/>
            </w:tcMar>
            <w:vAlign w:val="bottom"/>
            <w:hideMark/>
          </w:tcPr>
          <w:p w14:paraId="1C5FB0E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1E11B76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28B4BF9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39268B9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252.6</w:t>
            </w:r>
          </w:p>
        </w:tc>
        <w:tc>
          <w:tcPr>
            <w:tcW w:w="170" w:type="dxa"/>
            <w:shd w:val="clear" w:color="auto" w:fill="CFF0FC"/>
            <w:noWrap/>
            <w:tcMar>
              <w:top w:w="15" w:type="dxa"/>
              <w:left w:w="0" w:type="dxa"/>
              <w:bottom w:w="0" w:type="dxa"/>
              <w:right w:w="15" w:type="dxa"/>
            </w:tcMar>
            <w:vAlign w:val="bottom"/>
            <w:hideMark/>
          </w:tcPr>
          <w:p w14:paraId="16C5551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2B5DAF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442141D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4AE7DE9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216.9</w:t>
            </w:r>
          </w:p>
        </w:tc>
        <w:tc>
          <w:tcPr>
            <w:tcW w:w="172" w:type="dxa"/>
            <w:shd w:val="clear" w:color="auto" w:fill="CFF0FC"/>
            <w:noWrap/>
            <w:tcMar>
              <w:top w:w="15" w:type="dxa"/>
              <w:left w:w="0" w:type="dxa"/>
              <w:bottom w:w="0" w:type="dxa"/>
              <w:right w:w="15" w:type="dxa"/>
            </w:tcMar>
            <w:vAlign w:val="bottom"/>
            <w:hideMark/>
          </w:tcPr>
          <w:p w14:paraId="3C53795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FE6BD5E" w14:textId="77777777" w:rsidTr="00AC4931">
        <w:tc>
          <w:tcPr>
            <w:tcW w:w="9330" w:type="dxa"/>
            <w:shd w:val="clear" w:color="auto" w:fill="FFFFFF"/>
            <w:tcMar>
              <w:top w:w="15" w:type="dxa"/>
              <w:left w:w="0" w:type="dxa"/>
              <w:bottom w:w="0" w:type="dxa"/>
              <w:right w:w="15" w:type="dxa"/>
            </w:tcMar>
            <w:hideMark/>
          </w:tcPr>
          <w:p w14:paraId="086DF7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Service cost</w:t>
            </w:r>
          </w:p>
        </w:tc>
        <w:tc>
          <w:tcPr>
            <w:tcW w:w="211" w:type="dxa"/>
            <w:shd w:val="clear" w:color="auto" w:fill="FFFFFF"/>
            <w:tcMar>
              <w:top w:w="15" w:type="dxa"/>
              <w:left w:w="0" w:type="dxa"/>
              <w:bottom w:w="0" w:type="dxa"/>
              <w:right w:w="15" w:type="dxa"/>
            </w:tcMar>
            <w:vAlign w:val="bottom"/>
            <w:hideMark/>
          </w:tcPr>
          <w:p w14:paraId="7DB48E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12DCDB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3DDF204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7.5</w:t>
            </w:r>
          </w:p>
        </w:tc>
        <w:tc>
          <w:tcPr>
            <w:tcW w:w="170" w:type="dxa"/>
            <w:shd w:val="clear" w:color="auto" w:fill="FFFFFF"/>
            <w:noWrap/>
            <w:tcMar>
              <w:top w:w="15" w:type="dxa"/>
              <w:left w:w="0" w:type="dxa"/>
              <w:bottom w:w="0" w:type="dxa"/>
              <w:right w:w="15" w:type="dxa"/>
            </w:tcMar>
            <w:vAlign w:val="bottom"/>
            <w:hideMark/>
          </w:tcPr>
          <w:p w14:paraId="33E590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08D5B5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9AD0F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4F3C90B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6.9</w:t>
            </w:r>
          </w:p>
        </w:tc>
        <w:tc>
          <w:tcPr>
            <w:tcW w:w="170" w:type="dxa"/>
            <w:shd w:val="clear" w:color="auto" w:fill="FFFFFF"/>
            <w:noWrap/>
            <w:tcMar>
              <w:top w:w="15" w:type="dxa"/>
              <w:left w:w="0" w:type="dxa"/>
              <w:bottom w:w="0" w:type="dxa"/>
              <w:right w:w="15" w:type="dxa"/>
            </w:tcMar>
            <w:vAlign w:val="bottom"/>
            <w:hideMark/>
          </w:tcPr>
          <w:p w14:paraId="61897D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72B0A9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7E6BA9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034A9DF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12.2</w:t>
            </w:r>
          </w:p>
        </w:tc>
        <w:tc>
          <w:tcPr>
            <w:tcW w:w="170" w:type="dxa"/>
            <w:shd w:val="clear" w:color="auto" w:fill="FFFFFF"/>
            <w:noWrap/>
            <w:tcMar>
              <w:top w:w="15" w:type="dxa"/>
              <w:left w:w="0" w:type="dxa"/>
              <w:bottom w:w="0" w:type="dxa"/>
              <w:right w:w="15" w:type="dxa"/>
            </w:tcMar>
            <w:vAlign w:val="bottom"/>
            <w:hideMark/>
          </w:tcPr>
          <w:p w14:paraId="609A6F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1FAC0E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26B8F4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208B81F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10.7</w:t>
            </w:r>
          </w:p>
        </w:tc>
        <w:tc>
          <w:tcPr>
            <w:tcW w:w="172" w:type="dxa"/>
            <w:shd w:val="clear" w:color="auto" w:fill="FFFFFF"/>
            <w:noWrap/>
            <w:tcMar>
              <w:top w:w="15" w:type="dxa"/>
              <w:left w:w="0" w:type="dxa"/>
              <w:bottom w:w="0" w:type="dxa"/>
              <w:right w:w="15" w:type="dxa"/>
            </w:tcMar>
            <w:vAlign w:val="bottom"/>
            <w:hideMark/>
          </w:tcPr>
          <w:p w14:paraId="2304F2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F0ED651" w14:textId="77777777" w:rsidTr="00AC4931">
        <w:tc>
          <w:tcPr>
            <w:tcW w:w="9330" w:type="dxa"/>
            <w:shd w:val="clear" w:color="auto" w:fill="CFF0FC"/>
            <w:tcMar>
              <w:top w:w="15" w:type="dxa"/>
              <w:left w:w="0" w:type="dxa"/>
              <w:bottom w:w="0" w:type="dxa"/>
              <w:right w:w="15" w:type="dxa"/>
            </w:tcMar>
            <w:hideMark/>
          </w:tcPr>
          <w:p w14:paraId="21FB7C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Interest cost</w:t>
            </w:r>
          </w:p>
        </w:tc>
        <w:tc>
          <w:tcPr>
            <w:tcW w:w="211" w:type="dxa"/>
            <w:shd w:val="clear" w:color="auto" w:fill="CFF0FC"/>
            <w:tcMar>
              <w:top w:w="15" w:type="dxa"/>
              <w:left w:w="0" w:type="dxa"/>
              <w:bottom w:w="0" w:type="dxa"/>
              <w:right w:w="15" w:type="dxa"/>
            </w:tcMar>
            <w:vAlign w:val="bottom"/>
            <w:hideMark/>
          </w:tcPr>
          <w:p w14:paraId="47F304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50F057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2F5A648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12.2</w:t>
            </w:r>
          </w:p>
        </w:tc>
        <w:tc>
          <w:tcPr>
            <w:tcW w:w="170" w:type="dxa"/>
            <w:shd w:val="clear" w:color="auto" w:fill="CFF0FC"/>
            <w:noWrap/>
            <w:tcMar>
              <w:top w:w="15" w:type="dxa"/>
              <w:left w:w="0" w:type="dxa"/>
              <w:bottom w:w="0" w:type="dxa"/>
              <w:right w:w="15" w:type="dxa"/>
            </w:tcMar>
            <w:vAlign w:val="bottom"/>
            <w:hideMark/>
          </w:tcPr>
          <w:p w14:paraId="39CE84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42CC61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35BE0F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57537E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14.2</w:t>
            </w:r>
          </w:p>
        </w:tc>
        <w:tc>
          <w:tcPr>
            <w:tcW w:w="170" w:type="dxa"/>
            <w:shd w:val="clear" w:color="auto" w:fill="CFF0FC"/>
            <w:noWrap/>
            <w:tcMar>
              <w:top w:w="15" w:type="dxa"/>
              <w:left w:w="0" w:type="dxa"/>
              <w:bottom w:w="0" w:type="dxa"/>
              <w:right w:w="15" w:type="dxa"/>
            </w:tcMar>
            <w:vAlign w:val="bottom"/>
            <w:hideMark/>
          </w:tcPr>
          <w:p w14:paraId="393BD5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4774B9E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640DD0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00FD08F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5.8</w:t>
            </w:r>
          </w:p>
        </w:tc>
        <w:tc>
          <w:tcPr>
            <w:tcW w:w="170" w:type="dxa"/>
            <w:shd w:val="clear" w:color="auto" w:fill="CFF0FC"/>
            <w:noWrap/>
            <w:tcMar>
              <w:top w:w="15" w:type="dxa"/>
              <w:left w:w="0" w:type="dxa"/>
              <w:bottom w:w="0" w:type="dxa"/>
              <w:right w:w="15" w:type="dxa"/>
            </w:tcMar>
            <w:vAlign w:val="bottom"/>
            <w:hideMark/>
          </w:tcPr>
          <w:p w14:paraId="064CDF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4E3130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5018E3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65D657B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w:t>
            </w:r>
          </w:p>
        </w:tc>
        <w:tc>
          <w:tcPr>
            <w:tcW w:w="172" w:type="dxa"/>
            <w:shd w:val="clear" w:color="auto" w:fill="CFF0FC"/>
            <w:noWrap/>
            <w:tcMar>
              <w:top w:w="15" w:type="dxa"/>
              <w:left w:w="0" w:type="dxa"/>
              <w:bottom w:w="0" w:type="dxa"/>
              <w:right w:w="15" w:type="dxa"/>
            </w:tcMar>
            <w:vAlign w:val="bottom"/>
            <w:hideMark/>
          </w:tcPr>
          <w:p w14:paraId="6AF11D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5379FB6" w14:textId="77777777" w:rsidTr="00AC4931">
        <w:tc>
          <w:tcPr>
            <w:tcW w:w="9330" w:type="dxa"/>
            <w:shd w:val="clear" w:color="auto" w:fill="FFFFFF"/>
            <w:tcMar>
              <w:top w:w="15" w:type="dxa"/>
              <w:left w:w="0" w:type="dxa"/>
              <w:bottom w:w="0" w:type="dxa"/>
              <w:right w:w="15" w:type="dxa"/>
            </w:tcMar>
            <w:hideMark/>
          </w:tcPr>
          <w:p w14:paraId="3740C8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Actuarial (gain) loss due to:</w:t>
            </w:r>
          </w:p>
        </w:tc>
        <w:tc>
          <w:tcPr>
            <w:tcW w:w="211" w:type="dxa"/>
            <w:shd w:val="clear" w:color="auto" w:fill="FFFFFF"/>
            <w:tcMar>
              <w:top w:w="15" w:type="dxa"/>
              <w:left w:w="0" w:type="dxa"/>
              <w:bottom w:w="0" w:type="dxa"/>
              <w:right w:w="15" w:type="dxa"/>
            </w:tcMar>
            <w:vAlign w:val="bottom"/>
            <w:hideMark/>
          </w:tcPr>
          <w:p w14:paraId="4B5C9A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3A9A69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50D9C8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4DDB4C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7121C8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380E2D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12EFC2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130092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17F0BB6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951D9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23FF920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1E91B7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573FB3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41C984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6AF054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2" w:type="dxa"/>
            <w:shd w:val="clear" w:color="auto" w:fill="FFFFFF"/>
            <w:noWrap/>
            <w:tcMar>
              <w:top w:w="15" w:type="dxa"/>
              <w:left w:w="0" w:type="dxa"/>
              <w:bottom w:w="0" w:type="dxa"/>
              <w:right w:w="15" w:type="dxa"/>
            </w:tcMar>
            <w:vAlign w:val="bottom"/>
            <w:hideMark/>
          </w:tcPr>
          <w:p w14:paraId="20D422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EC742EE" w14:textId="77777777" w:rsidTr="00AC4931">
        <w:tc>
          <w:tcPr>
            <w:tcW w:w="9330" w:type="dxa"/>
            <w:shd w:val="clear" w:color="auto" w:fill="CFF0FC"/>
            <w:tcMar>
              <w:top w:w="15" w:type="dxa"/>
              <w:left w:w="0" w:type="dxa"/>
              <w:bottom w:w="0" w:type="dxa"/>
              <w:right w:w="15" w:type="dxa"/>
            </w:tcMar>
            <w:hideMark/>
          </w:tcPr>
          <w:p w14:paraId="41F6ACA2"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Change in discount rate</w:t>
            </w:r>
          </w:p>
        </w:tc>
        <w:tc>
          <w:tcPr>
            <w:tcW w:w="211" w:type="dxa"/>
            <w:shd w:val="clear" w:color="auto" w:fill="CFF0FC"/>
            <w:tcMar>
              <w:top w:w="15" w:type="dxa"/>
              <w:left w:w="0" w:type="dxa"/>
              <w:bottom w:w="0" w:type="dxa"/>
              <w:right w:w="15" w:type="dxa"/>
            </w:tcMar>
            <w:vAlign w:val="bottom"/>
            <w:hideMark/>
          </w:tcPr>
          <w:p w14:paraId="2F49A0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369CBD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361EEF6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46.4</w:t>
            </w:r>
          </w:p>
        </w:tc>
        <w:tc>
          <w:tcPr>
            <w:tcW w:w="170" w:type="dxa"/>
            <w:shd w:val="clear" w:color="auto" w:fill="CFF0FC"/>
            <w:noWrap/>
            <w:tcMar>
              <w:top w:w="15" w:type="dxa"/>
              <w:left w:w="0" w:type="dxa"/>
              <w:bottom w:w="0" w:type="dxa"/>
              <w:right w:w="15" w:type="dxa"/>
            </w:tcMar>
            <w:vAlign w:val="bottom"/>
            <w:hideMark/>
          </w:tcPr>
          <w:p w14:paraId="5BD23D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2B8282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48DB12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1755AD4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67.8</w:t>
            </w:r>
          </w:p>
        </w:tc>
        <w:tc>
          <w:tcPr>
            <w:tcW w:w="170" w:type="dxa"/>
            <w:shd w:val="clear" w:color="auto" w:fill="CFF0FC"/>
            <w:noWrap/>
            <w:tcMar>
              <w:top w:w="15" w:type="dxa"/>
              <w:left w:w="0" w:type="dxa"/>
              <w:bottom w:w="0" w:type="dxa"/>
              <w:right w:w="15" w:type="dxa"/>
            </w:tcMar>
            <w:vAlign w:val="bottom"/>
            <w:hideMark/>
          </w:tcPr>
          <w:p w14:paraId="4CE46D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723989A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2461DE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59AFF4B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12.9</w:t>
            </w:r>
          </w:p>
        </w:tc>
        <w:tc>
          <w:tcPr>
            <w:tcW w:w="170" w:type="dxa"/>
            <w:shd w:val="clear" w:color="auto" w:fill="CFF0FC"/>
            <w:noWrap/>
            <w:tcMar>
              <w:top w:w="15" w:type="dxa"/>
              <w:left w:w="0" w:type="dxa"/>
              <w:bottom w:w="0" w:type="dxa"/>
              <w:right w:w="15" w:type="dxa"/>
            </w:tcMar>
            <w:vAlign w:val="bottom"/>
            <w:hideMark/>
          </w:tcPr>
          <w:p w14:paraId="4E4CED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784B7D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031E7C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439FCD6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27.7</w:t>
            </w:r>
          </w:p>
        </w:tc>
        <w:tc>
          <w:tcPr>
            <w:tcW w:w="172" w:type="dxa"/>
            <w:shd w:val="clear" w:color="auto" w:fill="CFF0FC"/>
            <w:noWrap/>
            <w:tcMar>
              <w:top w:w="15" w:type="dxa"/>
              <w:left w:w="0" w:type="dxa"/>
              <w:bottom w:w="0" w:type="dxa"/>
              <w:right w:w="15" w:type="dxa"/>
            </w:tcMar>
            <w:vAlign w:val="bottom"/>
            <w:hideMark/>
          </w:tcPr>
          <w:p w14:paraId="6496F8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D892A88" w14:textId="77777777" w:rsidTr="00AC4931">
        <w:tc>
          <w:tcPr>
            <w:tcW w:w="9330" w:type="dxa"/>
            <w:shd w:val="clear" w:color="auto" w:fill="FFFFFF"/>
            <w:tcMar>
              <w:top w:w="15" w:type="dxa"/>
              <w:left w:w="0" w:type="dxa"/>
              <w:bottom w:w="0" w:type="dxa"/>
              <w:right w:w="15" w:type="dxa"/>
            </w:tcMar>
            <w:hideMark/>
          </w:tcPr>
          <w:p w14:paraId="0D5F5970"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Experience</w:t>
            </w:r>
          </w:p>
        </w:tc>
        <w:tc>
          <w:tcPr>
            <w:tcW w:w="211" w:type="dxa"/>
            <w:shd w:val="clear" w:color="auto" w:fill="FFFFFF"/>
            <w:tcMar>
              <w:top w:w="15" w:type="dxa"/>
              <w:left w:w="0" w:type="dxa"/>
              <w:bottom w:w="0" w:type="dxa"/>
              <w:right w:w="15" w:type="dxa"/>
            </w:tcMar>
            <w:vAlign w:val="bottom"/>
            <w:hideMark/>
          </w:tcPr>
          <w:p w14:paraId="1DF6E1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232D0E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1283B75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(5.0</w:t>
            </w:r>
          </w:p>
        </w:tc>
        <w:tc>
          <w:tcPr>
            <w:tcW w:w="170" w:type="dxa"/>
            <w:shd w:val="clear" w:color="auto" w:fill="FFFFFF"/>
            <w:noWrap/>
            <w:tcMar>
              <w:top w:w="15" w:type="dxa"/>
              <w:left w:w="0" w:type="dxa"/>
              <w:bottom w:w="0" w:type="dxa"/>
              <w:right w:w="15" w:type="dxa"/>
            </w:tcMar>
            <w:vAlign w:val="bottom"/>
            <w:hideMark/>
          </w:tcPr>
          <w:p w14:paraId="621D7D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2051D8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7EE4A1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241EF68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w:t>
            </w:r>
          </w:p>
        </w:tc>
        <w:tc>
          <w:tcPr>
            <w:tcW w:w="170" w:type="dxa"/>
            <w:shd w:val="clear" w:color="auto" w:fill="FFFFFF"/>
            <w:noWrap/>
            <w:tcMar>
              <w:top w:w="15" w:type="dxa"/>
              <w:left w:w="0" w:type="dxa"/>
              <w:bottom w:w="0" w:type="dxa"/>
              <w:right w:w="15" w:type="dxa"/>
            </w:tcMar>
            <w:vAlign w:val="bottom"/>
            <w:hideMark/>
          </w:tcPr>
          <w:p w14:paraId="52E586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4A5EBE5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2FBA20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1279B36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70" w:type="dxa"/>
            <w:shd w:val="clear" w:color="auto" w:fill="FFFFFF"/>
            <w:noWrap/>
            <w:tcMar>
              <w:top w:w="15" w:type="dxa"/>
              <w:left w:w="0" w:type="dxa"/>
              <w:bottom w:w="0" w:type="dxa"/>
              <w:right w:w="15" w:type="dxa"/>
            </w:tcMar>
            <w:vAlign w:val="bottom"/>
            <w:hideMark/>
          </w:tcPr>
          <w:p w14:paraId="61E397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733D04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6DB18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1E38695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w:t>
            </w:r>
          </w:p>
        </w:tc>
        <w:tc>
          <w:tcPr>
            <w:tcW w:w="172" w:type="dxa"/>
            <w:shd w:val="clear" w:color="auto" w:fill="FFFFFF"/>
            <w:noWrap/>
            <w:tcMar>
              <w:top w:w="15" w:type="dxa"/>
              <w:left w:w="0" w:type="dxa"/>
              <w:bottom w:w="0" w:type="dxa"/>
              <w:right w:w="15" w:type="dxa"/>
            </w:tcMar>
            <w:vAlign w:val="bottom"/>
            <w:hideMark/>
          </w:tcPr>
          <w:p w14:paraId="752E55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06A7F4C" w14:textId="77777777" w:rsidTr="00AC4931">
        <w:tc>
          <w:tcPr>
            <w:tcW w:w="9330" w:type="dxa"/>
            <w:shd w:val="clear" w:color="auto" w:fill="CFF0FC"/>
            <w:tcMar>
              <w:top w:w="15" w:type="dxa"/>
              <w:left w:w="0" w:type="dxa"/>
              <w:bottom w:w="0" w:type="dxa"/>
              <w:right w:w="15" w:type="dxa"/>
            </w:tcMar>
            <w:hideMark/>
          </w:tcPr>
          <w:p w14:paraId="62315262"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assumption changes</w:t>
            </w:r>
          </w:p>
        </w:tc>
        <w:tc>
          <w:tcPr>
            <w:tcW w:w="211" w:type="dxa"/>
            <w:shd w:val="clear" w:color="auto" w:fill="CFF0FC"/>
            <w:tcMar>
              <w:top w:w="15" w:type="dxa"/>
              <w:left w:w="0" w:type="dxa"/>
              <w:bottom w:w="0" w:type="dxa"/>
              <w:right w:w="15" w:type="dxa"/>
            </w:tcMar>
            <w:vAlign w:val="bottom"/>
            <w:hideMark/>
          </w:tcPr>
          <w:p w14:paraId="193275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3FD3CC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3B67B1D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w:t>
            </w:r>
          </w:p>
        </w:tc>
        <w:tc>
          <w:tcPr>
            <w:tcW w:w="170" w:type="dxa"/>
            <w:shd w:val="clear" w:color="auto" w:fill="CFF0FC"/>
            <w:noWrap/>
            <w:tcMar>
              <w:top w:w="15" w:type="dxa"/>
              <w:left w:w="0" w:type="dxa"/>
              <w:bottom w:w="0" w:type="dxa"/>
              <w:right w:w="15" w:type="dxa"/>
            </w:tcMar>
            <w:vAlign w:val="bottom"/>
            <w:hideMark/>
          </w:tcPr>
          <w:p w14:paraId="141EB1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787BAD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3BC91B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2D1F84A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w:t>
            </w:r>
          </w:p>
        </w:tc>
        <w:tc>
          <w:tcPr>
            <w:tcW w:w="170" w:type="dxa"/>
            <w:shd w:val="clear" w:color="auto" w:fill="CFF0FC"/>
            <w:noWrap/>
            <w:tcMar>
              <w:top w:w="15" w:type="dxa"/>
              <w:left w:w="0" w:type="dxa"/>
              <w:bottom w:w="0" w:type="dxa"/>
              <w:right w:w="15" w:type="dxa"/>
            </w:tcMar>
            <w:vAlign w:val="bottom"/>
            <w:hideMark/>
          </w:tcPr>
          <w:p w14:paraId="2D301C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CFF0FC"/>
            <w:tcMar>
              <w:top w:w="15" w:type="dxa"/>
              <w:left w:w="0" w:type="dxa"/>
              <w:bottom w:w="0" w:type="dxa"/>
              <w:right w:w="15" w:type="dxa"/>
            </w:tcMar>
            <w:vAlign w:val="bottom"/>
            <w:hideMark/>
          </w:tcPr>
          <w:p w14:paraId="29C46E6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6FCBE7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7C77D05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(11.2</w:t>
            </w:r>
          </w:p>
        </w:tc>
        <w:tc>
          <w:tcPr>
            <w:tcW w:w="170" w:type="dxa"/>
            <w:shd w:val="clear" w:color="auto" w:fill="CFF0FC"/>
            <w:noWrap/>
            <w:tcMar>
              <w:top w:w="15" w:type="dxa"/>
              <w:left w:w="0" w:type="dxa"/>
              <w:bottom w:w="0" w:type="dxa"/>
              <w:right w:w="15" w:type="dxa"/>
            </w:tcMar>
            <w:vAlign w:val="bottom"/>
            <w:hideMark/>
          </w:tcPr>
          <w:p w14:paraId="1B80C0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CFF0FC"/>
            <w:tcMar>
              <w:top w:w="15" w:type="dxa"/>
              <w:left w:w="0" w:type="dxa"/>
              <w:bottom w:w="0" w:type="dxa"/>
              <w:right w:w="15" w:type="dxa"/>
            </w:tcMar>
            <w:vAlign w:val="bottom"/>
            <w:hideMark/>
          </w:tcPr>
          <w:p w14:paraId="355369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5C15F7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51C525F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w:t>
            </w:r>
          </w:p>
        </w:tc>
        <w:tc>
          <w:tcPr>
            <w:tcW w:w="172" w:type="dxa"/>
            <w:shd w:val="clear" w:color="auto" w:fill="CFF0FC"/>
            <w:noWrap/>
            <w:tcMar>
              <w:top w:w="15" w:type="dxa"/>
              <w:left w:w="0" w:type="dxa"/>
              <w:bottom w:w="0" w:type="dxa"/>
              <w:right w:w="15" w:type="dxa"/>
            </w:tcMar>
            <w:vAlign w:val="bottom"/>
            <w:hideMark/>
          </w:tcPr>
          <w:p w14:paraId="134D88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6A41812" w14:textId="77777777" w:rsidTr="00AC4931">
        <w:tc>
          <w:tcPr>
            <w:tcW w:w="9330" w:type="dxa"/>
            <w:shd w:val="clear" w:color="auto" w:fill="FFFFFF"/>
            <w:tcMar>
              <w:top w:w="15" w:type="dxa"/>
              <w:left w:w="0" w:type="dxa"/>
              <w:bottom w:w="0" w:type="dxa"/>
              <w:right w:w="15" w:type="dxa"/>
            </w:tcMar>
            <w:hideMark/>
          </w:tcPr>
          <w:p w14:paraId="30A24F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Benefits paid</w:t>
            </w:r>
          </w:p>
        </w:tc>
        <w:tc>
          <w:tcPr>
            <w:tcW w:w="211" w:type="dxa"/>
            <w:shd w:val="clear" w:color="auto" w:fill="FFFFFF"/>
            <w:tcMar>
              <w:top w:w="15" w:type="dxa"/>
              <w:left w:w="0" w:type="dxa"/>
              <w:bottom w:w="0" w:type="dxa"/>
              <w:right w:w="15" w:type="dxa"/>
            </w:tcMar>
            <w:vAlign w:val="bottom"/>
            <w:hideMark/>
          </w:tcPr>
          <w:p w14:paraId="5DC2EB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19CAA1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0D9F970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w:t>
            </w:r>
          </w:p>
        </w:tc>
        <w:tc>
          <w:tcPr>
            <w:tcW w:w="170" w:type="dxa"/>
            <w:shd w:val="clear" w:color="auto" w:fill="FFFFFF"/>
            <w:noWrap/>
            <w:tcMar>
              <w:top w:w="15" w:type="dxa"/>
              <w:left w:w="0" w:type="dxa"/>
              <w:bottom w:w="0" w:type="dxa"/>
              <w:right w:w="15" w:type="dxa"/>
            </w:tcMar>
            <w:vAlign w:val="bottom"/>
            <w:hideMark/>
          </w:tcPr>
          <w:p w14:paraId="3E70FB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0F6754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A117F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5C608A9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(23.5</w:t>
            </w:r>
          </w:p>
        </w:tc>
        <w:tc>
          <w:tcPr>
            <w:tcW w:w="170" w:type="dxa"/>
            <w:shd w:val="clear" w:color="auto" w:fill="FFFFFF"/>
            <w:noWrap/>
            <w:tcMar>
              <w:top w:w="15" w:type="dxa"/>
              <w:left w:w="0" w:type="dxa"/>
              <w:bottom w:w="0" w:type="dxa"/>
              <w:right w:w="15" w:type="dxa"/>
            </w:tcMar>
            <w:vAlign w:val="bottom"/>
            <w:hideMark/>
          </w:tcPr>
          <w:p w14:paraId="7EB219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1187330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ABCB2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041EDC8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(9.0</w:t>
            </w:r>
          </w:p>
        </w:tc>
        <w:tc>
          <w:tcPr>
            <w:tcW w:w="170" w:type="dxa"/>
            <w:shd w:val="clear" w:color="auto" w:fill="FFFFFF"/>
            <w:noWrap/>
            <w:tcMar>
              <w:top w:w="15" w:type="dxa"/>
              <w:left w:w="0" w:type="dxa"/>
              <w:bottom w:w="0" w:type="dxa"/>
              <w:right w:w="15" w:type="dxa"/>
            </w:tcMar>
            <w:vAlign w:val="bottom"/>
            <w:hideMark/>
          </w:tcPr>
          <w:p w14:paraId="2F0001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2E3E35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238C8E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6236E5E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(8.4</w:t>
            </w:r>
          </w:p>
        </w:tc>
        <w:tc>
          <w:tcPr>
            <w:tcW w:w="172" w:type="dxa"/>
            <w:shd w:val="clear" w:color="auto" w:fill="FFFFFF"/>
            <w:noWrap/>
            <w:tcMar>
              <w:top w:w="15" w:type="dxa"/>
              <w:left w:w="0" w:type="dxa"/>
              <w:bottom w:w="0" w:type="dxa"/>
              <w:right w:w="15" w:type="dxa"/>
            </w:tcMar>
            <w:vAlign w:val="bottom"/>
            <w:hideMark/>
          </w:tcPr>
          <w:p w14:paraId="6F1DD5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5626629" w14:textId="77777777" w:rsidTr="00AC4931">
        <w:tc>
          <w:tcPr>
            <w:tcW w:w="9330" w:type="dxa"/>
            <w:shd w:val="clear" w:color="auto" w:fill="CFF0FC"/>
            <w:tcMar>
              <w:top w:w="15" w:type="dxa"/>
              <w:left w:w="0" w:type="dxa"/>
              <w:bottom w:w="0" w:type="dxa"/>
              <w:right w:w="15" w:type="dxa"/>
            </w:tcMar>
            <w:hideMark/>
          </w:tcPr>
          <w:p w14:paraId="403C4E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Plan settlements</w:t>
            </w:r>
          </w:p>
        </w:tc>
        <w:tc>
          <w:tcPr>
            <w:tcW w:w="211" w:type="dxa"/>
            <w:shd w:val="clear" w:color="auto" w:fill="CFF0FC"/>
            <w:tcMar>
              <w:top w:w="15" w:type="dxa"/>
              <w:left w:w="0" w:type="dxa"/>
              <w:bottom w:w="0" w:type="dxa"/>
              <w:right w:w="15" w:type="dxa"/>
            </w:tcMar>
            <w:vAlign w:val="bottom"/>
            <w:hideMark/>
          </w:tcPr>
          <w:p w14:paraId="64AA7C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7B82C2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627535E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(34.4</w:t>
            </w:r>
          </w:p>
        </w:tc>
        <w:tc>
          <w:tcPr>
            <w:tcW w:w="170" w:type="dxa"/>
            <w:shd w:val="clear" w:color="auto" w:fill="CFF0FC"/>
            <w:noWrap/>
            <w:tcMar>
              <w:top w:w="15" w:type="dxa"/>
              <w:left w:w="0" w:type="dxa"/>
              <w:bottom w:w="0" w:type="dxa"/>
              <w:right w:w="15" w:type="dxa"/>
            </w:tcMar>
            <w:vAlign w:val="bottom"/>
            <w:hideMark/>
          </w:tcPr>
          <w:p w14:paraId="45A0F0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CFF0FC"/>
            <w:tcMar>
              <w:top w:w="15" w:type="dxa"/>
              <w:left w:w="0" w:type="dxa"/>
              <w:bottom w:w="0" w:type="dxa"/>
              <w:right w:w="15" w:type="dxa"/>
            </w:tcMar>
            <w:vAlign w:val="bottom"/>
            <w:hideMark/>
          </w:tcPr>
          <w:p w14:paraId="4A3915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0B029B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7E0E499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CFF0FC"/>
            <w:noWrap/>
            <w:tcMar>
              <w:top w:w="15" w:type="dxa"/>
              <w:left w:w="0" w:type="dxa"/>
              <w:bottom w:w="0" w:type="dxa"/>
              <w:right w:w="15" w:type="dxa"/>
            </w:tcMar>
            <w:vAlign w:val="bottom"/>
            <w:hideMark/>
          </w:tcPr>
          <w:p w14:paraId="052A49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424422A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4AF2F6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65E1BAA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w:t>
            </w:r>
          </w:p>
        </w:tc>
        <w:tc>
          <w:tcPr>
            <w:tcW w:w="170" w:type="dxa"/>
            <w:shd w:val="clear" w:color="auto" w:fill="CFF0FC"/>
            <w:noWrap/>
            <w:tcMar>
              <w:top w:w="15" w:type="dxa"/>
              <w:left w:w="0" w:type="dxa"/>
              <w:bottom w:w="0" w:type="dxa"/>
              <w:right w:w="15" w:type="dxa"/>
            </w:tcMar>
            <w:vAlign w:val="bottom"/>
            <w:hideMark/>
          </w:tcPr>
          <w:p w14:paraId="1FC372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CFF0FC"/>
            <w:tcMar>
              <w:top w:w="15" w:type="dxa"/>
              <w:left w:w="0" w:type="dxa"/>
              <w:bottom w:w="0" w:type="dxa"/>
              <w:right w:w="15" w:type="dxa"/>
            </w:tcMar>
            <w:vAlign w:val="bottom"/>
            <w:hideMark/>
          </w:tcPr>
          <w:p w14:paraId="28195C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6FFD7A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6A60CDC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w:t>
            </w:r>
          </w:p>
        </w:tc>
        <w:tc>
          <w:tcPr>
            <w:tcW w:w="172" w:type="dxa"/>
            <w:shd w:val="clear" w:color="auto" w:fill="CFF0FC"/>
            <w:noWrap/>
            <w:tcMar>
              <w:top w:w="15" w:type="dxa"/>
              <w:left w:w="0" w:type="dxa"/>
              <w:bottom w:w="0" w:type="dxa"/>
              <w:right w:w="15" w:type="dxa"/>
            </w:tcMar>
            <w:vAlign w:val="bottom"/>
            <w:hideMark/>
          </w:tcPr>
          <w:p w14:paraId="1EC422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07F0BF6C" w14:textId="77777777" w:rsidTr="00AC4931">
        <w:tc>
          <w:tcPr>
            <w:tcW w:w="9330" w:type="dxa"/>
            <w:shd w:val="clear" w:color="auto" w:fill="FFFFFF"/>
            <w:tcMar>
              <w:top w:w="15" w:type="dxa"/>
              <w:left w:w="0" w:type="dxa"/>
              <w:bottom w:w="0" w:type="dxa"/>
              <w:right w:w="15" w:type="dxa"/>
            </w:tcMar>
            <w:hideMark/>
          </w:tcPr>
          <w:p w14:paraId="0AF611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Special termination benefits</w:t>
            </w:r>
          </w:p>
        </w:tc>
        <w:tc>
          <w:tcPr>
            <w:tcW w:w="211" w:type="dxa"/>
            <w:shd w:val="clear" w:color="auto" w:fill="FFFFFF"/>
            <w:tcMar>
              <w:top w:w="15" w:type="dxa"/>
              <w:left w:w="0" w:type="dxa"/>
              <w:bottom w:w="0" w:type="dxa"/>
              <w:right w:w="15" w:type="dxa"/>
            </w:tcMar>
            <w:vAlign w:val="bottom"/>
            <w:hideMark/>
          </w:tcPr>
          <w:p w14:paraId="1CFFD2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1D3029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5BC5277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FFFFFF"/>
            <w:noWrap/>
            <w:tcMar>
              <w:top w:w="15" w:type="dxa"/>
              <w:left w:w="0" w:type="dxa"/>
              <w:bottom w:w="0" w:type="dxa"/>
              <w:right w:w="15" w:type="dxa"/>
            </w:tcMar>
            <w:vAlign w:val="bottom"/>
            <w:hideMark/>
          </w:tcPr>
          <w:p w14:paraId="3586D2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103F7D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6EBC0F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3FB9C43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FFFFFF"/>
            <w:noWrap/>
            <w:tcMar>
              <w:top w:w="15" w:type="dxa"/>
              <w:left w:w="0" w:type="dxa"/>
              <w:bottom w:w="0" w:type="dxa"/>
              <w:right w:w="15" w:type="dxa"/>
            </w:tcMar>
            <w:vAlign w:val="bottom"/>
            <w:hideMark/>
          </w:tcPr>
          <w:p w14:paraId="54A942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7C6A18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D4DD4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7DD6EDA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70" w:type="dxa"/>
            <w:shd w:val="clear" w:color="auto" w:fill="FFFFFF"/>
            <w:noWrap/>
            <w:tcMar>
              <w:top w:w="15" w:type="dxa"/>
              <w:left w:w="0" w:type="dxa"/>
              <w:bottom w:w="0" w:type="dxa"/>
              <w:right w:w="15" w:type="dxa"/>
            </w:tcMar>
            <w:vAlign w:val="bottom"/>
            <w:hideMark/>
          </w:tcPr>
          <w:p w14:paraId="396741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493F5F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1F4F4C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4042488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w:t>
            </w:r>
          </w:p>
        </w:tc>
        <w:tc>
          <w:tcPr>
            <w:tcW w:w="172" w:type="dxa"/>
            <w:shd w:val="clear" w:color="auto" w:fill="FFFFFF"/>
            <w:noWrap/>
            <w:tcMar>
              <w:top w:w="15" w:type="dxa"/>
              <w:left w:w="0" w:type="dxa"/>
              <w:bottom w:w="0" w:type="dxa"/>
              <w:right w:w="15" w:type="dxa"/>
            </w:tcMar>
            <w:vAlign w:val="bottom"/>
            <w:hideMark/>
          </w:tcPr>
          <w:p w14:paraId="49E597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34B7627" w14:textId="77777777" w:rsidTr="00AC4931">
        <w:tc>
          <w:tcPr>
            <w:tcW w:w="9330" w:type="dxa"/>
            <w:shd w:val="clear" w:color="auto" w:fill="CFF0FC"/>
            <w:tcMar>
              <w:top w:w="15" w:type="dxa"/>
              <w:left w:w="0" w:type="dxa"/>
              <w:bottom w:w="0" w:type="dxa"/>
              <w:right w:w="15" w:type="dxa"/>
            </w:tcMar>
            <w:hideMark/>
          </w:tcPr>
          <w:p w14:paraId="39EC4A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w:t>
            </w:r>
          </w:p>
        </w:tc>
        <w:tc>
          <w:tcPr>
            <w:tcW w:w="211" w:type="dxa"/>
            <w:shd w:val="clear" w:color="auto" w:fill="CFF0FC"/>
            <w:tcMar>
              <w:top w:w="15" w:type="dxa"/>
              <w:left w:w="0" w:type="dxa"/>
              <w:bottom w:w="0" w:type="dxa"/>
              <w:right w:w="15" w:type="dxa"/>
            </w:tcMar>
            <w:vAlign w:val="bottom"/>
            <w:hideMark/>
          </w:tcPr>
          <w:p w14:paraId="38E4C1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3AD30E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4DD9441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CFF0FC"/>
            <w:noWrap/>
            <w:tcMar>
              <w:top w:w="15" w:type="dxa"/>
              <w:left w:w="0" w:type="dxa"/>
              <w:bottom w:w="0" w:type="dxa"/>
              <w:right w:w="15" w:type="dxa"/>
            </w:tcMar>
            <w:vAlign w:val="bottom"/>
            <w:hideMark/>
          </w:tcPr>
          <w:p w14:paraId="231715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478F91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69E000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5171E9C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CFF0FC"/>
            <w:noWrap/>
            <w:tcMar>
              <w:top w:w="15" w:type="dxa"/>
              <w:left w:w="0" w:type="dxa"/>
              <w:bottom w:w="0" w:type="dxa"/>
              <w:right w:w="15" w:type="dxa"/>
            </w:tcMar>
            <w:vAlign w:val="bottom"/>
            <w:hideMark/>
          </w:tcPr>
          <w:p w14:paraId="1A2321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50DA8E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6B9D27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070E866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w:t>
            </w:r>
          </w:p>
        </w:tc>
        <w:tc>
          <w:tcPr>
            <w:tcW w:w="170" w:type="dxa"/>
            <w:shd w:val="clear" w:color="auto" w:fill="CFF0FC"/>
            <w:noWrap/>
            <w:tcMar>
              <w:top w:w="15" w:type="dxa"/>
              <w:left w:w="0" w:type="dxa"/>
              <w:bottom w:w="0" w:type="dxa"/>
              <w:right w:w="15" w:type="dxa"/>
            </w:tcMar>
            <w:vAlign w:val="bottom"/>
            <w:hideMark/>
          </w:tcPr>
          <w:p w14:paraId="5345E2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3B1F4D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3AF0EC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47BE341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w:t>
            </w:r>
          </w:p>
        </w:tc>
        <w:tc>
          <w:tcPr>
            <w:tcW w:w="172" w:type="dxa"/>
            <w:shd w:val="clear" w:color="auto" w:fill="CFF0FC"/>
            <w:noWrap/>
            <w:tcMar>
              <w:top w:w="15" w:type="dxa"/>
              <w:left w:w="0" w:type="dxa"/>
              <w:bottom w:w="0" w:type="dxa"/>
              <w:right w:w="15" w:type="dxa"/>
            </w:tcMar>
            <w:vAlign w:val="bottom"/>
            <w:hideMark/>
          </w:tcPr>
          <w:p w14:paraId="66E110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0B5A5DF" w14:textId="77777777" w:rsidTr="00AC4931">
        <w:tc>
          <w:tcPr>
            <w:tcW w:w="9330" w:type="dxa"/>
            <w:shd w:val="clear" w:color="auto" w:fill="FFFFFF"/>
            <w:tcMar>
              <w:top w:w="15" w:type="dxa"/>
              <w:left w:w="0" w:type="dxa"/>
              <w:bottom w:w="0" w:type="dxa"/>
              <w:right w:w="15" w:type="dxa"/>
            </w:tcMar>
            <w:hideMark/>
          </w:tcPr>
          <w:p w14:paraId="610094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Translation difference</w:t>
            </w:r>
          </w:p>
        </w:tc>
        <w:tc>
          <w:tcPr>
            <w:tcW w:w="211" w:type="dxa"/>
            <w:shd w:val="clear" w:color="auto" w:fill="FFFFFF"/>
            <w:tcMar>
              <w:top w:w="15" w:type="dxa"/>
              <w:left w:w="0" w:type="dxa"/>
              <w:bottom w:w="0" w:type="dxa"/>
              <w:right w:w="15" w:type="dxa"/>
            </w:tcMar>
            <w:vAlign w:val="bottom"/>
            <w:hideMark/>
          </w:tcPr>
          <w:p w14:paraId="6E3CA7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27EF6E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277086A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FFFFFF"/>
            <w:noWrap/>
            <w:tcMar>
              <w:top w:w="15" w:type="dxa"/>
              <w:left w:w="0" w:type="dxa"/>
              <w:bottom w:w="0" w:type="dxa"/>
              <w:right w:w="15" w:type="dxa"/>
            </w:tcMar>
            <w:vAlign w:val="bottom"/>
            <w:hideMark/>
          </w:tcPr>
          <w:p w14:paraId="22EAFC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2BD745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7C9990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2A5BEC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FFFFFF"/>
            <w:noWrap/>
            <w:tcMar>
              <w:top w:w="15" w:type="dxa"/>
              <w:left w:w="0" w:type="dxa"/>
              <w:bottom w:w="0" w:type="dxa"/>
              <w:right w:w="15" w:type="dxa"/>
            </w:tcMar>
            <w:vAlign w:val="bottom"/>
            <w:hideMark/>
          </w:tcPr>
          <w:p w14:paraId="2397C1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0FF0975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1BEB1E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260986C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14.9</w:t>
            </w:r>
          </w:p>
        </w:tc>
        <w:tc>
          <w:tcPr>
            <w:tcW w:w="170" w:type="dxa"/>
            <w:shd w:val="clear" w:color="auto" w:fill="FFFFFF"/>
            <w:noWrap/>
            <w:tcMar>
              <w:top w:w="15" w:type="dxa"/>
              <w:left w:w="0" w:type="dxa"/>
              <w:bottom w:w="0" w:type="dxa"/>
              <w:right w:w="15" w:type="dxa"/>
            </w:tcMar>
            <w:vAlign w:val="bottom"/>
            <w:hideMark/>
          </w:tcPr>
          <w:p w14:paraId="56842D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27DCE8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60D38C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2EBA163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72" w:type="dxa"/>
            <w:shd w:val="clear" w:color="auto" w:fill="FFFFFF"/>
            <w:noWrap/>
            <w:tcMar>
              <w:top w:w="15" w:type="dxa"/>
              <w:left w:w="0" w:type="dxa"/>
              <w:bottom w:w="0" w:type="dxa"/>
              <w:right w:w="15" w:type="dxa"/>
            </w:tcMar>
            <w:vAlign w:val="bottom"/>
            <w:hideMark/>
          </w:tcPr>
          <w:p w14:paraId="33F388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EECF53B" w14:textId="77777777" w:rsidTr="00AC4931">
        <w:tc>
          <w:tcPr>
            <w:tcW w:w="9330" w:type="dxa"/>
            <w:shd w:val="clear" w:color="auto" w:fill="CFF0FC"/>
            <w:tcMar>
              <w:top w:w="15" w:type="dxa"/>
              <w:left w:w="0" w:type="dxa"/>
              <w:bottom w:w="0" w:type="dxa"/>
              <w:right w:w="15" w:type="dxa"/>
            </w:tcMar>
            <w:hideMark/>
          </w:tcPr>
          <w:p w14:paraId="73A91A2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Benefit obligation at end of year</w:t>
            </w:r>
          </w:p>
        </w:tc>
        <w:tc>
          <w:tcPr>
            <w:tcW w:w="211" w:type="dxa"/>
            <w:shd w:val="clear" w:color="auto" w:fill="CFF0FC"/>
            <w:tcMar>
              <w:top w:w="15" w:type="dxa"/>
              <w:left w:w="0" w:type="dxa"/>
              <w:bottom w:w="0" w:type="dxa"/>
              <w:right w:w="15" w:type="dxa"/>
            </w:tcMar>
            <w:vAlign w:val="bottom"/>
            <w:hideMark/>
          </w:tcPr>
          <w:p w14:paraId="395C2D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2052BB7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20EFADD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426.2</w:t>
            </w:r>
          </w:p>
        </w:tc>
        <w:tc>
          <w:tcPr>
            <w:tcW w:w="170" w:type="dxa"/>
            <w:shd w:val="clear" w:color="auto" w:fill="CFF0FC"/>
            <w:noWrap/>
            <w:tcMar>
              <w:top w:w="15" w:type="dxa"/>
              <w:left w:w="0" w:type="dxa"/>
              <w:bottom w:w="0" w:type="dxa"/>
              <w:right w:w="15" w:type="dxa"/>
            </w:tcMar>
            <w:vAlign w:val="bottom"/>
            <w:hideMark/>
          </w:tcPr>
          <w:p w14:paraId="25ECB52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04EE34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415EB16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68C7F0B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400.1</w:t>
            </w:r>
          </w:p>
        </w:tc>
        <w:tc>
          <w:tcPr>
            <w:tcW w:w="170" w:type="dxa"/>
            <w:shd w:val="clear" w:color="auto" w:fill="CFF0FC"/>
            <w:noWrap/>
            <w:tcMar>
              <w:top w:w="15" w:type="dxa"/>
              <w:left w:w="0" w:type="dxa"/>
              <w:bottom w:w="0" w:type="dxa"/>
              <w:right w:w="15" w:type="dxa"/>
            </w:tcMar>
            <w:vAlign w:val="bottom"/>
            <w:hideMark/>
          </w:tcPr>
          <w:p w14:paraId="596B715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09E7883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1261AAF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47E9227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279.4</w:t>
            </w:r>
          </w:p>
        </w:tc>
        <w:tc>
          <w:tcPr>
            <w:tcW w:w="170" w:type="dxa"/>
            <w:shd w:val="clear" w:color="auto" w:fill="CFF0FC"/>
            <w:noWrap/>
            <w:tcMar>
              <w:top w:w="15" w:type="dxa"/>
              <w:left w:w="0" w:type="dxa"/>
              <w:bottom w:w="0" w:type="dxa"/>
              <w:right w:w="15" w:type="dxa"/>
            </w:tcMar>
            <w:vAlign w:val="bottom"/>
            <w:hideMark/>
          </w:tcPr>
          <w:p w14:paraId="55DC33C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7BBB3F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597FBBA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14500C9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252.6</w:t>
            </w:r>
          </w:p>
        </w:tc>
        <w:tc>
          <w:tcPr>
            <w:tcW w:w="172" w:type="dxa"/>
            <w:shd w:val="clear" w:color="auto" w:fill="CFF0FC"/>
            <w:noWrap/>
            <w:tcMar>
              <w:top w:w="15" w:type="dxa"/>
              <w:left w:w="0" w:type="dxa"/>
              <w:bottom w:w="0" w:type="dxa"/>
              <w:right w:w="15" w:type="dxa"/>
            </w:tcMar>
            <w:vAlign w:val="bottom"/>
            <w:hideMark/>
          </w:tcPr>
          <w:p w14:paraId="5E005C9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C6731BA" w14:textId="77777777" w:rsidTr="00AC4931">
        <w:tc>
          <w:tcPr>
            <w:tcW w:w="9330" w:type="dxa"/>
            <w:shd w:val="clear" w:color="auto" w:fill="FFFFFF"/>
            <w:tcMar>
              <w:top w:w="15" w:type="dxa"/>
              <w:left w:w="0" w:type="dxa"/>
              <w:bottom w:w="0" w:type="dxa"/>
              <w:right w:w="15" w:type="dxa"/>
            </w:tcMar>
            <w:hideMark/>
          </w:tcPr>
          <w:p w14:paraId="7388B33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5E5157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7193947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45B4597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32D95DA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57EBDD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E9EBE3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7AF5127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26D20CB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633E85D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70A1A69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04815AC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71856A3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264901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59C38C5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3DEC97C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2" w:type="dxa"/>
            <w:shd w:val="clear" w:color="auto" w:fill="FFFFFF"/>
            <w:noWrap/>
            <w:tcMar>
              <w:top w:w="15" w:type="dxa"/>
              <w:left w:w="0" w:type="dxa"/>
              <w:bottom w:w="0" w:type="dxa"/>
              <w:right w:w="15" w:type="dxa"/>
            </w:tcMar>
            <w:vAlign w:val="bottom"/>
            <w:hideMark/>
          </w:tcPr>
          <w:p w14:paraId="3886F4B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10A3033A" w14:textId="77777777" w:rsidTr="00AC4931">
        <w:tc>
          <w:tcPr>
            <w:tcW w:w="9330" w:type="dxa"/>
            <w:shd w:val="clear" w:color="auto" w:fill="CFF0FC"/>
            <w:tcMar>
              <w:top w:w="15" w:type="dxa"/>
              <w:left w:w="0" w:type="dxa"/>
              <w:bottom w:w="0" w:type="dxa"/>
              <w:right w:w="15" w:type="dxa"/>
            </w:tcMar>
            <w:hideMark/>
          </w:tcPr>
          <w:p w14:paraId="0DEB823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Fair value of plan assets at beginning of year</w:t>
            </w:r>
          </w:p>
        </w:tc>
        <w:tc>
          <w:tcPr>
            <w:tcW w:w="211" w:type="dxa"/>
            <w:shd w:val="clear" w:color="auto" w:fill="CFF0FC"/>
            <w:tcMar>
              <w:top w:w="15" w:type="dxa"/>
              <w:left w:w="0" w:type="dxa"/>
              <w:bottom w:w="0" w:type="dxa"/>
              <w:right w:w="15" w:type="dxa"/>
            </w:tcMar>
            <w:vAlign w:val="bottom"/>
            <w:hideMark/>
          </w:tcPr>
          <w:p w14:paraId="1EEF43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5BEC707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shd w:val="clear" w:color="auto" w:fill="CFF0FC"/>
            <w:noWrap/>
            <w:tcMar>
              <w:top w:w="15" w:type="dxa"/>
              <w:left w:w="0" w:type="dxa"/>
              <w:bottom w:w="0" w:type="dxa"/>
              <w:right w:w="15" w:type="dxa"/>
            </w:tcMar>
            <w:vAlign w:val="bottom"/>
            <w:hideMark/>
          </w:tcPr>
          <w:p w14:paraId="18A2584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323.8</w:t>
            </w:r>
          </w:p>
        </w:tc>
        <w:tc>
          <w:tcPr>
            <w:tcW w:w="170" w:type="dxa"/>
            <w:shd w:val="clear" w:color="auto" w:fill="CFF0FC"/>
            <w:noWrap/>
            <w:tcMar>
              <w:top w:w="15" w:type="dxa"/>
              <w:left w:w="0" w:type="dxa"/>
              <w:bottom w:w="0" w:type="dxa"/>
              <w:right w:w="15" w:type="dxa"/>
            </w:tcMar>
            <w:vAlign w:val="bottom"/>
            <w:hideMark/>
          </w:tcPr>
          <w:p w14:paraId="27222CC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651BDD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790B6FD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shd w:val="clear" w:color="auto" w:fill="CFF0FC"/>
            <w:noWrap/>
            <w:tcMar>
              <w:top w:w="15" w:type="dxa"/>
              <w:left w:w="0" w:type="dxa"/>
              <w:bottom w:w="0" w:type="dxa"/>
              <w:right w:w="15" w:type="dxa"/>
            </w:tcMar>
            <w:vAlign w:val="bottom"/>
            <w:hideMark/>
          </w:tcPr>
          <w:p w14:paraId="46CEC75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273.0</w:t>
            </w:r>
          </w:p>
        </w:tc>
        <w:tc>
          <w:tcPr>
            <w:tcW w:w="170" w:type="dxa"/>
            <w:shd w:val="clear" w:color="auto" w:fill="CFF0FC"/>
            <w:noWrap/>
            <w:tcMar>
              <w:top w:w="15" w:type="dxa"/>
              <w:left w:w="0" w:type="dxa"/>
              <w:bottom w:w="0" w:type="dxa"/>
              <w:right w:w="15" w:type="dxa"/>
            </w:tcMar>
            <w:vAlign w:val="bottom"/>
            <w:hideMark/>
          </w:tcPr>
          <w:p w14:paraId="05C19FC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701B935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6CEF9E8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shd w:val="clear" w:color="auto" w:fill="CFF0FC"/>
            <w:noWrap/>
            <w:tcMar>
              <w:top w:w="15" w:type="dxa"/>
              <w:left w:w="0" w:type="dxa"/>
              <w:bottom w:w="0" w:type="dxa"/>
              <w:right w:w="15" w:type="dxa"/>
            </w:tcMar>
            <w:vAlign w:val="bottom"/>
            <w:hideMark/>
          </w:tcPr>
          <w:p w14:paraId="3FA2B1D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88.7</w:t>
            </w:r>
          </w:p>
        </w:tc>
        <w:tc>
          <w:tcPr>
            <w:tcW w:w="170" w:type="dxa"/>
            <w:shd w:val="clear" w:color="auto" w:fill="CFF0FC"/>
            <w:noWrap/>
            <w:tcMar>
              <w:top w:w="15" w:type="dxa"/>
              <w:left w:w="0" w:type="dxa"/>
              <w:bottom w:w="0" w:type="dxa"/>
              <w:right w:w="15" w:type="dxa"/>
            </w:tcMar>
            <w:vAlign w:val="bottom"/>
            <w:hideMark/>
          </w:tcPr>
          <w:p w14:paraId="5F8D292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457058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01FDC56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shd w:val="clear" w:color="auto" w:fill="CFF0FC"/>
            <w:noWrap/>
            <w:tcMar>
              <w:top w:w="15" w:type="dxa"/>
              <w:left w:w="0" w:type="dxa"/>
              <w:bottom w:w="0" w:type="dxa"/>
              <w:right w:w="15" w:type="dxa"/>
            </w:tcMar>
            <w:vAlign w:val="bottom"/>
            <w:hideMark/>
          </w:tcPr>
          <w:p w14:paraId="7F8A34B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77.8</w:t>
            </w:r>
          </w:p>
        </w:tc>
        <w:tc>
          <w:tcPr>
            <w:tcW w:w="172" w:type="dxa"/>
            <w:shd w:val="clear" w:color="auto" w:fill="CFF0FC"/>
            <w:noWrap/>
            <w:tcMar>
              <w:top w:w="15" w:type="dxa"/>
              <w:left w:w="0" w:type="dxa"/>
              <w:bottom w:w="0" w:type="dxa"/>
              <w:right w:w="15" w:type="dxa"/>
            </w:tcMar>
            <w:vAlign w:val="bottom"/>
            <w:hideMark/>
          </w:tcPr>
          <w:p w14:paraId="7416255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7D3DFC2E" w14:textId="77777777" w:rsidTr="00AC4931">
        <w:tc>
          <w:tcPr>
            <w:tcW w:w="9330" w:type="dxa"/>
            <w:shd w:val="clear" w:color="auto" w:fill="FFFFFF"/>
            <w:tcMar>
              <w:top w:w="15" w:type="dxa"/>
              <w:left w:w="0" w:type="dxa"/>
              <w:bottom w:w="0" w:type="dxa"/>
              <w:right w:w="15" w:type="dxa"/>
            </w:tcMar>
            <w:hideMark/>
          </w:tcPr>
          <w:p w14:paraId="58BF77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Actual return on plan assets</w:t>
            </w:r>
          </w:p>
        </w:tc>
        <w:tc>
          <w:tcPr>
            <w:tcW w:w="211" w:type="dxa"/>
            <w:shd w:val="clear" w:color="auto" w:fill="FFFFFF"/>
            <w:tcMar>
              <w:top w:w="15" w:type="dxa"/>
              <w:left w:w="0" w:type="dxa"/>
              <w:bottom w:w="0" w:type="dxa"/>
              <w:right w:w="15" w:type="dxa"/>
            </w:tcMar>
            <w:vAlign w:val="bottom"/>
            <w:hideMark/>
          </w:tcPr>
          <w:p w14:paraId="445282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2C6FBF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562279F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52.5</w:t>
            </w:r>
          </w:p>
        </w:tc>
        <w:tc>
          <w:tcPr>
            <w:tcW w:w="170" w:type="dxa"/>
            <w:shd w:val="clear" w:color="auto" w:fill="FFFFFF"/>
            <w:noWrap/>
            <w:tcMar>
              <w:top w:w="15" w:type="dxa"/>
              <w:left w:w="0" w:type="dxa"/>
              <w:bottom w:w="0" w:type="dxa"/>
              <w:right w:w="15" w:type="dxa"/>
            </w:tcMar>
            <w:vAlign w:val="bottom"/>
            <w:hideMark/>
          </w:tcPr>
          <w:p w14:paraId="03AE63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542582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3E19D0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7F57B03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67.0</w:t>
            </w:r>
          </w:p>
        </w:tc>
        <w:tc>
          <w:tcPr>
            <w:tcW w:w="170" w:type="dxa"/>
            <w:shd w:val="clear" w:color="auto" w:fill="FFFFFF"/>
            <w:noWrap/>
            <w:tcMar>
              <w:top w:w="15" w:type="dxa"/>
              <w:left w:w="0" w:type="dxa"/>
              <w:bottom w:w="0" w:type="dxa"/>
              <w:right w:w="15" w:type="dxa"/>
            </w:tcMar>
            <w:vAlign w:val="bottom"/>
            <w:hideMark/>
          </w:tcPr>
          <w:p w14:paraId="620F52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00E80D7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615A42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5EC0F2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8.8</w:t>
            </w:r>
          </w:p>
        </w:tc>
        <w:tc>
          <w:tcPr>
            <w:tcW w:w="170" w:type="dxa"/>
            <w:shd w:val="clear" w:color="auto" w:fill="FFFFFF"/>
            <w:noWrap/>
            <w:tcMar>
              <w:top w:w="15" w:type="dxa"/>
              <w:left w:w="0" w:type="dxa"/>
              <w:bottom w:w="0" w:type="dxa"/>
              <w:right w:w="15" w:type="dxa"/>
            </w:tcMar>
            <w:vAlign w:val="bottom"/>
            <w:hideMark/>
          </w:tcPr>
          <w:p w14:paraId="2B2BFF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51EEA0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4A7E82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726B58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8.9</w:t>
            </w:r>
          </w:p>
        </w:tc>
        <w:tc>
          <w:tcPr>
            <w:tcW w:w="172" w:type="dxa"/>
            <w:shd w:val="clear" w:color="auto" w:fill="FFFFFF"/>
            <w:noWrap/>
            <w:tcMar>
              <w:top w:w="15" w:type="dxa"/>
              <w:left w:w="0" w:type="dxa"/>
              <w:bottom w:w="0" w:type="dxa"/>
              <w:right w:w="15" w:type="dxa"/>
            </w:tcMar>
            <w:vAlign w:val="bottom"/>
            <w:hideMark/>
          </w:tcPr>
          <w:p w14:paraId="1B328C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12AC191" w14:textId="77777777" w:rsidTr="00AC4931">
        <w:tc>
          <w:tcPr>
            <w:tcW w:w="9330" w:type="dxa"/>
            <w:shd w:val="clear" w:color="auto" w:fill="CFF0FC"/>
            <w:tcMar>
              <w:top w:w="15" w:type="dxa"/>
              <w:left w:w="0" w:type="dxa"/>
              <w:bottom w:w="0" w:type="dxa"/>
              <w:right w:w="15" w:type="dxa"/>
            </w:tcMar>
            <w:hideMark/>
          </w:tcPr>
          <w:p w14:paraId="4E005B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Company contributions</w:t>
            </w:r>
          </w:p>
        </w:tc>
        <w:tc>
          <w:tcPr>
            <w:tcW w:w="211" w:type="dxa"/>
            <w:shd w:val="clear" w:color="auto" w:fill="CFF0FC"/>
            <w:tcMar>
              <w:top w:w="15" w:type="dxa"/>
              <w:left w:w="0" w:type="dxa"/>
              <w:bottom w:w="0" w:type="dxa"/>
              <w:right w:w="15" w:type="dxa"/>
            </w:tcMar>
            <w:vAlign w:val="bottom"/>
            <w:hideMark/>
          </w:tcPr>
          <w:p w14:paraId="7EB418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5E1598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7D8515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16.5</w:t>
            </w:r>
          </w:p>
        </w:tc>
        <w:tc>
          <w:tcPr>
            <w:tcW w:w="170" w:type="dxa"/>
            <w:shd w:val="clear" w:color="auto" w:fill="CFF0FC"/>
            <w:noWrap/>
            <w:tcMar>
              <w:top w:w="15" w:type="dxa"/>
              <w:left w:w="0" w:type="dxa"/>
              <w:bottom w:w="0" w:type="dxa"/>
              <w:right w:w="15" w:type="dxa"/>
            </w:tcMar>
            <w:vAlign w:val="bottom"/>
            <w:hideMark/>
          </w:tcPr>
          <w:p w14:paraId="758F93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200B1B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653622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68D1785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7.3</w:t>
            </w:r>
          </w:p>
        </w:tc>
        <w:tc>
          <w:tcPr>
            <w:tcW w:w="170" w:type="dxa"/>
            <w:shd w:val="clear" w:color="auto" w:fill="CFF0FC"/>
            <w:noWrap/>
            <w:tcMar>
              <w:top w:w="15" w:type="dxa"/>
              <w:left w:w="0" w:type="dxa"/>
              <w:bottom w:w="0" w:type="dxa"/>
              <w:right w:w="15" w:type="dxa"/>
            </w:tcMar>
            <w:vAlign w:val="bottom"/>
            <w:hideMark/>
          </w:tcPr>
          <w:p w14:paraId="470390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6ECC77D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351E43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64FF42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9.7</w:t>
            </w:r>
          </w:p>
        </w:tc>
        <w:tc>
          <w:tcPr>
            <w:tcW w:w="170" w:type="dxa"/>
            <w:shd w:val="clear" w:color="auto" w:fill="CFF0FC"/>
            <w:noWrap/>
            <w:tcMar>
              <w:top w:w="15" w:type="dxa"/>
              <w:left w:w="0" w:type="dxa"/>
              <w:bottom w:w="0" w:type="dxa"/>
              <w:right w:w="15" w:type="dxa"/>
            </w:tcMar>
            <w:vAlign w:val="bottom"/>
            <w:hideMark/>
          </w:tcPr>
          <w:p w14:paraId="2FAFE7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0A44DB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0EA3C1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3B4D40C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9.5</w:t>
            </w:r>
          </w:p>
        </w:tc>
        <w:tc>
          <w:tcPr>
            <w:tcW w:w="172" w:type="dxa"/>
            <w:shd w:val="clear" w:color="auto" w:fill="CFF0FC"/>
            <w:noWrap/>
            <w:tcMar>
              <w:top w:w="15" w:type="dxa"/>
              <w:left w:w="0" w:type="dxa"/>
              <w:bottom w:w="0" w:type="dxa"/>
              <w:right w:w="15" w:type="dxa"/>
            </w:tcMar>
            <w:vAlign w:val="bottom"/>
            <w:hideMark/>
          </w:tcPr>
          <w:p w14:paraId="1DBA5A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82FEACB" w14:textId="77777777" w:rsidTr="00AC4931">
        <w:tc>
          <w:tcPr>
            <w:tcW w:w="9330" w:type="dxa"/>
            <w:shd w:val="clear" w:color="auto" w:fill="FFFFFF"/>
            <w:tcMar>
              <w:top w:w="15" w:type="dxa"/>
              <w:left w:w="0" w:type="dxa"/>
              <w:bottom w:w="0" w:type="dxa"/>
              <w:right w:w="15" w:type="dxa"/>
            </w:tcMar>
            <w:hideMark/>
          </w:tcPr>
          <w:p w14:paraId="305088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Benefits paid</w:t>
            </w:r>
          </w:p>
        </w:tc>
        <w:tc>
          <w:tcPr>
            <w:tcW w:w="211" w:type="dxa"/>
            <w:shd w:val="clear" w:color="auto" w:fill="FFFFFF"/>
            <w:tcMar>
              <w:top w:w="15" w:type="dxa"/>
              <w:left w:w="0" w:type="dxa"/>
              <w:bottom w:w="0" w:type="dxa"/>
              <w:right w:w="15" w:type="dxa"/>
            </w:tcMar>
            <w:vAlign w:val="bottom"/>
            <w:hideMark/>
          </w:tcPr>
          <w:p w14:paraId="1C870D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42C77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38FB337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w:t>
            </w:r>
          </w:p>
        </w:tc>
        <w:tc>
          <w:tcPr>
            <w:tcW w:w="170" w:type="dxa"/>
            <w:shd w:val="clear" w:color="auto" w:fill="FFFFFF"/>
            <w:noWrap/>
            <w:tcMar>
              <w:top w:w="15" w:type="dxa"/>
              <w:left w:w="0" w:type="dxa"/>
              <w:bottom w:w="0" w:type="dxa"/>
              <w:right w:w="15" w:type="dxa"/>
            </w:tcMar>
            <w:vAlign w:val="bottom"/>
            <w:hideMark/>
          </w:tcPr>
          <w:p w14:paraId="17F1CB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320B3A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73DA09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0E99489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(23.5</w:t>
            </w:r>
          </w:p>
        </w:tc>
        <w:tc>
          <w:tcPr>
            <w:tcW w:w="170" w:type="dxa"/>
            <w:shd w:val="clear" w:color="auto" w:fill="FFFFFF"/>
            <w:noWrap/>
            <w:tcMar>
              <w:top w:w="15" w:type="dxa"/>
              <w:left w:w="0" w:type="dxa"/>
              <w:bottom w:w="0" w:type="dxa"/>
              <w:right w:w="15" w:type="dxa"/>
            </w:tcMar>
            <w:vAlign w:val="bottom"/>
            <w:hideMark/>
          </w:tcPr>
          <w:p w14:paraId="29832D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2885280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175E3D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156991D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(9.0</w:t>
            </w:r>
          </w:p>
        </w:tc>
        <w:tc>
          <w:tcPr>
            <w:tcW w:w="170" w:type="dxa"/>
            <w:shd w:val="clear" w:color="auto" w:fill="FFFFFF"/>
            <w:noWrap/>
            <w:tcMar>
              <w:top w:w="15" w:type="dxa"/>
              <w:left w:w="0" w:type="dxa"/>
              <w:bottom w:w="0" w:type="dxa"/>
              <w:right w:w="15" w:type="dxa"/>
            </w:tcMar>
            <w:vAlign w:val="bottom"/>
            <w:hideMark/>
          </w:tcPr>
          <w:p w14:paraId="0E0BDB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77F4E3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8DA2A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34A17F3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(8.4</w:t>
            </w:r>
          </w:p>
        </w:tc>
        <w:tc>
          <w:tcPr>
            <w:tcW w:w="172" w:type="dxa"/>
            <w:shd w:val="clear" w:color="auto" w:fill="FFFFFF"/>
            <w:noWrap/>
            <w:tcMar>
              <w:top w:w="15" w:type="dxa"/>
              <w:left w:w="0" w:type="dxa"/>
              <w:bottom w:w="0" w:type="dxa"/>
              <w:right w:w="15" w:type="dxa"/>
            </w:tcMar>
            <w:vAlign w:val="bottom"/>
            <w:hideMark/>
          </w:tcPr>
          <w:p w14:paraId="3299FA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BA8768E" w14:textId="77777777" w:rsidTr="00AC4931">
        <w:tc>
          <w:tcPr>
            <w:tcW w:w="9330" w:type="dxa"/>
            <w:shd w:val="clear" w:color="auto" w:fill="CFF0FC"/>
            <w:tcMar>
              <w:top w:w="15" w:type="dxa"/>
              <w:left w:w="0" w:type="dxa"/>
              <w:bottom w:w="0" w:type="dxa"/>
              <w:right w:w="15" w:type="dxa"/>
            </w:tcMar>
            <w:hideMark/>
          </w:tcPr>
          <w:p w14:paraId="414F49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Plan settlements</w:t>
            </w:r>
          </w:p>
        </w:tc>
        <w:tc>
          <w:tcPr>
            <w:tcW w:w="211" w:type="dxa"/>
            <w:shd w:val="clear" w:color="auto" w:fill="CFF0FC"/>
            <w:tcMar>
              <w:top w:w="15" w:type="dxa"/>
              <w:left w:w="0" w:type="dxa"/>
              <w:bottom w:w="0" w:type="dxa"/>
              <w:right w:w="15" w:type="dxa"/>
            </w:tcMar>
            <w:vAlign w:val="bottom"/>
            <w:hideMark/>
          </w:tcPr>
          <w:p w14:paraId="19C1F3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40B7D6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67BCA69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(34.4</w:t>
            </w:r>
          </w:p>
        </w:tc>
        <w:tc>
          <w:tcPr>
            <w:tcW w:w="170" w:type="dxa"/>
            <w:shd w:val="clear" w:color="auto" w:fill="CFF0FC"/>
            <w:noWrap/>
            <w:tcMar>
              <w:top w:w="15" w:type="dxa"/>
              <w:left w:w="0" w:type="dxa"/>
              <w:bottom w:w="0" w:type="dxa"/>
              <w:right w:w="15" w:type="dxa"/>
            </w:tcMar>
            <w:vAlign w:val="bottom"/>
            <w:hideMark/>
          </w:tcPr>
          <w:p w14:paraId="4B5022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CFF0FC"/>
            <w:tcMar>
              <w:top w:w="15" w:type="dxa"/>
              <w:left w:w="0" w:type="dxa"/>
              <w:bottom w:w="0" w:type="dxa"/>
              <w:right w:w="15" w:type="dxa"/>
            </w:tcMar>
            <w:vAlign w:val="bottom"/>
            <w:hideMark/>
          </w:tcPr>
          <w:p w14:paraId="5C43EB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34AFA9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521039C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CFF0FC"/>
            <w:noWrap/>
            <w:tcMar>
              <w:top w:w="15" w:type="dxa"/>
              <w:left w:w="0" w:type="dxa"/>
              <w:bottom w:w="0" w:type="dxa"/>
              <w:right w:w="15" w:type="dxa"/>
            </w:tcMar>
            <w:vAlign w:val="bottom"/>
            <w:hideMark/>
          </w:tcPr>
          <w:p w14:paraId="5385CA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4EBE50C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762EBA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79B61EF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w:t>
            </w:r>
          </w:p>
        </w:tc>
        <w:tc>
          <w:tcPr>
            <w:tcW w:w="170" w:type="dxa"/>
            <w:shd w:val="clear" w:color="auto" w:fill="CFF0FC"/>
            <w:noWrap/>
            <w:tcMar>
              <w:top w:w="15" w:type="dxa"/>
              <w:left w:w="0" w:type="dxa"/>
              <w:bottom w:w="0" w:type="dxa"/>
              <w:right w:w="15" w:type="dxa"/>
            </w:tcMar>
            <w:vAlign w:val="bottom"/>
            <w:hideMark/>
          </w:tcPr>
          <w:p w14:paraId="5ACEA8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CFF0FC"/>
            <w:tcMar>
              <w:top w:w="15" w:type="dxa"/>
              <w:left w:w="0" w:type="dxa"/>
              <w:bottom w:w="0" w:type="dxa"/>
              <w:right w:w="15" w:type="dxa"/>
            </w:tcMar>
            <w:vAlign w:val="bottom"/>
            <w:hideMark/>
          </w:tcPr>
          <w:p w14:paraId="4520F8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1CEE07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72B41DF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w:t>
            </w:r>
          </w:p>
        </w:tc>
        <w:tc>
          <w:tcPr>
            <w:tcW w:w="172" w:type="dxa"/>
            <w:shd w:val="clear" w:color="auto" w:fill="CFF0FC"/>
            <w:noWrap/>
            <w:tcMar>
              <w:top w:w="15" w:type="dxa"/>
              <w:left w:w="0" w:type="dxa"/>
              <w:bottom w:w="0" w:type="dxa"/>
              <w:right w:w="15" w:type="dxa"/>
            </w:tcMar>
            <w:vAlign w:val="bottom"/>
            <w:hideMark/>
          </w:tcPr>
          <w:p w14:paraId="02ED7B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2B055C7" w14:textId="77777777" w:rsidTr="00AC4931">
        <w:tc>
          <w:tcPr>
            <w:tcW w:w="9330" w:type="dxa"/>
            <w:shd w:val="clear" w:color="auto" w:fill="FFFFFF"/>
            <w:tcMar>
              <w:top w:w="15" w:type="dxa"/>
              <w:left w:w="0" w:type="dxa"/>
              <w:bottom w:w="0" w:type="dxa"/>
              <w:right w:w="15" w:type="dxa"/>
            </w:tcMar>
            <w:hideMark/>
          </w:tcPr>
          <w:p w14:paraId="38D90C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Translation difference</w:t>
            </w:r>
          </w:p>
        </w:tc>
        <w:tc>
          <w:tcPr>
            <w:tcW w:w="211" w:type="dxa"/>
            <w:shd w:val="clear" w:color="auto" w:fill="FFFFFF"/>
            <w:tcMar>
              <w:top w:w="15" w:type="dxa"/>
              <w:left w:w="0" w:type="dxa"/>
              <w:bottom w:w="0" w:type="dxa"/>
              <w:right w:w="15" w:type="dxa"/>
            </w:tcMar>
            <w:vAlign w:val="bottom"/>
            <w:hideMark/>
          </w:tcPr>
          <w:p w14:paraId="79B76B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0C99A5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7D7F59B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FFFFFF"/>
            <w:noWrap/>
            <w:tcMar>
              <w:top w:w="15" w:type="dxa"/>
              <w:left w:w="0" w:type="dxa"/>
              <w:bottom w:w="0" w:type="dxa"/>
              <w:right w:w="15" w:type="dxa"/>
            </w:tcMar>
            <w:vAlign w:val="bottom"/>
            <w:hideMark/>
          </w:tcPr>
          <w:p w14:paraId="19A20C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78BC47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6A1823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3B0C49B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FFFFFF"/>
            <w:noWrap/>
            <w:tcMar>
              <w:top w:w="15" w:type="dxa"/>
              <w:left w:w="0" w:type="dxa"/>
              <w:bottom w:w="0" w:type="dxa"/>
              <w:right w:w="15" w:type="dxa"/>
            </w:tcMar>
            <w:vAlign w:val="bottom"/>
            <w:hideMark/>
          </w:tcPr>
          <w:p w14:paraId="61744B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458F567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26F422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7ED25B4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5.0</w:t>
            </w:r>
          </w:p>
        </w:tc>
        <w:tc>
          <w:tcPr>
            <w:tcW w:w="170" w:type="dxa"/>
            <w:shd w:val="clear" w:color="auto" w:fill="FFFFFF"/>
            <w:noWrap/>
            <w:tcMar>
              <w:top w:w="15" w:type="dxa"/>
              <w:left w:w="0" w:type="dxa"/>
              <w:bottom w:w="0" w:type="dxa"/>
              <w:right w:w="15" w:type="dxa"/>
            </w:tcMar>
            <w:vAlign w:val="bottom"/>
            <w:hideMark/>
          </w:tcPr>
          <w:p w14:paraId="670543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500DD8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3E2C7C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4BA7FEB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tc>
        <w:tc>
          <w:tcPr>
            <w:tcW w:w="172" w:type="dxa"/>
            <w:shd w:val="clear" w:color="auto" w:fill="FFFFFF"/>
            <w:noWrap/>
            <w:tcMar>
              <w:top w:w="15" w:type="dxa"/>
              <w:left w:w="0" w:type="dxa"/>
              <w:bottom w:w="0" w:type="dxa"/>
              <w:right w:w="15" w:type="dxa"/>
            </w:tcMar>
            <w:vAlign w:val="bottom"/>
            <w:hideMark/>
          </w:tcPr>
          <w:p w14:paraId="06E38D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9D65A8B" w14:textId="77777777" w:rsidTr="00AC4931">
        <w:tc>
          <w:tcPr>
            <w:tcW w:w="9330" w:type="dxa"/>
            <w:shd w:val="clear" w:color="auto" w:fill="CFF0FC"/>
            <w:tcMar>
              <w:top w:w="15" w:type="dxa"/>
              <w:left w:w="0" w:type="dxa"/>
              <w:bottom w:w="0" w:type="dxa"/>
              <w:right w:w="15" w:type="dxa"/>
            </w:tcMar>
            <w:hideMark/>
          </w:tcPr>
          <w:p w14:paraId="21D7A3D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Fair value of plan assets at end of year</w:t>
            </w:r>
          </w:p>
        </w:tc>
        <w:tc>
          <w:tcPr>
            <w:tcW w:w="211" w:type="dxa"/>
            <w:shd w:val="clear" w:color="auto" w:fill="CFF0FC"/>
            <w:tcMar>
              <w:top w:w="15" w:type="dxa"/>
              <w:left w:w="0" w:type="dxa"/>
              <w:bottom w:w="0" w:type="dxa"/>
              <w:right w:w="15" w:type="dxa"/>
            </w:tcMar>
            <w:vAlign w:val="bottom"/>
            <w:hideMark/>
          </w:tcPr>
          <w:p w14:paraId="68B51B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6F9CB7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7FE7AB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354.6</w:t>
            </w:r>
          </w:p>
        </w:tc>
        <w:tc>
          <w:tcPr>
            <w:tcW w:w="170" w:type="dxa"/>
            <w:shd w:val="clear" w:color="auto" w:fill="CFF0FC"/>
            <w:noWrap/>
            <w:tcMar>
              <w:top w:w="15" w:type="dxa"/>
              <w:left w:w="0" w:type="dxa"/>
              <w:bottom w:w="0" w:type="dxa"/>
              <w:right w:w="15" w:type="dxa"/>
            </w:tcMar>
            <w:vAlign w:val="bottom"/>
            <w:hideMark/>
          </w:tcPr>
          <w:p w14:paraId="38B61E4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3DB3C6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4C4DF5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B9EAE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323.8</w:t>
            </w:r>
          </w:p>
        </w:tc>
        <w:tc>
          <w:tcPr>
            <w:tcW w:w="170" w:type="dxa"/>
            <w:shd w:val="clear" w:color="auto" w:fill="CFF0FC"/>
            <w:noWrap/>
            <w:tcMar>
              <w:top w:w="15" w:type="dxa"/>
              <w:left w:w="0" w:type="dxa"/>
              <w:bottom w:w="0" w:type="dxa"/>
              <w:right w:w="15" w:type="dxa"/>
            </w:tcMar>
            <w:vAlign w:val="bottom"/>
            <w:hideMark/>
          </w:tcPr>
          <w:p w14:paraId="1A75338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1D47727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8FF8C6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EB9722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102.8</w:t>
            </w:r>
          </w:p>
        </w:tc>
        <w:tc>
          <w:tcPr>
            <w:tcW w:w="170" w:type="dxa"/>
            <w:shd w:val="clear" w:color="auto" w:fill="CFF0FC"/>
            <w:noWrap/>
            <w:tcMar>
              <w:top w:w="15" w:type="dxa"/>
              <w:left w:w="0" w:type="dxa"/>
              <w:bottom w:w="0" w:type="dxa"/>
              <w:right w:w="15" w:type="dxa"/>
            </w:tcMar>
            <w:vAlign w:val="bottom"/>
            <w:hideMark/>
          </w:tcPr>
          <w:p w14:paraId="0B5E1BB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345AF1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FDCC14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2EF9BA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88.7</w:t>
            </w:r>
          </w:p>
        </w:tc>
        <w:tc>
          <w:tcPr>
            <w:tcW w:w="172" w:type="dxa"/>
            <w:shd w:val="clear" w:color="auto" w:fill="CFF0FC"/>
            <w:noWrap/>
            <w:tcMar>
              <w:top w:w="15" w:type="dxa"/>
              <w:left w:w="0" w:type="dxa"/>
              <w:bottom w:w="0" w:type="dxa"/>
              <w:right w:w="15" w:type="dxa"/>
            </w:tcMar>
            <w:vAlign w:val="bottom"/>
            <w:hideMark/>
          </w:tcPr>
          <w:p w14:paraId="6D3448B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10A4E4D6" w14:textId="77777777" w:rsidTr="00AC4931">
        <w:tc>
          <w:tcPr>
            <w:tcW w:w="9330" w:type="dxa"/>
            <w:shd w:val="clear" w:color="auto" w:fill="FFFFFF"/>
            <w:tcMar>
              <w:top w:w="15" w:type="dxa"/>
              <w:left w:w="0" w:type="dxa"/>
              <w:bottom w:w="0" w:type="dxa"/>
              <w:right w:w="15" w:type="dxa"/>
            </w:tcMar>
            <w:hideMark/>
          </w:tcPr>
          <w:p w14:paraId="7F5C33A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Funded status recognized in the balance sheet</w:t>
            </w:r>
          </w:p>
        </w:tc>
        <w:tc>
          <w:tcPr>
            <w:tcW w:w="211" w:type="dxa"/>
            <w:shd w:val="clear" w:color="auto" w:fill="FFFFFF"/>
            <w:tcMar>
              <w:top w:w="15" w:type="dxa"/>
              <w:left w:w="0" w:type="dxa"/>
              <w:bottom w:w="0" w:type="dxa"/>
              <w:right w:w="15" w:type="dxa"/>
            </w:tcMar>
            <w:vAlign w:val="bottom"/>
            <w:hideMark/>
          </w:tcPr>
          <w:p w14:paraId="0F3761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FFFFFF"/>
            <w:noWrap/>
            <w:tcMar>
              <w:top w:w="15" w:type="dxa"/>
              <w:left w:w="0" w:type="dxa"/>
              <w:bottom w:w="0" w:type="dxa"/>
              <w:right w:w="15" w:type="dxa"/>
            </w:tcMar>
            <w:vAlign w:val="bottom"/>
            <w:hideMark/>
          </w:tcPr>
          <w:p w14:paraId="5AB727B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FFFFFF"/>
            <w:noWrap/>
            <w:tcMar>
              <w:top w:w="15" w:type="dxa"/>
              <w:left w:w="0" w:type="dxa"/>
              <w:bottom w:w="0" w:type="dxa"/>
              <w:right w:w="15" w:type="dxa"/>
            </w:tcMar>
            <w:vAlign w:val="bottom"/>
            <w:hideMark/>
          </w:tcPr>
          <w:p w14:paraId="3F7B542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(71.6</w:t>
            </w:r>
          </w:p>
        </w:tc>
        <w:tc>
          <w:tcPr>
            <w:tcW w:w="170" w:type="dxa"/>
            <w:shd w:val="clear" w:color="auto" w:fill="FFFFFF"/>
            <w:noWrap/>
            <w:tcMar>
              <w:top w:w="15" w:type="dxa"/>
              <w:left w:w="0" w:type="dxa"/>
              <w:bottom w:w="0" w:type="dxa"/>
              <w:right w:w="15" w:type="dxa"/>
            </w:tcMar>
            <w:vAlign w:val="bottom"/>
            <w:hideMark/>
          </w:tcPr>
          <w:p w14:paraId="7958FAC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659928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FFFFFF"/>
            <w:noWrap/>
            <w:tcMar>
              <w:top w:w="15" w:type="dxa"/>
              <w:left w:w="0" w:type="dxa"/>
              <w:bottom w:w="0" w:type="dxa"/>
              <w:right w:w="15" w:type="dxa"/>
            </w:tcMar>
            <w:vAlign w:val="bottom"/>
            <w:hideMark/>
          </w:tcPr>
          <w:p w14:paraId="3FBEA35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FFFFFF"/>
            <w:noWrap/>
            <w:tcMar>
              <w:top w:w="15" w:type="dxa"/>
              <w:left w:w="0" w:type="dxa"/>
              <w:bottom w:w="0" w:type="dxa"/>
              <w:right w:w="15" w:type="dxa"/>
            </w:tcMar>
            <w:vAlign w:val="bottom"/>
            <w:hideMark/>
          </w:tcPr>
          <w:p w14:paraId="0F8C8E1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(76.3</w:t>
            </w:r>
          </w:p>
        </w:tc>
        <w:tc>
          <w:tcPr>
            <w:tcW w:w="170" w:type="dxa"/>
            <w:shd w:val="clear" w:color="auto" w:fill="FFFFFF"/>
            <w:noWrap/>
            <w:tcMar>
              <w:top w:w="15" w:type="dxa"/>
              <w:left w:w="0" w:type="dxa"/>
              <w:bottom w:w="0" w:type="dxa"/>
              <w:right w:w="15" w:type="dxa"/>
            </w:tcMar>
            <w:vAlign w:val="bottom"/>
            <w:hideMark/>
          </w:tcPr>
          <w:p w14:paraId="1E346B5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5C05BD2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FFFFFF"/>
            <w:noWrap/>
            <w:tcMar>
              <w:top w:w="15" w:type="dxa"/>
              <w:left w:w="0" w:type="dxa"/>
              <w:bottom w:w="0" w:type="dxa"/>
              <w:right w:w="15" w:type="dxa"/>
            </w:tcMar>
            <w:vAlign w:val="bottom"/>
            <w:hideMark/>
          </w:tcPr>
          <w:p w14:paraId="6337040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FFFFFF"/>
            <w:noWrap/>
            <w:tcMar>
              <w:top w:w="15" w:type="dxa"/>
              <w:left w:w="0" w:type="dxa"/>
              <w:bottom w:w="0" w:type="dxa"/>
              <w:right w:w="15" w:type="dxa"/>
            </w:tcMar>
            <w:vAlign w:val="bottom"/>
            <w:hideMark/>
          </w:tcPr>
          <w:p w14:paraId="50A309A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(176.6</w:t>
            </w:r>
          </w:p>
        </w:tc>
        <w:tc>
          <w:tcPr>
            <w:tcW w:w="170" w:type="dxa"/>
            <w:shd w:val="clear" w:color="auto" w:fill="FFFFFF"/>
            <w:noWrap/>
            <w:tcMar>
              <w:top w:w="15" w:type="dxa"/>
              <w:left w:w="0" w:type="dxa"/>
              <w:bottom w:w="0" w:type="dxa"/>
              <w:right w:w="15" w:type="dxa"/>
            </w:tcMar>
            <w:vAlign w:val="bottom"/>
            <w:hideMark/>
          </w:tcPr>
          <w:p w14:paraId="19B5A4C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687F5C1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FFFFFF"/>
            <w:noWrap/>
            <w:tcMar>
              <w:top w:w="15" w:type="dxa"/>
              <w:left w:w="0" w:type="dxa"/>
              <w:bottom w:w="0" w:type="dxa"/>
              <w:right w:w="15" w:type="dxa"/>
            </w:tcMar>
            <w:vAlign w:val="bottom"/>
            <w:hideMark/>
          </w:tcPr>
          <w:p w14:paraId="78FC59C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FFFFFF"/>
            <w:noWrap/>
            <w:tcMar>
              <w:top w:w="15" w:type="dxa"/>
              <w:left w:w="0" w:type="dxa"/>
              <w:bottom w:w="0" w:type="dxa"/>
              <w:right w:w="15" w:type="dxa"/>
            </w:tcMar>
            <w:vAlign w:val="bottom"/>
            <w:hideMark/>
          </w:tcPr>
          <w:p w14:paraId="040D4AC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(163.9</w:t>
            </w:r>
          </w:p>
        </w:tc>
        <w:tc>
          <w:tcPr>
            <w:tcW w:w="172" w:type="dxa"/>
            <w:shd w:val="clear" w:color="auto" w:fill="FFFFFF"/>
            <w:noWrap/>
            <w:tcMar>
              <w:top w:w="15" w:type="dxa"/>
              <w:left w:w="0" w:type="dxa"/>
              <w:bottom w:w="0" w:type="dxa"/>
              <w:right w:w="15" w:type="dxa"/>
            </w:tcMar>
            <w:vAlign w:val="bottom"/>
            <w:hideMark/>
          </w:tcPr>
          <w:p w14:paraId="0CFAE80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bl>
    <w:p w14:paraId="20EB9C5E"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09DA8596"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U.S. plan provides that benefits may be paid in the form of a lump sum if so elected by the participant. In order to more accurately reflect a market-derived pension obligation, Autoliv adjusts the assumed lump sum interest rate to reflect market conditions as of each December 31. This methodology is consistent with the approach required under the Pension Protection Act of 2006, which provides the rules for determining minimum funding requirements in the U.S.</w:t>
      </w:r>
    </w:p>
    <w:p w14:paraId="1F439141"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COMPONENTS OF NET PERIODIC BENEFIT COST ASSOCIATED WITH THE DEFINED BENEFIT RETIREMENT PLANS</w:t>
      </w:r>
    </w:p>
    <w:p w14:paraId="7E282235"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9481"/>
        <w:gridCol w:w="214"/>
        <w:gridCol w:w="158"/>
        <w:gridCol w:w="1777"/>
        <w:gridCol w:w="158"/>
        <w:gridCol w:w="213"/>
        <w:gridCol w:w="158"/>
        <w:gridCol w:w="1777"/>
        <w:gridCol w:w="158"/>
        <w:gridCol w:w="213"/>
        <w:gridCol w:w="158"/>
        <w:gridCol w:w="1867"/>
        <w:gridCol w:w="159"/>
      </w:tblGrid>
      <w:tr w:rsidR="00AC4931" w:rsidRPr="00AC4931" w14:paraId="7A7F645A" w14:textId="77777777" w:rsidTr="00AC4931">
        <w:tc>
          <w:tcPr>
            <w:tcW w:w="9474" w:type="dxa"/>
            <w:shd w:val="clear" w:color="auto" w:fill="FFFFFF"/>
            <w:tcMar>
              <w:top w:w="15" w:type="dxa"/>
              <w:left w:w="0" w:type="dxa"/>
              <w:bottom w:w="0" w:type="dxa"/>
              <w:right w:w="15" w:type="dxa"/>
            </w:tcMar>
            <w:vAlign w:val="bottom"/>
            <w:hideMark/>
          </w:tcPr>
          <w:p w14:paraId="64B542EA"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13" w:type="dxa"/>
            <w:shd w:val="clear" w:color="auto" w:fill="FFFFFF"/>
            <w:tcMar>
              <w:top w:w="15" w:type="dxa"/>
              <w:left w:w="0" w:type="dxa"/>
              <w:bottom w:w="0" w:type="dxa"/>
              <w:right w:w="15" w:type="dxa"/>
            </w:tcMar>
            <w:vAlign w:val="bottom"/>
            <w:hideMark/>
          </w:tcPr>
          <w:p w14:paraId="18D4E7F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6594" w:type="dxa"/>
            <w:gridSpan w:val="10"/>
            <w:tcBorders>
              <w:bottom w:val="single" w:sz="6" w:space="0" w:color="000000"/>
            </w:tcBorders>
            <w:shd w:val="clear" w:color="auto" w:fill="FFFFFF"/>
            <w:tcMar>
              <w:top w:w="15" w:type="dxa"/>
              <w:left w:w="0" w:type="dxa"/>
              <w:bottom w:w="0" w:type="dxa"/>
              <w:right w:w="15" w:type="dxa"/>
            </w:tcMar>
            <w:vAlign w:val="bottom"/>
            <w:hideMark/>
          </w:tcPr>
          <w:p w14:paraId="3AD4E51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tc>
        <w:tc>
          <w:tcPr>
            <w:tcW w:w="151" w:type="dxa"/>
            <w:shd w:val="clear" w:color="auto" w:fill="FFFFFF"/>
            <w:noWrap/>
            <w:tcMar>
              <w:top w:w="15" w:type="dxa"/>
              <w:left w:w="0" w:type="dxa"/>
              <w:bottom w:w="0" w:type="dxa"/>
              <w:right w:w="15" w:type="dxa"/>
            </w:tcMar>
            <w:vAlign w:val="bottom"/>
            <w:hideMark/>
          </w:tcPr>
          <w:p w14:paraId="1464CFA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3C04023C" w14:textId="77777777" w:rsidTr="00AC4931">
        <w:tc>
          <w:tcPr>
            <w:tcW w:w="9474" w:type="dxa"/>
            <w:shd w:val="clear" w:color="auto" w:fill="FFFFFF"/>
            <w:tcMar>
              <w:top w:w="15" w:type="dxa"/>
              <w:left w:w="0" w:type="dxa"/>
              <w:bottom w:w="0" w:type="dxa"/>
              <w:right w:w="15" w:type="dxa"/>
            </w:tcMar>
            <w:vAlign w:val="bottom"/>
            <w:hideMark/>
          </w:tcPr>
          <w:p w14:paraId="0439C85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u w:val="single"/>
              </w:rPr>
              <w:t>(Dollars in millions)</w:t>
            </w:r>
          </w:p>
        </w:tc>
        <w:tc>
          <w:tcPr>
            <w:tcW w:w="213" w:type="dxa"/>
            <w:shd w:val="clear" w:color="auto" w:fill="FFFFFF"/>
            <w:tcMar>
              <w:top w:w="15" w:type="dxa"/>
              <w:left w:w="0" w:type="dxa"/>
              <w:bottom w:w="0" w:type="dxa"/>
              <w:right w:w="15" w:type="dxa"/>
            </w:tcMar>
            <w:vAlign w:val="bottom"/>
            <w:hideMark/>
          </w:tcPr>
          <w:p w14:paraId="37C8280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4B517C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025EB2D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tcBorders>
              <w:top w:val="single" w:sz="6" w:space="0" w:color="000000"/>
            </w:tcBorders>
            <w:shd w:val="clear" w:color="auto" w:fill="FFFFFF"/>
            <w:tcMar>
              <w:top w:w="15" w:type="dxa"/>
              <w:left w:w="0" w:type="dxa"/>
              <w:bottom w:w="0" w:type="dxa"/>
              <w:right w:w="15" w:type="dxa"/>
            </w:tcMar>
            <w:vAlign w:val="bottom"/>
            <w:hideMark/>
          </w:tcPr>
          <w:p w14:paraId="0600CC9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7B64DF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57DA16F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tcBorders>
              <w:top w:val="single" w:sz="6" w:space="0" w:color="000000"/>
            </w:tcBorders>
            <w:shd w:val="clear" w:color="auto" w:fill="FFFFFF"/>
            <w:tcMar>
              <w:top w:w="15" w:type="dxa"/>
              <w:left w:w="0" w:type="dxa"/>
              <w:bottom w:w="0" w:type="dxa"/>
              <w:right w:w="15" w:type="dxa"/>
            </w:tcMar>
            <w:vAlign w:val="bottom"/>
            <w:hideMark/>
          </w:tcPr>
          <w:p w14:paraId="64B1257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F7A84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09FFF91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8C3F317" w14:textId="77777777" w:rsidTr="00AC4931">
        <w:tc>
          <w:tcPr>
            <w:tcW w:w="9474" w:type="dxa"/>
            <w:shd w:val="clear" w:color="auto" w:fill="CFF0FC"/>
            <w:tcMar>
              <w:top w:w="15" w:type="dxa"/>
              <w:left w:w="0" w:type="dxa"/>
              <w:bottom w:w="0" w:type="dxa"/>
              <w:right w:w="15" w:type="dxa"/>
            </w:tcMar>
            <w:hideMark/>
          </w:tcPr>
          <w:p w14:paraId="00D67C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Service cost</w:t>
            </w:r>
          </w:p>
        </w:tc>
        <w:tc>
          <w:tcPr>
            <w:tcW w:w="213" w:type="dxa"/>
            <w:shd w:val="clear" w:color="auto" w:fill="CFF0FC"/>
            <w:tcMar>
              <w:top w:w="15" w:type="dxa"/>
              <w:left w:w="0" w:type="dxa"/>
              <w:bottom w:w="0" w:type="dxa"/>
              <w:right w:w="15" w:type="dxa"/>
            </w:tcMar>
            <w:vAlign w:val="bottom"/>
            <w:hideMark/>
          </w:tcPr>
          <w:p w14:paraId="3F7630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42501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0ABA6E4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7.5</w:t>
            </w:r>
          </w:p>
        </w:tc>
        <w:tc>
          <w:tcPr>
            <w:tcW w:w="150" w:type="dxa"/>
            <w:shd w:val="clear" w:color="auto" w:fill="CFF0FC"/>
            <w:noWrap/>
            <w:tcMar>
              <w:top w:w="15" w:type="dxa"/>
              <w:left w:w="0" w:type="dxa"/>
              <w:bottom w:w="0" w:type="dxa"/>
              <w:right w:w="15" w:type="dxa"/>
            </w:tcMar>
            <w:vAlign w:val="bottom"/>
            <w:hideMark/>
          </w:tcPr>
          <w:p w14:paraId="2D252F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069455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39FB4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20E754D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6.9</w:t>
            </w:r>
          </w:p>
        </w:tc>
        <w:tc>
          <w:tcPr>
            <w:tcW w:w="150" w:type="dxa"/>
            <w:shd w:val="clear" w:color="auto" w:fill="CFF0FC"/>
            <w:noWrap/>
            <w:tcMar>
              <w:top w:w="15" w:type="dxa"/>
              <w:left w:w="0" w:type="dxa"/>
              <w:bottom w:w="0" w:type="dxa"/>
              <w:right w:w="15" w:type="dxa"/>
            </w:tcMar>
            <w:vAlign w:val="bottom"/>
            <w:hideMark/>
          </w:tcPr>
          <w:p w14:paraId="65AEA3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77C09F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3AC66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77D99DE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8.7</w:t>
            </w:r>
          </w:p>
        </w:tc>
        <w:tc>
          <w:tcPr>
            <w:tcW w:w="151" w:type="dxa"/>
            <w:shd w:val="clear" w:color="auto" w:fill="CFF0FC"/>
            <w:noWrap/>
            <w:tcMar>
              <w:top w:w="15" w:type="dxa"/>
              <w:left w:w="0" w:type="dxa"/>
              <w:bottom w:w="0" w:type="dxa"/>
              <w:right w:w="15" w:type="dxa"/>
            </w:tcMar>
            <w:vAlign w:val="bottom"/>
            <w:hideMark/>
          </w:tcPr>
          <w:p w14:paraId="728B65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E62866B" w14:textId="77777777" w:rsidTr="00AC4931">
        <w:tc>
          <w:tcPr>
            <w:tcW w:w="9474" w:type="dxa"/>
            <w:shd w:val="clear" w:color="auto" w:fill="FFFFFF"/>
            <w:tcMar>
              <w:top w:w="15" w:type="dxa"/>
              <w:left w:w="0" w:type="dxa"/>
              <w:bottom w:w="0" w:type="dxa"/>
              <w:right w:w="15" w:type="dxa"/>
            </w:tcMar>
            <w:hideMark/>
          </w:tcPr>
          <w:p w14:paraId="4051B8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Interest cost</w:t>
            </w:r>
          </w:p>
        </w:tc>
        <w:tc>
          <w:tcPr>
            <w:tcW w:w="213" w:type="dxa"/>
            <w:shd w:val="clear" w:color="auto" w:fill="FFFFFF"/>
            <w:tcMar>
              <w:top w:w="15" w:type="dxa"/>
              <w:left w:w="0" w:type="dxa"/>
              <w:bottom w:w="0" w:type="dxa"/>
              <w:right w:w="15" w:type="dxa"/>
            </w:tcMar>
            <w:vAlign w:val="bottom"/>
            <w:hideMark/>
          </w:tcPr>
          <w:p w14:paraId="1A3175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67B82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7B3811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12.2</w:t>
            </w:r>
          </w:p>
        </w:tc>
        <w:tc>
          <w:tcPr>
            <w:tcW w:w="150" w:type="dxa"/>
            <w:shd w:val="clear" w:color="auto" w:fill="FFFFFF"/>
            <w:noWrap/>
            <w:tcMar>
              <w:top w:w="15" w:type="dxa"/>
              <w:left w:w="0" w:type="dxa"/>
              <w:bottom w:w="0" w:type="dxa"/>
              <w:right w:w="15" w:type="dxa"/>
            </w:tcMar>
            <w:vAlign w:val="bottom"/>
            <w:hideMark/>
          </w:tcPr>
          <w:p w14:paraId="310E9A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849AB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D3A35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D3089A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14.2</w:t>
            </w:r>
          </w:p>
        </w:tc>
        <w:tc>
          <w:tcPr>
            <w:tcW w:w="150" w:type="dxa"/>
            <w:shd w:val="clear" w:color="auto" w:fill="FFFFFF"/>
            <w:noWrap/>
            <w:tcMar>
              <w:top w:w="15" w:type="dxa"/>
              <w:left w:w="0" w:type="dxa"/>
              <w:bottom w:w="0" w:type="dxa"/>
              <w:right w:w="15" w:type="dxa"/>
            </w:tcMar>
            <w:vAlign w:val="bottom"/>
            <w:hideMark/>
          </w:tcPr>
          <w:p w14:paraId="6A1D41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7F5A4B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5FE9E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540D87C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12.8</w:t>
            </w:r>
          </w:p>
        </w:tc>
        <w:tc>
          <w:tcPr>
            <w:tcW w:w="151" w:type="dxa"/>
            <w:shd w:val="clear" w:color="auto" w:fill="FFFFFF"/>
            <w:noWrap/>
            <w:tcMar>
              <w:top w:w="15" w:type="dxa"/>
              <w:left w:w="0" w:type="dxa"/>
              <w:bottom w:w="0" w:type="dxa"/>
              <w:right w:w="15" w:type="dxa"/>
            </w:tcMar>
            <w:vAlign w:val="bottom"/>
            <w:hideMark/>
          </w:tcPr>
          <w:p w14:paraId="261F00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1F89EC0" w14:textId="77777777" w:rsidTr="00AC4931">
        <w:tc>
          <w:tcPr>
            <w:tcW w:w="9474" w:type="dxa"/>
            <w:shd w:val="clear" w:color="auto" w:fill="CFF0FC"/>
            <w:tcMar>
              <w:top w:w="15" w:type="dxa"/>
              <w:left w:w="0" w:type="dxa"/>
              <w:bottom w:w="0" w:type="dxa"/>
              <w:right w:w="15" w:type="dxa"/>
            </w:tcMar>
            <w:hideMark/>
          </w:tcPr>
          <w:p w14:paraId="74CB63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Expected return on plan assets</w:t>
            </w:r>
          </w:p>
        </w:tc>
        <w:tc>
          <w:tcPr>
            <w:tcW w:w="213" w:type="dxa"/>
            <w:shd w:val="clear" w:color="auto" w:fill="CFF0FC"/>
            <w:tcMar>
              <w:top w:w="15" w:type="dxa"/>
              <w:left w:w="0" w:type="dxa"/>
              <w:bottom w:w="0" w:type="dxa"/>
              <w:right w:w="15" w:type="dxa"/>
            </w:tcMar>
            <w:vAlign w:val="bottom"/>
            <w:hideMark/>
          </w:tcPr>
          <w:p w14:paraId="39B615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96E1D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307934C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(16.3</w:t>
            </w:r>
          </w:p>
        </w:tc>
        <w:tc>
          <w:tcPr>
            <w:tcW w:w="150" w:type="dxa"/>
            <w:shd w:val="clear" w:color="auto" w:fill="CFF0FC"/>
            <w:noWrap/>
            <w:tcMar>
              <w:top w:w="15" w:type="dxa"/>
              <w:left w:w="0" w:type="dxa"/>
              <w:bottom w:w="0" w:type="dxa"/>
              <w:right w:w="15" w:type="dxa"/>
            </w:tcMar>
            <w:vAlign w:val="bottom"/>
            <w:hideMark/>
          </w:tcPr>
          <w:p w14:paraId="34E9CB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3" w:type="dxa"/>
            <w:shd w:val="clear" w:color="auto" w:fill="CFF0FC"/>
            <w:tcMar>
              <w:top w:w="15" w:type="dxa"/>
              <w:left w:w="0" w:type="dxa"/>
              <w:bottom w:w="0" w:type="dxa"/>
              <w:right w:w="15" w:type="dxa"/>
            </w:tcMar>
            <w:vAlign w:val="bottom"/>
            <w:hideMark/>
          </w:tcPr>
          <w:p w14:paraId="08374D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C9644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3BC5289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(13.5</w:t>
            </w:r>
          </w:p>
        </w:tc>
        <w:tc>
          <w:tcPr>
            <w:tcW w:w="150" w:type="dxa"/>
            <w:shd w:val="clear" w:color="auto" w:fill="CFF0FC"/>
            <w:noWrap/>
            <w:tcMar>
              <w:top w:w="15" w:type="dxa"/>
              <w:left w:w="0" w:type="dxa"/>
              <w:bottom w:w="0" w:type="dxa"/>
              <w:right w:w="15" w:type="dxa"/>
            </w:tcMar>
            <w:vAlign w:val="bottom"/>
            <w:hideMark/>
          </w:tcPr>
          <w:p w14:paraId="15B3CE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3" w:type="dxa"/>
            <w:shd w:val="clear" w:color="auto" w:fill="CFF0FC"/>
            <w:tcMar>
              <w:top w:w="15" w:type="dxa"/>
              <w:left w:w="0" w:type="dxa"/>
              <w:bottom w:w="0" w:type="dxa"/>
              <w:right w:w="15" w:type="dxa"/>
            </w:tcMar>
            <w:vAlign w:val="bottom"/>
            <w:hideMark/>
          </w:tcPr>
          <w:p w14:paraId="2E1717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6F8A6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4C1B61D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(20.4</w:t>
            </w:r>
          </w:p>
        </w:tc>
        <w:tc>
          <w:tcPr>
            <w:tcW w:w="151" w:type="dxa"/>
            <w:shd w:val="clear" w:color="auto" w:fill="CFF0FC"/>
            <w:noWrap/>
            <w:tcMar>
              <w:top w:w="15" w:type="dxa"/>
              <w:left w:w="0" w:type="dxa"/>
              <w:bottom w:w="0" w:type="dxa"/>
              <w:right w:w="15" w:type="dxa"/>
            </w:tcMar>
            <w:vAlign w:val="bottom"/>
            <w:hideMark/>
          </w:tcPr>
          <w:p w14:paraId="518477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3F52CC91" w14:textId="77777777" w:rsidTr="00AC4931">
        <w:tc>
          <w:tcPr>
            <w:tcW w:w="9474" w:type="dxa"/>
            <w:shd w:val="clear" w:color="auto" w:fill="FFFFFF"/>
            <w:tcMar>
              <w:top w:w="15" w:type="dxa"/>
              <w:left w:w="0" w:type="dxa"/>
              <w:bottom w:w="0" w:type="dxa"/>
              <w:right w:w="15" w:type="dxa"/>
            </w:tcMar>
            <w:hideMark/>
          </w:tcPr>
          <w:p w14:paraId="19EF10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Amortization of prior service credit</w:t>
            </w:r>
          </w:p>
        </w:tc>
        <w:tc>
          <w:tcPr>
            <w:tcW w:w="213" w:type="dxa"/>
            <w:shd w:val="clear" w:color="auto" w:fill="FFFFFF"/>
            <w:tcMar>
              <w:top w:w="15" w:type="dxa"/>
              <w:left w:w="0" w:type="dxa"/>
              <w:bottom w:w="0" w:type="dxa"/>
              <w:right w:w="15" w:type="dxa"/>
            </w:tcMar>
            <w:vAlign w:val="bottom"/>
            <w:hideMark/>
          </w:tcPr>
          <w:p w14:paraId="035FB0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8FEA3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2BC9AD8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50" w:type="dxa"/>
            <w:shd w:val="clear" w:color="auto" w:fill="FFFFFF"/>
            <w:noWrap/>
            <w:tcMar>
              <w:top w:w="15" w:type="dxa"/>
              <w:left w:w="0" w:type="dxa"/>
              <w:bottom w:w="0" w:type="dxa"/>
              <w:right w:w="15" w:type="dxa"/>
            </w:tcMar>
            <w:vAlign w:val="bottom"/>
            <w:hideMark/>
          </w:tcPr>
          <w:p w14:paraId="731422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667FB3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C275B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CDAF42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50" w:type="dxa"/>
            <w:shd w:val="clear" w:color="auto" w:fill="FFFFFF"/>
            <w:noWrap/>
            <w:tcMar>
              <w:top w:w="15" w:type="dxa"/>
              <w:left w:w="0" w:type="dxa"/>
              <w:bottom w:w="0" w:type="dxa"/>
              <w:right w:w="15" w:type="dxa"/>
            </w:tcMar>
            <w:vAlign w:val="bottom"/>
            <w:hideMark/>
          </w:tcPr>
          <w:p w14:paraId="16D55E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28D8E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B940E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59F9EFF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51" w:type="dxa"/>
            <w:shd w:val="clear" w:color="auto" w:fill="FFFFFF"/>
            <w:noWrap/>
            <w:tcMar>
              <w:top w:w="15" w:type="dxa"/>
              <w:left w:w="0" w:type="dxa"/>
              <w:bottom w:w="0" w:type="dxa"/>
              <w:right w:w="15" w:type="dxa"/>
            </w:tcMar>
            <w:vAlign w:val="bottom"/>
            <w:hideMark/>
          </w:tcPr>
          <w:p w14:paraId="6476DE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334143D" w14:textId="77777777" w:rsidTr="00AC4931">
        <w:tc>
          <w:tcPr>
            <w:tcW w:w="9474" w:type="dxa"/>
            <w:shd w:val="clear" w:color="auto" w:fill="CFF0FC"/>
            <w:tcMar>
              <w:top w:w="15" w:type="dxa"/>
              <w:left w:w="0" w:type="dxa"/>
              <w:bottom w:w="0" w:type="dxa"/>
              <w:right w:w="15" w:type="dxa"/>
            </w:tcMar>
            <w:hideMark/>
          </w:tcPr>
          <w:p w14:paraId="667E9F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Amortization of actuarial loss</w:t>
            </w:r>
          </w:p>
        </w:tc>
        <w:tc>
          <w:tcPr>
            <w:tcW w:w="213" w:type="dxa"/>
            <w:shd w:val="clear" w:color="auto" w:fill="CFF0FC"/>
            <w:tcMar>
              <w:top w:w="15" w:type="dxa"/>
              <w:left w:w="0" w:type="dxa"/>
              <w:bottom w:w="0" w:type="dxa"/>
              <w:right w:w="15" w:type="dxa"/>
            </w:tcMar>
            <w:vAlign w:val="bottom"/>
            <w:hideMark/>
          </w:tcPr>
          <w:p w14:paraId="22B727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76449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0D625FF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w:t>
            </w:r>
          </w:p>
        </w:tc>
        <w:tc>
          <w:tcPr>
            <w:tcW w:w="150" w:type="dxa"/>
            <w:shd w:val="clear" w:color="auto" w:fill="CFF0FC"/>
            <w:noWrap/>
            <w:tcMar>
              <w:top w:w="15" w:type="dxa"/>
              <w:left w:w="0" w:type="dxa"/>
              <w:bottom w:w="0" w:type="dxa"/>
              <w:right w:w="15" w:type="dxa"/>
            </w:tcMar>
            <w:vAlign w:val="bottom"/>
            <w:hideMark/>
          </w:tcPr>
          <w:p w14:paraId="1207B6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4CEAB8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3B661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66D761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w:t>
            </w:r>
          </w:p>
        </w:tc>
        <w:tc>
          <w:tcPr>
            <w:tcW w:w="150" w:type="dxa"/>
            <w:shd w:val="clear" w:color="auto" w:fill="CFF0FC"/>
            <w:noWrap/>
            <w:tcMar>
              <w:top w:w="15" w:type="dxa"/>
              <w:left w:w="0" w:type="dxa"/>
              <w:bottom w:w="0" w:type="dxa"/>
              <w:right w:w="15" w:type="dxa"/>
            </w:tcMar>
            <w:vAlign w:val="bottom"/>
            <w:hideMark/>
          </w:tcPr>
          <w:p w14:paraId="6FCE7D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5FB2C8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8CBB7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6A5435D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w:t>
            </w:r>
          </w:p>
        </w:tc>
        <w:tc>
          <w:tcPr>
            <w:tcW w:w="151" w:type="dxa"/>
            <w:shd w:val="clear" w:color="auto" w:fill="CFF0FC"/>
            <w:noWrap/>
            <w:tcMar>
              <w:top w:w="15" w:type="dxa"/>
              <w:left w:w="0" w:type="dxa"/>
              <w:bottom w:w="0" w:type="dxa"/>
              <w:right w:w="15" w:type="dxa"/>
            </w:tcMar>
            <w:vAlign w:val="bottom"/>
            <w:hideMark/>
          </w:tcPr>
          <w:p w14:paraId="3BA20F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32396D5" w14:textId="77777777" w:rsidTr="00AC4931">
        <w:tc>
          <w:tcPr>
            <w:tcW w:w="9474" w:type="dxa"/>
            <w:shd w:val="clear" w:color="auto" w:fill="FFFFFF"/>
            <w:tcMar>
              <w:top w:w="15" w:type="dxa"/>
              <w:left w:w="0" w:type="dxa"/>
              <w:bottom w:w="0" w:type="dxa"/>
              <w:right w:w="15" w:type="dxa"/>
            </w:tcMar>
            <w:hideMark/>
          </w:tcPr>
          <w:p w14:paraId="0FF93D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Settlement loss</w:t>
            </w:r>
          </w:p>
        </w:tc>
        <w:tc>
          <w:tcPr>
            <w:tcW w:w="213" w:type="dxa"/>
            <w:shd w:val="clear" w:color="auto" w:fill="FFFFFF"/>
            <w:tcMar>
              <w:top w:w="15" w:type="dxa"/>
              <w:left w:w="0" w:type="dxa"/>
              <w:bottom w:w="0" w:type="dxa"/>
              <w:right w:w="15" w:type="dxa"/>
            </w:tcMar>
            <w:vAlign w:val="bottom"/>
            <w:hideMark/>
          </w:tcPr>
          <w:p w14:paraId="67B953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4BC28D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01B8B97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7.2</w:t>
            </w:r>
          </w:p>
        </w:tc>
        <w:tc>
          <w:tcPr>
            <w:tcW w:w="150" w:type="dxa"/>
            <w:shd w:val="clear" w:color="auto" w:fill="FFFFFF"/>
            <w:noWrap/>
            <w:tcMar>
              <w:top w:w="15" w:type="dxa"/>
              <w:left w:w="0" w:type="dxa"/>
              <w:bottom w:w="0" w:type="dxa"/>
              <w:right w:w="15" w:type="dxa"/>
            </w:tcMar>
            <w:vAlign w:val="bottom"/>
            <w:hideMark/>
          </w:tcPr>
          <w:p w14:paraId="26AEB6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79E60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31ED87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0086885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442866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5D03D0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765ED2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2EB356C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1" w:type="dxa"/>
            <w:shd w:val="clear" w:color="auto" w:fill="FFFFFF"/>
            <w:noWrap/>
            <w:tcMar>
              <w:top w:w="15" w:type="dxa"/>
              <w:left w:w="0" w:type="dxa"/>
              <w:bottom w:w="0" w:type="dxa"/>
              <w:right w:w="15" w:type="dxa"/>
            </w:tcMar>
            <w:vAlign w:val="bottom"/>
            <w:hideMark/>
          </w:tcPr>
          <w:p w14:paraId="3115F9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6C8D4ED" w14:textId="77777777" w:rsidTr="00AC4931">
        <w:tc>
          <w:tcPr>
            <w:tcW w:w="9474" w:type="dxa"/>
            <w:shd w:val="clear" w:color="auto" w:fill="CFF0FC"/>
            <w:tcMar>
              <w:top w:w="15" w:type="dxa"/>
              <w:left w:w="0" w:type="dxa"/>
              <w:bottom w:w="0" w:type="dxa"/>
              <w:right w:w="15" w:type="dxa"/>
            </w:tcMar>
            <w:hideMark/>
          </w:tcPr>
          <w:p w14:paraId="775E26E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periodic benefit cost</w:t>
            </w:r>
          </w:p>
        </w:tc>
        <w:tc>
          <w:tcPr>
            <w:tcW w:w="213" w:type="dxa"/>
            <w:shd w:val="clear" w:color="auto" w:fill="CFF0FC"/>
            <w:tcMar>
              <w:top w:w="15" w:type="dxa"/>
              <w:left w:w="0" w:type="dxa"/>
              <w:bottom w:w="0" w:type="dxa"/>
              <w:right w:w="15" w:type="dxa"/>
            </w:tcMar>
            <w:vAlign w:val="bottom"/>
            <w:hideMark/>
          </w:tcPr>
          <w:p w14:paraId="7206FD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147512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7801DF1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13.4</w:t>
            </w:r>
          </w:p>
        </w:tc>
        <w:tc>
          <w:tcPr>
            <w:tcW w:w="150" w:type="dxa"/>
            <w:shd w:val="clear" w:color="auto" w:fill="CFF0FC"/>
            <w:noWrap/>
            <w:tcMar>
              <w:top w:w="15" w:type="dxa"/>
              <w:left w:w="0" w:type="dxa"/>
              <w:bottom w:w="0" w:type="dxa"/>
              <w:right w:w="15" w:type="dxa"/>
            </w:tcMar>
            <w:vAlign w:val="bottom"/>
            <w:hideMark/>
          </w:tcPr>
          <w:p w14:paraId="7AD995C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0854EF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D6B6E5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5D752F1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9.5</w:t>
            </w:r>
          </w:p>
        </w:tc>
        <w:tc>
          <w:tcPr>
            <w:tcW w:w="150" w:type="dxa"/>
            <w:shd w:val="clear" w:color="auto" w:fill="CFF0FC"/>
            <w:noWrap/>
            <w:tcMar>
              <w:top w:w="15" w:type="dxa"/>
              <w:left w:w="0" w:type="dxa"/>
              <w:bottom w:w="0" w:type="dxa"/>
              <w:right w:w="15" w:type="dxa"/>
            </w:tcMar>
            <w:vAlign w:val="bottom"/>
            <w:hideMark/>
          </w:tcPr>
          <w:p w14:paraId="739C484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4D8D3A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E06A29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1F98498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3.4</w:t>
            </w:r>
          </w:p>
        </w:tc>
        <w:tc>
          <w:tcPr>
            <w:tcW w:w="151" w:type="dxa"/>
            <w:shd w:val="clear" w:color="auto" w:fill="CFF0FC"/>
            <w:noWrap/>
            <w:tcMar>
              <w:top w:w="15" w:type="dxa"/>
              <w:left w:w="0" w:type="dxa"/>
              <w:bottom w:w="0" w:type="dxa"/>
              <w:right w:w="15" w:type="dxa"/>
            </w:tcMar>
            <w:vAlign w:val="bottom"/>
            <w:hideMark/>
          </w:tcPr>
          <w:p w14:paraId="3049B59B"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319D44DE"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9481"/>
        <w:gridCol w:w="214"/>
        <w:gridCol w:w="158"/>
        <w:gridCol w:w="1777"/>
        <w:gridCol w:w="158"/>
        <w:gridCol w:w="213"/>
        <w:gridCol w:w="158"/>
        <w:gridCol w:w="1777"/>
        <w:gridCol w:w="158"/>
        <w:gridCol w:w="213"/>
        <w:gridCol w:w="158"/>
        <w:gridCol w:w="1867"/>
        <w:gridCol w:w="159"/>
      </w:tblGrid>
      <w:tr w:rsidR="00AC4931" w:rsidRPr="00AC4931" w14:paraId="1464E263" w14:textId="77777777" w:rsidTr="00AC4931">
        <w:tc>
          <w:tcPr>
            <w:tcW w:w="9474" w:type="dxa"/>
            <w:shd w:val="clear" w:color="auto" w:fill="FFFFFF"/>
            <w:tcMar>
              <w:top w:w="15" w:type="dxa"/>
              <w:left w:w="0" w:type="dxa"/>
              <w:bottom w:w="0" w:type="dxa"/>
              <w:right w:w="15" w:type="dxa"/>
            </w:tcMar>
            <w:vAlign w:val="bottom"/>
            <w:hideMark/>
          </w:tcPr>
          <w:p w14:paraId="7967B809"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13" w:type="dxa"/>
            <w:shd w:val="clear" w:color="auto" w:fill="FFFFFF"/>
            <w:tcMar>
              <w:top w:w="15" w:type="dxa"/>
              <w:left w:w="0" w:type="dxa"/>
              <w:bottom w:w="0" w:type="dxa"/>
              <w:right w:w="15" w:type="dxa"/>
            </w:tcMar>
            <w:vAlign w:val="bottom"/>
            <w:hideMark/>
          </w:tcPr>
          <w:p w14:paraId="1B0C24B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6594" w:type="dxa"/>
            <w:gridSpan w:val="10"/>
            <w:tcBorders>
              <w:bottom w:val="single" w:sz="6" w:space="0" w:color="000000"/>
            </w:tcBorders>
            <w:shd w:val="clear" w:color="auto" w:fill="FFFFFF"/>
            <w:tcMar>
              <w:top w:w="15" w:type="dxa"/>
              <w:left w:w="0" w:type="dxa"/>
              <w:bottom w:w="0" w:type="dxa"/>
              <w:right w:w="15" w:type="dxa"/>
            </w:tcMar>
            <w:vAlign w:val="bottom"/>
            <w:hideMark/>
          </w:tcPr>
          <w:p w14:paraId="3BEA16B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Non-U.S.</w:t>
            </w:r>
          </w:p>
        </w:tc>
        <w:tc>
          <w:tcPr>
            <w:tcW w:w="151" w:type="dxa"/>
            <w:shd w:val="clear" w:color="auto" w:fill="FFFFFF"/>
            <w:noWrap/>
            <w:tcMar>
              <w:top w:w="15" w:type="dxa"/>
              <w:left w:w="0" w:type="dxa"/>
              <w:bottom w:w="0" w:type="dxa"/>
              <w:right w:w="15" w:type="dxa"/>
            </w:tcMar>
            <w:vAlign w:val="bottom"/>
            <w:hideMark/>
          </w:tcPr>
          <w:p w14:paraId="1E75485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509084A2" w14:textId="77777777" w:rsidTr="00AC4931">
        <w:tc>
          <w:tcPr>
            <w:tcW w:w="9474" w:type="dxa"/>
            <w:shd w:val="clear" w:color="auto" w:fill="FFFFFF"/>
            <w:tcMar>
              <w:top w:w="15" w:type="dxa"/>
              <w:left w:w="0" w:type="dxa"/>
              <w:bottom w:w="0" w:type="dxa"/>
              <w:right w:w="15" w:type="dxa"/>
            </w:tcMar>
            <w:vAlign w:val="bottom"/>
            <w:hideMark/>
          </w:tcPr>
          <w:p w14:paraId="7D4DACF4"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u w:val="single"/>
              </w:rPr>
              <w:t>(Dollars in millions)</w:t>
            </w:r>
          </w:p>
        </w:tc>
        <w:tc>
          <w:tcPr>
            <w:tcW w:w="213" w:type="dxa"/>
            <w:shd w:val="clear" w:color="auto" w:fill="FFFFFF"/>
            <w:tcMar>
              <w:top w:w="15" w:type="dxa"/>
              <w:left w:w="0" w:type="dxa"/>
              <w:bottom w:w="0" w:type="dxa"/>
              <w:right w:w="15" w:type="dxa"/>
            </w:tcMar>
            <w:vAlign w:val="bottom"/>
            <w:hideMark/>
          </w:tcPr>
          <w:p w14:paraId="27F1074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4B1D5C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15635E6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tcBorders>
              <w:top w:val="single" w:sz="6" w:space="0" w:color="000000"/>
            </w:tcBorders>
            <w:shd w:val="clear" w:color="auto" w:fill="FFFFFF"/>
            <w:tcMar>
              <w:top w:w="15" w:type="dxa"/>
              <w:left w:w="0" w:type="dxa"/>
              <w:bottom w:w="0" w:type="dxa"/>
              <w:right w:w="15" w:type="dxa"/>
            </w:tcMar>
            <w:vAlign w:val="bottom"/>
            <w:hideMark/>
          </w:tcPr>
          <w:p w14:paraId="202A76B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18C1F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08D4F94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tcBorders>
              <w:top w:val="single" w:sz="6" w:space="0" w:color="000000"/>
            </w:tcBorders>
            <w:shd w:val="clear" w:color="auto" w:fill="FFFFFF"/>
            <w:tcMar>
              <w:top w:w="15" w:type="dxa"/>
              <w:left w:w="0" w:type="dxa"/>
              <w:bottom w:w="0" w:type="dxa"/>
              <w:right w:w="15" w:type="dxa"/>
            </w:tcMar>
            <w:vAlign w:val="bottom"/>
            <w:hideMark/>
          </w:tcPr>
          <w:p w14:paraId="6D6B80D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39A6F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4EC7583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5DF1DB2" w14:textId="77777777" w:rsidTr="00AC4931">
        <w:tc>
          <w:tcPr>
            <w:tcW w:w="9474" w:type="dxa"/>
            <w:shd w:val="clear" w:color="auto" w:fill="CFF0FC"/>
            <w:tcMar>
              <w:top w:w="15" w:type="dxa"/>
              <w:left w:w="0" w:type="dxa"/>
              <w:bottom w:w="0" w:type="dxa"/>
              <w:right w:w="15" w:type="dxa"/>
            </w:tcMar>
            <w:hideMark/>
          </w:tcPr>
          <w:p w14:paraId="533D13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Service cost</w:t>
            </w:r>
          </w:p>
        </w:tc>
        <w:tc>
          <w:tcPr>
            <w:tcW w:w="213" w:type="dxa"/>
            <w:shd w:val="clear" w:color="auto" w:fill="CFF0FC"/>
            <w:tcMar>
              <w:top w:w="15" w:type="dxa"/>
              <w:left w:w="0" w:type="dxa"/>
              <w:bottom w:w="0" w:type="dxa"/>
              <w:right w:w="15" w:type="dxa"/>
            </w:tcMar>
            <w:vAlign w:val="bottom"/>
            <w:hideMark/>
          </w:tcPr>
          <w:p w14:paraId="691BDE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D2C06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4D0E476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12.2</w:t>
            </w:r>
          </w:p>
        </w:tc>
        <w:tc>
          <w:tcPr>
            <w:tcW w:w="150" w:type="dxa"/>
            <w:shd w:val="clear" w:color="auto" w:fill="CFF0FC"/>
            <w:noWrap/>
            <w:tcMar>
              <w:top w:w="15" w:type="dxa"/>
              <w:left w:w="0" w:type="dxa"/>
              <w:bottom w:w="0" w:type="dxa"/>
              <w:right w:w="15" w:type="dxa"/>
            </w:tcMar>
            <w:vAlign w:val="bottom"/>
            <w:hideMark/>
          </w:tcPr>
          <w:p w14:paraId="37D645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323D24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EA62E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7853F6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10.7</w:t>
            </w:r>
          </w:p>
        </w:tc>
        <w:tc>
          <w:tcPr>
            <w:tcW w:w="150" w:type="dxa"/>
            <w:shd w:val="clear" w:color="auto" w:fill="CFF0FC"/>
            <w:noWrap/>
            <w:tcMar>
              <w:top w:w="15" w:type="dxa"/>
              <w:left w:w="0" w:type="dxa"/>
              <w:bottom w:w="0" w:type="dxa"/>
              <w:right w:w="15" w:type="dxa"/>
            </w:tcMar>
            <w:vAlign w:val="bottom"/>
            <w:hideMark/>
          </w:tcPr>
          <w:p w14:paraId="482CA6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73EDAC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7FFCE8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2470701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10.8</w:t>
            </w:r>
          </w:p>
        </w:tc>
        <w:tc>
          <w:tcPr>
            <w:tcW w:w="151" w:type="dxa"/>
            <w:shd w:val="clear" w:color="auto" w:fill="CFF0FC"/>
            <w:noWrap/>
            <w:tcMar>
              <w:top w:w="15" w:type="dxa"/>
              <w:left w:w="0" w:type="dxa"/>
              <w:bottom w:w="0" w:type="dxa"/>
              <w:right w:w="15" w:type="dxa"/>
            </w:tcMar>
            <w:vAlign w:val="bottom"/>
            <w:hideMark/>
          </w:tcPr>
          <w:p w14:paraId="0889B4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F37B03C" w14:textId="77777777" w:rsidTr="00AC4931">
        <w:tc>
          <w:tcPr>
            <w:tcW w:w="9474" w:type="dxa"/>
            <w:shd w:val="clear" w:color="auto" w:fill="FFFFFF"/>
            <w:tcMar>
              <w:top w:w="15" w:type="dxa"/>
              <w:left w:w="0" w:type="dxa"/>
              <w:bottom w:w="0" w:type="dxa"/>
              <w:right w:w="15" w:type="dxa"/>
            </w:tcMar>
            <w:hideMark/>
          </w:tcPr>
          <w:p w14:paraId="7B8305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Interest cost</w:t>
            </w:r>
          </w:p>
        </w:tc>
        <w:tc>
          <w:tcPr>
            <w:tcW w:w="213" w:type="dxa"/>
            <w:shd w:val="clear" w:color="auto" w:fill="FFFFFF"/>
            <w:tcMar>
              <w:top w:w="15" w:type="dxa"/>
              <w:left w:w="0" w:type="dxa"/>
              <w:bottom w:w="0" w:type="dxa"/>
              <w:right w:w="15" w:type="dxa"/>
            </w:tcMar>
            <w:vAlign w:val="bottom"/>
            <w:hideMark/>
          </w:tcPr>
          <w:p w14:paraId="6C69EB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677E1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3009153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5.8</w:t>
            </w:r>
          </w:p>
        </w:tc>
        <w:tc>
          <w:tcPr>
            <w:tcW w:w="150" w:type="dxa"/>
            <w:shd w:val="clear" w:color="auto" w:fill="FFFFFF"/>
            <w:noWrap/>
            <w:tcMar>
              <w:top w:w="15" w:type="dxa"/>
              <w:left w:w="0" w:type="dxa"/>
              <w:bottom w:w="0" w:type="dxa"/>
              <w:right w:w="15" w:type="dxa"/>
            </w:tcMar>
            <w:vAlign w:val="bottom"/>
            <w:hideMark/>
          </w:tcPr>
          <w:p w14:paraId="677FA4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26E864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C5A16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6726E1F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6.4</w:t>
            </w:r>
          </w:p>
        </w:tc>
        <w:tc>
          <w:tcPr>
            <w:tcW w:w="150" w:type="dxa"/>
            <w:shd w:val="clear" w:color="auto" w:fill="FFFFFF"/>
            <w:noWrap/>
            <w:tcMar>
              <w:top w:w="15" w:type="dxa"/>
              <w:left w:w="0" w:type="dxa"/>
              <w:bottom w:w="0" w:type="dxa"/>
              <w:right w:w="15" w:type="dxa"/>
            </w:tcMar>
            <w:vAlign w:val="bottom"/>
            <w:hideMark/>
          </w:tcPr>
          <w:p w14:paraId="59B7BF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793505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215CB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939240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5.7</w:t>
            </w:r>
          </w:p>
        </w:tc>
        <w:tc>
          <w:tcPr>
            <w:tcW w:w="151" w:type="dxa"/>
            <w:shd w:val="clear" w:color="auto" w:fill="FFFFFF"/>
            <w:noWrap/>
            <w:tcMar>
              <w:top w:w="15" w:type="dxa"/>
              <w:left w:w="0" w:type="dxa"/>
              <w:bottom w:w="0" w:type="dxa"/>
              <w:right w:w="15" w:type="dxa"/>
            </w:tcMar>
            <w:vAlign w:val="bottom"/>
            <w:hideMark/>
          </w:tcPr>
          <w:p w14:paraId="402750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F8C1886" w14:textId="77777777" w:rsidTr="00AC4931">
        <w:tc>
          <w:tcPr>
            <w:tcW w:w="9474" w:type="dxa"/>
            <w:shd w:val="clear" w:color="auto" w:fill="CFF0FC"/>
            <w:tcMar>
              <w:top w:w="15" w:type="dxa"/>
              <w:left w:w="0" w:type="dxa"/>
              <w:bottom w:w="0" w:type="dxa"/>
              <w:right w:w="15" w:type="dxa"/>
            </w:tcMar>
            <w:hideMark/>
          </w:tcPr>
          <w:p w14:paraId="5670C4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Expected return on plan assets</w:t>
            </w:r>
          </w:p>
        </w:tc>
        <w:tc>
          <w:tcPr>
            <w:tcW w:w="213" w:type="dxa"/>
            <w:shd w:val="clear" w:color="auto" w:fill="CFF0FC"/>
            <w:tcMar>
              <w:top w:w="15" w:type="dxa"/>
              <w:left w:w="0" w:type="dxa"/>
              <w:bottom w:w="0" w:type="dxa"/>
              <w:right w:w="15" w:type="dxa"/>
            </w:tcMar>
            <w:vAlign w:val="bottom"/>
            <w:hideMark/>
          </w:tcPr>
          <w:p w14:paraId="3F348F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E6117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4DC4F1A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w:t>
            </w:r>
          </w:p>
        </w:tc>
        <w:tc>
          <w:tcPr>
            <w:tcW w:w="150" w:type="dxa"/>
            <w:shd w:val="clear" w:color="auto" w:fill="CFF0FC"/>
            <w:noWrap/>
            <w:tcMar>
              <w:top w:w="15" w:type="dxa"/>
              <w:left w:w="0" w:type="dxa"/>
              <w:bottom w:w="0" w:type="dxa"/>
              <w:right w:w="15" w:type="dxa"/>
            </w:tcMar>
            <w:vAlign w:val="bottom"/>
            <w:hideMark/>
          </w:tcPr>
          <w:p w14:paraId="177839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3" w:type="dxa"/>
            <w:shd w:val="clear" w:color="auto" w:fill="CFF0FC"/>
            <w:tcMar>
              <w:top w:w="15" w:type="dxa"/>
              <w:left w:w="0" w:type="dxa"/>
              <w:bottom w:w="0" w:type="dxa"/>
              <w:right w:w="15" w:type="dxa"/>
            </w:tcMar>
            <w:vAlign w:val="bottom"/>
            <w:hideMark/>
          </w:tcPr>
          <w:p w14:paraId="7A3006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F7BF0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70D8D5E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w:t>
            </w:r>
          </w:p>
        </w:tc>
        <w:tc>
          <w:tcPr>
            <w:tcW w:w="150" w:type="dxa"/>
            <w:shd w:val="clear" w:color="auto" w:fill="CFF0FC"/>
            <w:noWrap/>
            <w:tcMar>
              <w:top w:w="15" w:type="dxa"/>
              <w:left w:w="0" w:type="dxa"/>
              <w:bottom w:w="0" w:type="dxa"/>
              <w:right w:w="15" w:type="dxa"/>
            </w:tcMar>
            <w:vAlign w:val="bottom"/>
            <w:hideMark/>
          </w:tcPr>
          <w:p w14:paraId="4993D1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3" w:type="dxa"/>
            <w:shd w:val="clear" w:color="auto" w:fill="CFF0FC"/>
            <w:tcMar>
              <w:top w:w="15" w:type="dxa"/>
              <w:left w:w="0" w:type="dxa"/>
              <w:bottom w:w="0" w:type="dxa"/>
              <w:right w:w="15" w:type="dxa"/>
            </w:tcMar>
            <w:vAlign w:val="bottom"/>
            <w:hideMark/>
          </w:tcPr>
          <w:p w14:paraId="46E80E2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F734D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1576B9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51" w:type="dxa"/>
            <w:shd w:val="clear" w:color="auto" w:fill="CFF0FC"/>
            <w:noWrap/>
            <w:tcMar>
              <w:top w:w="15" w:type="dxa"/>
              <w:left w:w="0" w:type="dxa"/>
              <w:bottom w:w="0" w:type="dxa"/>
              <w:right w:w="15" w:type="dxa"/>
            </w:tcMar>
            <w:vAlign w:val="bottom"/>
            <w:hideMark/>
          </w:tcPr>
          <w:p w14:paraId="06BA98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1012897" w14:textId="77777777" w:rsidTr="00AC4931">
        <w:tc>
          <w:tcPr>
            <w:tcW w:w="9474" w:type="dxa"/>
            <w:shd w:val="clear" w:color="auto" w:fill="FFFFFF"/>
            <w:tcMar>
              <w:top w:w="15" w:type="dxa"/>
              <w:left w:w="0" w:type="dxa"/>
              <w:bottom w:w="0" w:type="dxa"/>
              <w:right w:w="15" w:type="dxa"/>
            </w:tcMar>
            <w:hideMark/>
          </w:tcPr>
          <w:p w14:paraId="7C9594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Amortization of prior service costs</w:t>
            </w:r>
          </w:p>
        </w:tc>
        <w:tc>
          <w:tcPr>
            <w:tcW w:w="213" w:type="dxa"/>
            <w:shd w:val="clear" w:color="auto" w:fill="FFFFFF"/>
            <w:tcMar>
              <w:top w:w="15" w:type="dxa"/>
              <w:left w:w="0" w:type="dxa"/>
              <w:bottom w:w="0" w:type="dxa"/>
              <w:right w:w="15" w:type="dxa"/>
            </w:tcMar>
            <w:vAlign w:val="bottom"/>
            <w:hideMark/>
          </w:tcPr>
          <w:p w14:paraId="1178CC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24F74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D2D040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w:t>
            </w:r>
          </w:p>
        </w:tc>
        <w:tc>
          <w:tcPr>
            <w:tcW w:w="150" w:type="dxa"/>
            <w:shd w:val="clear" w:color="auto" w:fill="FFFFFF"/>
            <w:noWrap/>
            <w:tcMar>
              <w:top w:w="15" w:type="dxa"/>
              <w:left w:w="0" w:type="dxa"/>
              <w:bottom w:w="0" w:type="dxa"/>
              <w:right w:w="15" w:type="dxa"/>
            </w:tcMar>
            <w:vAlign w:val="bottom"/>
            <w:hideMark/>
          </w:tcPr>
          <w:p w14:paraId="62FFCB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0A3729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1404E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AFD0D7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50" w:type="dxa"/>
            <w:shd w:val="clear" w:color="auto" w:fill="FFFFFF"/>
            <w:noWrap/>
            <w:tcMar>
              <w:top w:w="15" w:type="dxa"/>
              <w:left w:w="0" w:type="dxa"/>
              <w:bottom w:w="0" w:type="dxa"/>
              <w:right w:w="15" w:type="dxa"/>
            </w:tcMar>
            <w:vAlign w:val="bottom"/>
            <w:hideMark/>
          </w:tcPr>
          <w:p w14:paraId="78F9B8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F1A07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49991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527FA60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51" w:type="dxa"/>
            <w:shd w:val="clear" w:color="auto" w:fill="FFFFFF"/>
            <w:noWrap/>
            <w:tcMar>
              <w:top w:w="15" w:type="dxa"/>
              <w:left w:w="0" w:type="dxa"/>
              <w:bottom w:w="0" w:type="dxa"/>
              <w:right w:w="15" w:type="dxa"/>
            </w:tcMar>
            <w:vAlign w:val="bottom"/>
            <w:hideMark/>
          </w:tcPr>
          <w:p w14:paraId="061079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6D7102D" w14:textId="77777777" w:rsidTr="00AC4931">
        <w:tc>
          <w:tcPr>
            <w:tcW w:w="9474" w:type="dxa"/>
            <w:shd w:val="clear" w:color="auto" w:fill="CFF0FC"/>
            <w:tcMar>
              <w:top w:w="15" w:type="dxa"/>
              <w:left w:w="0" w:type="dxa"/>
              <w:bottom w:w="0" w:type="dxa"/>
              <w:right w:w="15" w:type="dxa"/>
            </w:tcMar>
            <w:hideMark/>
          </w:tcPr>
          <w:p w14:paraId="647EF1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Amortization of actuarial loss</w:t>
            </w:r>
          </w:p>
        </w:tc>
        <w:tc>
          <w:tcPr>
            <w:tcW w:w="213" w:type="dxa"/>
            <w:shd w:val="clear" w:color="auto" w:fill="CFF0FC"/>
            <w:tcMar>
              <w:top w:w="15" w:type="dxa"/>
              <w:left w:w="0" w:type="dxa"/>
              <w:bottom w:w="0" w:type="dxa"/>
              <w:right w:w="15" w:type="dxa"/>
            </w:tcMar>
            <w:vAlign w:val="bottom"/>
            <w:hideMark/>
          </w:tcPr>
          <w:p w14:paraId="74F696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2FC4A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13B809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50" w:type="dxa"/>
            <w:shd w:val="clear" w:color="auto" w:fill="CFF0FC"/>
            <w:noWrap/>
            <w:tcMar>
              <w:top w:w="15" w:type="dxa"/>
              <w:left w:w="0" w:type="dxa"/>
              <w:bottom w:w="0" w:type="dxa"/>
              <w:right w:w="15" w:type="dxa"/>
            </w:tcMar>
            <w:vAlign w:val="bottom"/>
            <w:hideMark/>
          </w:tcPr>
          <w:p w14:paraId="165923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74B56D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F3997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0F7D1B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w:t>
            </w:r>
          </w:p>
        </w:tc>
        <w:tc>
          <w:tcPr>
            <w:tcW w:w="150" w:type="dxa"/>
            <w:shd w:val="clear" w:color="auto" w:fill="CFF0FC"/>
            <w:noWrap/>
            <w:tcMar>
              <w:top w:w="15" w:type="dxa"/>
              <w:left w:w="0" w:type="dxa"/>
              <w:bottom w:w="0" w:type="dxa"/>
              <w:right w:w="15" w:type="dxa"/>
            </w:tcMar>
            <w:vAlign w:val="bottom"/>
            <w:hideMark/>
          </w:tcPr>
          <w:p w14:paraId="4D8FDC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23110E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06117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07C4AED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w:t>
            </w:r>
          </w:p>
        </w:tc>
        <w:tc>
          <w:tcPr>
            <w:tcW w:w="151" w:type="dxa"/>
            <w:shd w:val="clear" w:color="auto" w:fill="CFF0FC"/>
            <w:noWrap/>
            <w:tcMar>
              <w:top w:w="15" w:type="dxa"/>
              <w:left w:w="0" w:type="dxa"/>
              <w:bottom w:w="0" w:type="dxa"/>
              <w:right w:w="15" w:type="dxa"/>
            </w:tcMar>
            <w:vAlign w:val="bottom"/>
            <w:hideMark/>
          </w:tcPr>
          <w:p w14:paraId="1F742C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810153A" w14:textId="77777777" w:rsidTr="00AC4931">
        <w:tc>
          <w:tcPr>
            <w:tcW w:w="9474" w:type="dxa"/>
            <w:shd w:val="clear" w:color="auto" w:fill="FFFFFF"/>
            <w:tcMar>
              <w:top w:w="15" w:type="dxa"/>
              <w:left w:w="0" w:type="dxa"/>
              <w:bottom w:w="0" w:type="dxa"/>
              <w:right w:w="15" w:type="dxa"/>
            </w:tcMar>
            <w:hideMark/>
          </w:tcPr>
          <w:p w14:paraId="43947C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Settlement loss</w:t>
            </w:r>
          </w:p>
        </w:tc>
        <w:tc>
          <w:tcPr>
            <w:tcW w:w="213" w:type="dxa"/>
            <w:shd w:val="clear" w:color="auto" w:fill="FFFFFF"/>
            <w:tcMar>
              <w:top w:w="15" w:type="dxa"/>
              <w:left w:w="0" w:type="dxa"/>
              <w:bottom w:w="0" w:type="dxa"/>
              <w:right w:w="15" w:type="dxa"/>
            </w:tcMar>
            <w:vAlign w:val="bottom"/>
            <w:hideMark/>
          </w:tcPr>
          <w:p w14:paraId="326A68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73FD1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26541A7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50" w:type="dxa"/>
            <w:shd w:val="clear" w:color="auto" w:fill="FFFFFF"/>
            <w:noWrap/>
            <w:tcMar>
              <w:top w:w="15" w:type="dxa"/>
              <w:left w:w="0" w:type="dxa"/>
              <w:bottom w:w="0" w:type="dxa"/>
              <w:right w:w="15" w:type="dxa"/>
            </w:tcMar>
            <w:vAlign w:val="bottom"/>
            <w:hideMark/>
          </w:tcPr>
          <w:p w14:paraId="038876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25252E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E77DE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778D36E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50" w:type="dxa"/>
            <w:shd w:val="clear" w:color="auto" w:fill="FFFFFF"/>
            <w:noWrap/>
            <w:tcMar>
              <w:top w:w="15" w:type="dxa"/>
              <w:left w:w="0" w:type="dxa"/>
              <w:bottom w:w="0" w:type="dxa"/>
              <w:right w:w="15" w:type="dxa"/>
            </w:tcMar>
            <w:vAlign w:val="bottom"/>
            <w:hideMark/>
          </w:tcPr>
          <w:p w14:paraId="7F7F90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5BE42A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B44F2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7F08BA7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51" w:type="dxa"/>
            <w:shd w:val="clear" w:color="auto" w:fill="FFFFFF"/>
            <w:noWrap/>
            <w:tcMar>
              <w:top w:w="15" w:type="dxa"/>
              <w:left w:w="0" w:type="dxa"/>
              <w:bottom w:w="0" w:type="dxa"/>
              <w:right w:w="15" w:type="dxa"/>
            </w:tcMar>
            <w:vAlign w:val="bottom"/>
            <w:hideMark/>
          </w:tcPr>
          <w:p w14:paraId="0CE569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3255B1F" w14:textId="77777777" w:rsidTr="00AC4931">
        <w:tc>
          <w:tcPr>
            <w:tcW w:w="9474" w:type="dxa"/>
            <w:shd w:val="clear" w:color="auto" w:fill="CFF0FC"/>
            <w:tcMar>
              <w:top w:w="15" w:type="dxa"/>
              <w:left w:w="0" w:type="dxa"/>
              <w:bottom w:w="0" w:type="dxa"/>
              <w:right w:w="15" w:type="dxa"/>
            </w:tcMar>
            <w:hideMark/>
          </w:tcPr>
          <w:p w14:paraId="7C0B30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Special termination benefits</w:t>
            </w:r>
          </w:p>
        </w:tc>
        <w:tc>
          <w:tcPr>
            <w:tcW w:w="213" w:type="dxa"/>
            <w:shd w:val="clear" w:color="auto" w:fill="CFF0FC"/>
            <w:tcMar>
              <w:top w:w="15" w:type="dxa"/>
              <w:left w:w="0" w:type="dxa"/>
              <w:bottom w:w="0" w:type="dxa"/>
              <w:right w:w="15" w:type="dxa"/>
            </w:tcMar>
            <w:vAlign w:val="bottom"/>
            <w:hideMark/>
          </w:tcPr>
          <w:p w14:paraId="5449F3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341673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5C577AF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50" w:type="dxa"/>
            <w:shd w:val="clear" w:color="auto" w:fill="CFF0FC"/>
            <w:noWrap/>
            <w:tcMar>
              <w:top w:w="15" w:type="dxa"/>
              <w:left w:w="0" w:type="dxa"/>
              <w:bottom w:w="0" w:type="dxa"/>
              <w:right w:w="15" w:type="dxa"/>
            </w:tcMar>
            <w:vAlign w:val="bottom"/>
            <w:hideMark/>
          </w:tcPr>
          <w:p w14:paraId="2315F3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1C2E736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3D0DC2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53EACBE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w:t>
            </w:r>
          </w:p>
        </w:tc>
        <w:tc>
          <w:tcPr>
            <w:tcW w:w="150" w:type="dxa"/>
            <w:shd w:val="clear" w:color="auto" w:fill="CFF0FC"/>
            <w:noWrap/>
            <w:tcMar>
              <w:top w:w="15" w:type="dxa"/>
              <w:left w:w="0" w:type="dxa"/>
              <w:bottom w:w="0" w:type="dxa"/>
              <w:right w:w="15" w:type="dxa"/>
            </w:tcMar>
            <w:vAlign w:val="bottom"/>
            <w:hideMark/>
          </w:tcPr>
          <w:p w14:paraId="719CB0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231FEA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1A70E1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778FF0F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w:t>
            </w:r>
          </w:p>
        </w:tc>
        <w:tc>
          <w:tcPr>
            <w:tcW w:w="151" w:type="dxa"/>
            <w:shd w:val="clear" w:color="auto" w:fill="CFF0FC"/>
            <w:noWrap/>
            <w:tcMar>
              <w:top w:w="15" w:type="dxa"/>
              <w:left w:w="0" w:type="dxa"/>
              <w:bottom w:w="0" w:type="dxa"/>
              <w:right w:w="15" w:type="dxa"/>
            </w:tcMar>
            <w:vAlign w:val="bottom"/>
            <w:hideMark/>
          </w:tcPr>
          <w:p w14:paraId="681BF2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5D9B8EC" w14:textId="77777777" w:rsidTr="00AC4931">
        <w:tc>
          <w:tcPr>
            <w:tcW w:w="9474" w:type="dxa"/>
            <w:shd w:val="clear" w:color="auto" w:fill="FFFFFF"/>
            <w:tcMar>
              <w:top w:w="15" w:type="dxa"/>
              <w:left w:w="0" w:type="dxa"/>
              <w:bottom w:w="0" w:type="dxa"/>
              <w:right w:w="15" w:type="dxa"/>
            </w:tcMar>
            <w:hideMark/>
          </w:tcPr>
          <w:p w14:paraId="1B257A6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periodic benefit cost</w:t>
            </w:r>
          </w:p>
        </w:tc>
        <w:tc>
          <w:tcPr>
            <w:tcW w:w="213" w:type="dxa"/>
            <w:shd w:val="clear" w:color="auto" w:fill="FFFFFF"/>
            <w:tcMar>
              <w:top w:w="15" w:type="dxa"/>
              <w:left w:w="0" w:type="dxa"/>
              <w:bottom w:w="0" w:type="dxa"/>
              <w:right w:w="15" w:type="dxa"/>
            </w:tcMar>
            <w:vAlign w:val="bottom"/>
            <w:hideMark/>
          </w:tcPr>
          <w:p w14:paraId="07D54F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1D49880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28F4ECC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19.1</w:t>
            </w:r>
          </w:p>
        </w:tc>
        <w:tc>
          <w:tcPr>
            <w:tcW w:w="150" w:type="dxa"/>
            <w:shd w:val="clear" w:color="auto" w:fill="FFFFFF"/>
            <w:noWrap/>
            <w:tcMar>
              <w:top w:w="15" w:type="dxa"/>
              <w:left w:w="0" w:type="dxa"/>
              <w:bottom w:w="0" w:type="dxa"/>
              <w:right w:w="15" w:type="dxa"/>
            </w:tcMar>
            <w:vAlign w:val="bottom"/>
            <w:hideMark/>
          </w:tcPr>
          <w:p w14:paraId="572C85E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6218DE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6F23A02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44C434C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17.5</w:t>
            </w:r>
          </w:p>
        </w:tc>
        <w:tc>
          <w:tcPr>
            <w:tcW w:w="150" w:type="dxa"/>
            <w:shd w:val="clear" w:color="auto" w:fill="FFFFFF"/>
            <w:noWrap/>
            <w:tcMar>
              <w:top w:w="15" w:type="dxa"/>
              <w:left w:w="0" w:type="dxa"/>
              <w:bottom w:w="0" w:type="dxa"/>
              <w:right w:w="15" w:type="dxa"/>
            </w:tcMar>
            <w:vAlign w:val="bottom"/>
            <w:hideMark/>
          </w:tcPr>
          <w:p w14:paraId="3628FE0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5DA5F6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42E33AC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2252B0D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16.9</w:t>
            </w:r>
          </w:p>
        </w:tc>
        <w:tc>
          <w:tcPr>
            <w:tcW w:w="151" w:type="dxa"/>
            <w:shd w:val="clear" w:color="auto" w:fill="FFFFFF"/>
            <w:noWrap/>
            <w:tcMar>
              <w:top w:w="15" w:type="dxa"/>
              <w:left w:w="0" w:type="dxa"/>
              <w:bottom w:w="0" w:type="dxa"/>
              <w:right w:w="15" w:type="dxa"/>
            </w:tcMar>
            <w:vAlign w:val="bottom"/>
            <w:hideMark/>
          </w:tcPr>
          <w:p w14:paraId="595826EA"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2C980E60"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606C4E24"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service cost and amortization of prior service cost components are reported among other employee compensation costs in the Consolidated Statements of Income. The remaining components, interest cost, expected returns on plan assets and amortization of actuarial loss, are reported as Other non-operating items, net in the Consolidated Statements of Income.</w:t>
      </w:r>
    </w:p>
    <w:p w14:paraId="35FEB00B"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81</w:t>
      </w:r>
    </w:p>
    <w:p w14:paraId="06B45E3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08FB4C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4182598"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D66FB22"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03341A5">
          <v:rect id="_x0000_i1108" style="width:0;height:1.5pt" o:hralign="center" o:hrstd="t" o:hrnoshade="t" o:hr="t" fillcolor="black" stroked="f"/>
        </w:pict>
      </w:r>
    </w:p>
    <w:p w14:paraId="12BD02B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81D3B1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4716FD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EDCA72E" w14:textId="77777777" w:rsidR="00AC4931" w:rsidRPr="00AC4931" w:rsidRDefault="00AC4931" w:rsidP="00AC4931">
      <w:pPr>
        <w:widowControl/>
        <w:spacing w:before="240"/>
        <w:rPr>
          <w:rFonts w:ascii="Arial" w:eastAsia="宋体" w:hAnsi="Arial" w:cs="Arial" w:hint="eastAsia"/>
          <w:kern w:val="0"/>
          <w:sz w:val="18"/>
          <w:szCs w:val="18"/>
        </w:rPr>
      </w:pPr>
      <w:r w:rsidRPr="00AC4931">
        <w:rPr>
          <w:rFonts w:ascii="Arial" w:eastAsia="宋体" w:hAnsi="Arial" w:cs="Arial"/>
          <w:kern w:val="0"/>
          <w:sz w:val="18"/>
          <w:szCs w:val="18"/>
        </w:rPr>
        <w:t>Amortization of the net actuarial loss from accumulated other comprehensive income is made over the estimated remaining service lives of the plan participants, 9 years for U.S. and from 4 to 31 years for non-U.S. participants, varying between the different countries depending on the age of the work force.</w:t>
      </w:r>
    </w:p>
    <w:p w14:paraId="52067743"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COMPONENTS OF ACCUMULATED OTHER COMPREHENSIVE INCOME BEFORE TAX AS OF DECEMBER 31</w:t>
      </w:r>
    </w:p>
    <w:p w14:paraId="5D1A203A"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8553" w:type="dxa"/>
        <w:tblCellMar>
          <w:left w:w="0" w:type="dxa"/>
          <w:right w:w="0" w:type="dxa"/>
        </w:tblCellMar>
        <w:tblLook w:val="04A0" w:firstRow="1" w:lastRow="0" w:firstColumn="1" w:lastColumn="0" w:noHBand="0" w:noVBand="1"/>
      </w:tblPr>
      <w:tblGrid>
        <w:gridCol w:w="9353"/>
        <w:gridCol w:w="212"/>
        <w:gridCol w:w="179"/>
        <w:gridCol w:w="1710"/>
        <w:gridCol w:w="179"/>
        <w:gridCol w:w="211"/>
        <w:gridCol w:w="178"/>
        <w:gridCol w:w="1754"/>
        <w:gridCol w:w="178"/>
        <w:gridCol w:w="211"/>
        <w:gridCol w:w="178"/>
        <w:gridCol w:w="1709"/>
        <w:gridCol w:w="178"/>
        <w:gridCol w:w="211"/>
        <w:gridCol w:w="178"/>
        <w:gridCol w:w="1754"/>
        <w:gridCol w:w="180"/>
      </w:tblGrid>
      <w:tr w:rsidR="00AC4931" w:rsidRPr="00AC4931" w14:paraId="43D9C186" w14:textId="77777777" w:rsidTr="00AC4931">
        <w:tc>
          <w:tcPr>
            <w:tcW w:w="9330" w:type="dxa"/>
            <w:shd w:val="clear" w:color="auto" w:fill="FFFFFF"/>
            <w:tcMar>
              <w:top w:w="15" w:type="dxa"/>
              <w:left w:w="0" w:type="dxa"/>
              <w:bottom w:w="0" w:type="dxa"/>
              <w:right w:w="15" w:type="dxa"/>
            </w:tcMar>
            <w:vAlign w:val="bottom"/>
            <w:hideMark/>
          </w:tcPr>
          <w:p w14:paraId="4E533792"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11" w:type="dxa"/>
            <w:shd w:val="clear" w:color="auto" w:fill="FFFFFF"/>
            <w:tcMar>
              <w:top w:w="15" w:type="dxa"/>
              <w:left w:w="0" w:type="dxa"/>
              <w:bottom w:w="0" w:type="dxa"/>
              <w:right w:w="15" w:type="dxa"/>
            </w:tcMar>
            <w:vAlign w:val="bottom"/>
            <w:hideMark/>
          </w:tcPr>
          <w:p w14:paraId="6987C87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76" w:type="dxa"/>
            <w:gridSpan w:val="6"/>
            <w:tcBorders>
              <w:bottom w:val="single" w:sz="6" w:space="0" w:color="000000"/>
            </w:tcBorders>
            <w:shd w:val="clear" w:color="auto" w:fill="FFFFFF"/>
            <w:tcMar>
              <w:top w:w="15" w:type="dxa"/>
              <w:left w:w="0" w:type="dxa"/>
              <w:bottom w:w="0" w:type="dxa"/>
              <w:right w:w="15" w:type="dxa"/>
            </w:tcMar>
            <w:vAlign w:val="bottom"/>
            <w:hideMark/>
          </w:tcPr>
          <w:p w14:paraId="19222A5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tc>
        <w:tc>
          <w:tcPr>
            <w:tcW w:w="170" w:type="dxa"/>
            <w:shd w:val="clear" w:color="auto" w:fill="FFFFFF"/>
            <w:noWrap/>
            <w:tcMar>
              <w:top w:w="15" w:type="dxa"/>
              <w:left w:w="0" w:type="dxa"/>
              <w:bottom w:w="0" w:type="dxa"/>
              <w:right w:w="15" w:type="dxa"/>
            </w:tcMar>
            <w:vAlign w:val="bottom"/>
            <w:hideMark/>
          </w:tcPr>
          <w:p w14:paraId="4EBF0C6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shd w:val="clear" w:color="auto" w:fill="FFFFFF"/>
            <w:tcMar>
              <w:top w:w="15" w:type="dxa"/>
              <w:left w:w="0" w:type="dxa"/>
              <w:bottom w:w="0" w:type="dxa"/>
              <w:right w:w="15" w:type="dxa"/>
            </w:tcMar>
            <w:vAlign w:val="bottom"/>
            <w:hideMark/>
          </w:tcPr>
          <w:p w14:paraId="124C434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76" w:type="dxa"/>
            <w:gridSpan w:val="6"/>
            <w:tcBorders>
              <w:bottom w:val="single" w:sz="6" w:space="0" w:color="000000"/>
            </w:tcBorders>
            <w:shd w:val="clear" w:color="auto" w:fill="FFFFFF"/>
            <w:tcMar>
              <w:top w:w="15" w:type="dxa"/>
              <w:left w:w="0" w:type="dxa"/>
              <w:bottom w:w="0" w:type="dxa"/>
              <w:right w:w="15" w:type="dxa"/>
            </w:tcMar>
            <w:vAlign w:val="bottom"/>
            <w:hideMark/>
          </w:tcPr>
          <w:p w14:paraId="12BDF5E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Non-U.S.</w:t>
            </w:r>
          </w:p>
        </w:tc>
        <w:tc>
          <w:tcPr>
            <w:tcW w:w="172" w:type="dxa"/>
            <w:shd w:val="clear" w:color="auto" w:fill="FFFFFF"/>
            <w:noWrap/>
            <w:tcMar>
              <w:top w:w="15" w:type="dxa"/>
              <w:left w:w="0" w:type="dxa"/>
              <w:bottom w:w="0" w:type="dxa"/>
              <w:right w:w="15" w:type="dxa"/>
            </w:tcMar>
            <w:vAlign w:val="bottom"/>
            <w:hideMark/>
          </w:tcPr>
          <w:p w14:paraId="1C8F631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C09FAED" w14:textId="77777777" w:rsidTr="00AC4931">
        <w:tc>
          <w:tcPr>
            <w:tcW w:w="9330" w:type="dxa"/>
            <w:shd w:val="clear" w:color="auto" w:fill="FFFFFF"/>
            <w:tcMar>
              <w:top w:w="15" w:type="dxa"/>
              <w:left w:w="0" w:type="dxa"/>
              <w:bottom w:w="0" w:type="dxa"/>
              <w:right w:w="15" w:type="dxa"/>
            </w:tcMar>
            <w:vAlign w:val="bottom"/>
            <w:hideMark/>
          </w:tcPr>
          <w:p w14:paraId="13E20CC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u w:val="single"/>
              </w:rPr>
              <w:t>(Dollars in millions)</w:t>
            </w:r>
          </w:p>
        </w:tc>
        <w:tc>
          <w:tcPr>
            <w:tcW w:w="211" w:type="dxa"/>
            <w:shd w:val="clear" w:color="auto" w:fill="FFFFFF"/>
            <w:tcMar>
              <w:top w:w="15" w:type="dxa"/>
              <w:left w:w="0" w:type="dxa"/>
              <w:bottom w:w="0" w:type="dxa"/>
              <w:right w:w="15" w:type="dxa"/>
            </w:tcMar>
            <w:vAlign w:val="bottom"/>
            <w:hideMark/>
          </w:tcPr>
          <w:p w14:paraId="62119CC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B8D17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70" w:type="dxa"/>
            <w:shd w:val="clear" w:color="auto" w:fill="FFFFFF"/>
            <w:noWrap/>
            <w:tcMar>
              <w:top w:w="15" w:type="dxa"/>
              <w:left w:w="0" w:type="dxa"/>
              <w:bottom w:w="0" w:type="dxa"/>
              <w:right w:w="15" w:type="dxa"/>
            </w:tcMar>
            <w:vAlign w:val="bottom"/>
            <w:hideMark/>
          </w:tcPr>
          <w:p w14:paraId="4547B0A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tcBorders>
              <w:top w:val="single" w:sz="6" w:space="0" w:color="000000"/>
            </w:tcBorders>
            <w:shd w:val="clear" w:color="auto" w:fill="FFFFFF"/>
            <w:tcMar>
              <w:top w:w="15" w:type="dxa"/>
              <w:left w:w="0" w:type="dxa"/>
              <w:bottom w:w="0" w:type="dxa"/>
              <w:right w:w="15" w:type="dxa"/>
            </w:tcMar>
            <w:vAlign w:val="bottom"/>
            <w:hideMark/>
          </w:tcPr>
          <w:p w14:paraId="6A50868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E46BC8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70" w:type="dxa"/>
            <w:shd w:val="clear" w:color="auto" w:fill="FFFFFF"/>
            <w:noWrap/>
            <w:tcMar>
              <w:top w:w="15" w:type="dxa"/>
              <w:left w:w="0" w:type="dxa"/>
              <w:bottom w:w="0" w:type="dxa"/>
              <w:right w:w="15" w:type="dxa"/>
            </w:tcMar>
            <w:vAlign w:val="bottom"/>
            <w:hideMark/>
          </w:tcPr>
          <w:p w14:paraId="6ABBFAD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shd w:val="clear" w:color="auto" w:fill="FFFFFF"/>
            <w:tcMar>
              <w:top w:w="15" w:type="dxa"/>
              <w:left w:w="0" w:type="dxa"/>
              <w:bottom w:w="0" w:type="dxa"/>
              <w:right w:w="15" w:type="dxa"/>
            </w:tcMar>
            <w:vAlign w:val="bottom"/>
            <w:hideMark/>
          </w:tcPr>
          <w:p w14:paraId="4893A60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547DA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70" w:type="dxa"/>
            <w:shd w:val="clear" w:color="auto" w:fill="FFFFFF"/>
            <w:noWrap/>
            <w:tcMar>
              <w:top w:w="15" w:type="dxa"/>
              <w:left w:w="0" w:type="dxa"/>
              <w:bottom w:w="0" w:type="dxa"/>
              <w:right w:w="15" w:type="dxa"/>
            </w:tcMar>
            <w:vAlign w:val="bottom"/>
            <w:hideMark/>
          </w:tcPr>
          <w:p w14:paraId="3B6480B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tcBorders>
              <w:top w:val="single" w:sz="6" w:space="0" w:color="000000"/>
            </w:tcBorders>
            <w:shd w:val="clear" w:color="auto" w:fill="FFFFFF"/>
            <w:tcMar>
              <w:top w:w="15" w:type="dxa"/>
              <w:left w:w="0" w:type="dxa"/>
              <w:bottom w:w="0" w:type="dxa"/>
              <w:right w:w="15" w:type="dxa"/>
            </w:tcMar>
            <w:vAlign w:val="bottom"/>
            <w:hideMark/>
          </w:tcPr>
          <w:p w14:paraId="19AA2C7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79B2F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72" w:type="dxa"/>
            <w:shd w:val="clear" w:color="auto" w:fill="FFFFFF"/>
            <w:noWrap/>
            <w:tcMar>
              <w:top w:w="15" w:type="dxa"/>
              <w:left w:w="0" w:type="dxa"/>
              <w:bottom w:w="0" w:type="dxa"/>
              <w:right w:w="15" w:type="dxa"/>
            </w:tcMar>
            <w:vAlign w:val="bottom"/>
            <w:hideMark/>
          </w:tcPr>
          <w:p w14:paraId="47D39BB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7012604" w14:textId="77777777" w:rsidTr="00AC4931">
        <w:tc>
          <w:tcPr>
            <w:tcW w:w="9330" w:type="dxa"/>
            <w:shd w:val="clear" w:color="auto" w:fill="CFF0FC"/>
            <w:tcMar>
              <w:top w:w="15" w:type="dxa"/>
              <w:left w:w="0" w:type="dxa"/>
              <w:bottom w:w="0" w:type="dxa"/>
              <w:right w:w="15" w:type="dxa"/>
            </w:tcMar>
            <w:hideMark/>
          </w:tcPr>
          <w:p w14:paraId="45EC0D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actuarial loss</w:t>
            </w:r>
          </w:p>
        </w:tc>
        <w:tc>
          <w:tcPr>
            <w:tcW w:w="211" w:type="dxa"/>
            <w:shd w:val="clear" w:color="auto" w:fill="CFF0FC"/>
            <w:tcMar>
              <w:top w:w="15" w:type="dxa"/>
              <w:left w:w="0" w:type="dxa"/>
              <w:bottom w:w="0" w:type="dxa"/>
              <w:right w:w="15" w:type="dxa"/>
            </w:tcMar>
            <w:vAlign w:val="bottom"/>
            <w:hideMark/>
          </w:tcPr>
          <w:p w14:paraId="0BBF38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41D409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7E6FFC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61.5</w:t>
            </w:r>
          </w:p>
        </w:tc>
        <w:tc>
          <w:tcPr>
            <w:tcW w:w="170" w:type="dxa"/>
            <w:shd w:val="clear" w:color="auto" w:fill="CFF0FC"/>
            <w:noWrap/>
            <w:tcMar>
              <w:top w:w="15" w:type="dxa"/>
              <w:left w:w="0" w:type="dxa"/>
              <w:bottom w:w="0" w:type="dxa"/>
              <w:right w:w="15" w:type="dxa"/>
            </w:tcMar>
            <w:vAlign w:val="bottom"/>
            <w:hideMark/>
          </w:tcPr>
          <w:p w14:paraId="2949CF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0F990E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7DDB6E9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662EE6A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63.1</w:t>
            </w:r>
          </w:p>
        </w:tc>
        <w:tc>
          <w:tcPr>
            <w:tcW w:w="170" w:type="dxa"/>
            <w:shd w:val="clear" w:color="auto" w:fill="CFF0FC"/>
            <w:noWrap/>
            <w:tcMar>
              <w:top w:w="15" w:type="dxa"/>
              <w:left w:w="0" w:type="dxa"/>
              <w:bottom w:w="0" w:type="dxa"/>
              <w:right w:w="15" w:type="dxa"/>
            </w:tcMar>
            <w:vAlign w:val="bottom"/>
            <w:hideMark/>
          </w:tcPr>
          <w:p w14:paraId="3052A2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6D3E62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0D5208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1F0E6D1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41.9</w:t>
            </w:r>
          </w:p>
        </w:tc>
        <w:tc>
          <w:tcPr>
            <w:tcW w:w="170" w:type="dxa"/>
            <w:shd w:val="clear" w:color="auto" w:fill="CFF0FC"/>
            <w:noWrap/>
            <w:tcMar>
              <w:top w:w="15" w:type="dxa"/>
              <w:left w:w="0" w:type="dxa"/>
              <w:bottom w:w="0" w:type="dxa"/>
              <w:right w:w="15" w:type="dxa"/>
            </w:tcMar>
            <w:vAlign w:val="bottom"/>
            <w:hideMark/>
          </w:tcPr>
          <w:p w14:paraId="077C17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3EA8C9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6C489F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39153E7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47.6</w:t>
            </w:r>
          </w:p>
        </w:tc>
        <w:tc>
          <w:tcPr>
            <w:tcW w:w="172" w:type="dxa"/>
            <w:shd w:val="clear" w:color="auto" w:fill="CFF0FC"/>
            <w:noWrap/>
            <w:tcMar>
              <w:top w:w="15" w:type="dxa"/>
              <w:left w:w="0" w:type="dxa"/>
              <w:bottom w:w="0" w:type="dxa"/>
              <w:right w:w="15" w:type="dxa"/>
            </w:tcMar>
            <w:vAlign w:val="bottom"/>
            <w:hideMark/>
          </w:tcPr>
          <w:p w14:paraId="7F0968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466F6EF" w14:textId="77777777" w:rsidTr="00AC4931">
        <w:tc>
          <w:tcPr>
            <w:tcW w:w="9330" w:type="dxa"/>
            <w:shd w:val="clear" w:color="auto" w:fill="FFFFFF"/>
            <w:tcMar>
              <w:top w:w="15" w:type="dxa"/>
              <w:left w:w="0" w:type="dxa"/>
              <w:bottom w:w="0" w:type="dxa"/>
              <w:right w:w="15" w:type="dxa"/>
            </w:tcMar>
            <w:hideMark/>
          </w:tcPr>
          <w:p w14:paraId="721C1C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Prior service cost</w:t>
            </w:r>
          </w:p>
        </w:tc>
        <w:tc>
          <w:tcPr>
            <w:tcW w:w="211" w:type="dxa"/>
            <w:shd w:val="clear" w:color="auto" w:fill="FFFFFF"/>
            <w:tcMar>
              <w:top w:w="15" w:type="dxa"/>
              <w:left w:w="0" w:type="dxa"/>
              <w:bottom w:w="0" w:type="dxa"/>
              <w:right w:w="15" w:type="dxa"/>
            </w:tcMar>
            <w:vAlign w:val="bottom"/>
            <w:hideMark/>
          </w:tcPr>
          <w:p w14:paraId="3B7B6B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08D9AD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21E9B60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70" w:type="dxa"/>
            <w:shd w:val="clear" w:color="auto" w:fill="FFFFFF"/>
            <w:noWrap/>
            <w:tcMar>
              <w:top w:w="15" w:type="dxa"/>
              <w:left w:w="0" w:type="dxa"/>
              <w:bottom w:w="0" w:type="dxa"/>
              <w:right w:w="15" w:type="dxa"/>
            </w:tcMar>
            <w:vAlign w:val="bottom"/>
            <w:hideMark/>
          </w:tcPr>
          <w:p w14:paraId="1DF9B4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0F8185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76F9BB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6593DD3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70" w:type="dxa"/>
            <w:shd w:val="clear" w:color="auto" w:fill="FFFFFF"/>
            <w:noWrap/>
            <w:tcMar>
              <w:top w:w="15" w:type="dxa"/>
              <w:left w:w="0" w:type="dxa"/>
              <w:bottom w:w="0" w:type="dxa"/>
              <w:right w:w="15" w:type="dxa"/>
            </w:tcMar>
            <w:vAlign w:val="bottom"/>
            <w:hideMark/>
          </w:tcPr>
          <w:p w14:paraId="7499F8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51DFDD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1453D4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6EFCD53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w:t>
            </w:r>
          </w:p>
        </w:tc>
        <w:tc>
          <w:tcPr>
            <w:tcW w:w="170" w:type="dxa"/>
            <w:shd w:val="clear" w:color="auto" w:fill="FFFFFF"/>
            <w:noWrap/>
            <w:tcMar>
              <w:top w:w="15" w:type="dxa"/>
              <w:left w:w="0" w:type="dxa"/>
              <w:bottom w:w="0" w:type="dxa"/>
              <w:right w:w="15" w:type="dxa"/>
            </w:tcMar>
            <w:vAlign w:val="bottom"/>
            <w:hideMark/>
          </w:tcPr>
          <w:p w14:paraId="748B9A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2AAAA2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FFFFFF"/>
            <w:noWrap/>
            <w:tcMar>
              <w:top w:w="15" w:type="dxa"/>
              <w:left w:w="0" w:type="dxa"/>
              <w:bottom w:w="0" w:type="dxa"/>
              <w:right w:w="15" w:type="dxa"/>
            </w:tcMar>
            <w:vAlign w:val="bottom"/>
            <w:hideMark/>
          </w:tcPr>
          <w:p w14:paraId="6F1AD4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FFFFFF"/>
            <w:noWrap/>
            <w:tcMar>
              <w:top w:w="15" w:type="dxa"/>
              <w:left w:w="0" w:type="dxa"/>
              <w:bottom w:w="0" w:type="dxa"/>
              <w:right w:w="15" w:type="dxa"/>
            </w:tcMar>
            <w:vAlign w:val="bottom"/>
            <w:hideMark/>
          </w:tcPr>
          <w:p w14:paraId="7354773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w:t>
            </w:r>
          </w:p>
        </w:tc>
        <w:tc>
          <w:tcPr>
            <w:tcW w:w="172" w:type="dxa"/>
            <w:shd w:val="clear" w:color="auto" w:fill="FFFFFF"/>
            <w:noWrap/>
            <w:tcMar>
              <w:top w:w="15" w:type="dxa"/>
              <w:left w:w="0" w:type="dxa"/>
              <w:bottom w:w="0" w:type="dxa"/>
              <w:right w:w="15" w:type="dxa"/>
            </w:tcMar>
            <w:vAlign w:val="bottom"/>
            <w:hideMark/>
          </w:tcPr>
          <w:p w14:paraId="0A6F8C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761F366" w14:textId="77777777" w:rsidTr="00AC4931">
        <w:tc>
          <w:tcPr>
            <w:tcW w:w="9330" w:type="dxa"/>
            <w:shd w:val="clear" w:color="auto" w:fill="CFF0FC"/>
            <w:tcMar>
              <w:top w:w="15" w:type="dxa"/>
              <w:left w:w="0" w:type="dxa"/>
              <w:bottom w:w="0" w:type="dxa"/>
              <w:right w:w="15" w:type="dxa"/>
            </w:tcMar>
            <w:hideMark/>
          </w:tcPr>
          <w:p w14:paraId="2D1C242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accumulated other comprehensive income</w:t>
            </w:r>
          </w:p>
          <w:p w14:paraId="2BA4241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recognized in the balance sheet</w:t>
            </w:r>
          </w:p>
        </w:tc>
        <w:tc>
          <w:tcPr>
            <w:tcW w:w="211" w:type="dxa"/>
            <w:shd w:val="clear" w:color="auto" w:fill="CFF0FC"/>
            <w:tcMar>
              <w:top w:w="15" w:type="dxa"/>
              <w:left w:w="0" w:type="dxa"/>
              <w:bottom w:w="0" w:type="dxa"/>
              <w:right w:w="15" w:type="dxa"/>
            </w:tcMar>
            <w:vAlign w:val="bottom"/>
            <w:hideMark/>
          </w:tcPr>
          <w:p w14:paraId="530A69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5190051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1D21285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61.5</w:t>
            </w:r>
          </w:p>
        </w:tc>
        <w:tc>
          <w:tcPr>
            <w:tcW w:w="170" w:type="dxa"/>
            <w:shd w:val="clear" w:color="auto" w:fill="CFF0FC"/>
            <w:noWrap/>
            <w:tcMar>
              <w:top w:w="15" w:type="dxa"/>
              <w:left w:w="0" w:type="dxa"/>
              <w:bottom w:w="0" w:type="dxa"/>
              <w:right w:w="15" w:type="dxa"/>
            </w:tcMar>
            <w:vAlign w:val="bottom"/>
            <w:hideMark/>
          </w:tcPr>
          <w:p w14:paraId="1C146BC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5677FF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548BC07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106270F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63.2</w:t>
            </w:r>
          </w:p>
        </w:tc>
        <w:tc>
          <w:tcPr>
            <w:tcW w:w="170" w:type="dxa"/>
            <w:shd w:val="clear" w:color="auto" w:fill="CFF0FC"/>
            <w:noWrap/>
            <w:tcMar>
              <w:top w:w="15" w:type="dxa"/>
              <w:left w:w="0" w:type="dxa"/>
              <w:bottom w:w="0" w:type="dxa"/>
              <w:right w:w="15" w:type="dxa"/>
            </w:tcMar>
            <w:vAlign w:val="bottom"/>
            <w:hideMark/>
          </w:tcPr>
          <w:p w14:paraId="2B956DC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1EA068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0AE0176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51ED6E2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45.4</w:t>
            </w:r>
          </w:p>
        </w:tc>
        <w:tc>
          <w:tcPr>
            <w:tcW w:w="170" w:type="dxa"/>
            <w:shd w:val="clear" w:color="auto" w:fill="CFF0FC"/>
            <w:noWrap/>
            <w:tcMar>
              <w:top w:w="15" w:type="dxa"/>
              <w:left w:w="0" w:type="dxa"/>
              <w:bottom w:w="0" w:type="dxa"/>
              <w:right w:w="15" w:type="dxa"/>
            </w:tcMar>
            <w:vAlign w:val="bottom"/>
            <w:hideMark/>
          </w:tcPr>
          <w:p w14:paraId="1CA6C0E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444435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07BB49A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3704E24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51.3</w:t>
            </w:r>
          </w:p>
        </w:tc>
        <w:tc>
          <w:tcPr>
            <w:tcW w:w="172" w:type="dxa"/>
            <w:shd w:val="clear" w:color="auto" w:fill="CFF0FC"/>
            <w:noWrap/>
            <w:tcMar>
              <w:top w:w="15" w:type="dxa"/>
              <w:left w:w="0" w:type="dxa"/>
              <w:bottom w:w="0" w:type="dxa"/>
              <w:right w:w="15" w:type="dxa"/>
            </w:tcMar>
            <w:vAlign w:val="bottom"/>
            <w:hideMark/>
          </w:tcPr>
          <w:p w14:paraId="516AC059"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53C33418"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02B264B9" w14:textId="77777777" w:rsidR="00AC4931" w:rsidRPr="00AC4931" w:rsidRDefault="00AC4931" w:rsidP="00AC4931">
      <w:pPr>
        <w:widowControl/>
        <w:spacing w:before="100"/>
        <w:rPr>
          <w:rFonts w:ascii="Arial" w:eastAsia="宋体" w:hAnsi="Arial" w:cs="Arial"/>
          <w:b/>
          <w:bCs/>
          <w:kern w:val="0"/>
          <w:sz w:val="18"/>
          <w:szCs w:val="18"/>
        </w:rPr>
      </w:pPr>
      <w:r w:rsidRPr="00AC4931">
        <w:rPr>
          <w:rFonts w:ascii="Arial" w:eastAsia="宋体" w:hAnsi="Arial" w:cs="Arial"/>
          <w:b/>
          <w:bCs/>
          <w:kern w:val="0"/>
          <w:sz w:val="18"/>
          <w:szCs w:val="18"/>
        </w:rPr>
        <w:t>CHANGES IN ACCUMULATED OTHER COMPREHENSIVE INCOME BEFORE TAX FOR THE PERIODS ENDED DECEMBER 31</w:t>
      </w:r>
    </w:p>
    <w:p w14:paraId="10CEC52F"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8553" w:type="dxa"/>
        <w:tblCellMar>
          <w:left w:w="0" w:type="dxa"/>
          <w:right w:w="0" w:type="dxa"/>
        </w:tblCellMar>
        <w:tblLook w:val="04A0" w:firstRow="1" w:lastRow="0" w:firstColumn="1" w:lastColumn="0" w:noHBand="0" w:noVBand="1"/>
      </w:tblPr>
      <w:tblGrid>
        <w:gridCol w:w="9353"/>
        <w:gridCol w:w="212"/>
        <w:gridCol w:w="179"/>
        <w:gridCol w:w="1710"/>
        <w:gridCol w:w="179"/>
        <w:gridCol w:w="211"/>
        <w:gridCol w:w="178"/>
        <w:gridCol w:w="1754"/>
        <w:gridCol w:w="178"/>
        <w:gridCol w:w="211"/>
        <w:gridCol w:w="178"/>
        <w:gridCol w:w="1709"/>
        <w:gridCol w:w="178"/>
        <w:gridCol w:w="211"/>
        <w:gridCol w:w="178"/>
        <w:gridCol w:w="1754"/>
        <w:gridCol w:w="180"/>
      </w:tblGrid>
      <w:tr w:rsidR="00AC4931" w:rsidRPr="00AC4931" w14:paraId="76BD862C" w14:textId="77777777" w:rsidTr="00AC4931">
        <w:tc>
          <w:tcPr>
            <w:tcW w:w="9330" w:type="dxa"/>
            <w:shd w:val="clear" w:color="auto" w:fill="FFFFFF"/>
            <w:tcMar>
              <w:top w:w="15" w:type="dxa"/>
              <w:left w:w="0" w:type="dxa"/>
              <w:bottom w:w="0" w:type="dxa"/>
              <w:right w:w="15" w:type="dxa"/>
            </w:tcMar>
            <w:vAlign w:val="bottom"/>
            <w:hideMark/>
          </w:tcPr>
          <w:p w14:paraId="676F437D"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11" w:type="dxa"/>
            <w:shd w:val="clear" w:color="auto" w:fill="FFFFFF"/>
            <w:tcMar>
              <w:top w:w="15" w:type="dxa"/>
              <w:left w:w="0" w:type="dxa"/>
              <w:bottom w:w="0" w:type="dxa"/>
              <w:right w:w="15" w:type="dxa"/>
            </w:tcMar>
            <w:vAlign w:val="bottom"/>
            <w:hideMark/>
          </w:tcPr>
          <w:p w14:paraId="327CF1B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76" w:type="dxa"/>
            <w:gridSpan w:val="6"/>
            <w:tcBorders>
              <w:bottom w:val="single" w:sz="6" w:space="0" w:color="000000"/>
            </w:tcBorders>
            <w:shd w:val="clear" w:color="auto" w:fill="FFFFFF"/>
            <w:tcMar>
              <w:top w:w="15" w:type="dxa"/>
              <w:left w:w="0" w:type="dxa"/>
              <w:bottom w:w="0" w:type="dxa"/>
              <w:right w:w="15" w:type="dxa"/>
            </w:tcMar>
            <w:vAlign w:val="bottom"/>
            <w:hideMark/>
          </w:tcPr>
          <w:p w14:paraId="7E51FB7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tc>
        <w:tc>
          <w:tcPr>
            <w:tcW w:w="170" w:type="dxa"/>
            <w:shd w:val="clear" w:color="auto" w:fill="FFFFFF"/>
            <w:noWrap/>
            <w:tcMar>
              <w:top w:w="15" w:type="dxa"/>
              <w:left w:w="0" w:type="dxa"/>
              <w:bottom w:w="0" w:type="dxa"/>
              <w:right w:w="15" w:type="dxa"/>
            </w:tcMar>
            <w:vAlign w:val="bottom"/>
            <w:hideMark/>
          </w:tcPr>
          <w:p w14:paraId="2A297D2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shd w:val="clear" w:color="auto" w:fill="FFFFFF"/>
            <w:tcMar>
              <w:top w:w="15" w:type="dxa"/>
              <w:left w:w="0" w:type="dxa"/>
              <w:bottom w:w="0" w:type="dxa"/>
              <w:right w:w="15" w:type="dxa"/>
            </w:tcMar>
            <w:vAlign w:val="bottom"/>
            <w:hideMark/>
          </w:tcPr>
          <w:p w14:paraId="14B2B7C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76" w:type="dxa"/>
            <w:gridSpan w:val="6"/>
            <w:tcBorders>
              <w:bottom w:val="single" w:sz="6" w:space="0" w:color="000000"/>
            </w:tcBorders>
            <w:shd w:val="clear" w:color="auto" w:fill="FFFFFF"/>
            <w:tcMar>
              <w:top w:w="15" w:type="dxa"/>
              <w:left w:w="0" w:type="dxa"/>
              <w:bottom w:w="0" w:type="dxa"/>
              <w:right w:w="15" w:type="dxa"/>
            </w:tcMar>
            <w:vAlign w:val="bottom"/>
            <w:hideMark/>
          </w:tcPr>
          <w:p w14:paraId="274218A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Non-U.S.</w:t>
            </w:r>
          </w:p>
        </w:tc>
        <w:tc>
          <w:tcPr>
            <w:tcW w:w="172" w:type="dxa"/>
            <w:shd w:val="clear" w:color="auto" w:fill="FFFFFF"/>
            <w:noWrap/>
            <w:tcMar>
              <w:top w:w="15" w:type="dxa"/>
              <w:left w:w="0" w:type="dxa"/>
              <w:bottom w:w="0" w:type="dxa"/>
              <w:right w:w="15" w:type="dxa"/>
            </w:tcMar>
            <w:vAlign w:val="bottom"/>
            <w:hideMark/>
          </w:tcPr>
          <w:p w14:paraId="2DB7943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C8C634E" w14:textId="77777777" w:rsidTr="00AC4931">
        <w:tc>
          <w:tcPr>
            <w:tcW w:w="9330" w:type="dxa"/>
            <w:shd w:val="clear" w:color="auto" w:fill="FFFFFF"/>
            <w:tcMar>
              <w:top w:w="15" w:type="dxa"/>
              <w:left w:w="0" w:type="dxa"/>
              <w:bottom w:w="0" w:type="dxa"/>
              <w:right w:w="15" w:type="dxa"/>
            </w:tcMar>
            <w:vAlign w:val="bottom"/>
            <w:hideMark/>
          </w:tcPr>
          <w:p w14:paraId="5FD14CC7"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u w:val="single"/>
              </w:rPr>
              <w:t>(Dollars in millions)</w:t>
            </w:r>
          </w:p>
        </w:tc>
        <w:tc>
          <w:tcPr>
            <w:tcW w:w="211" w:type="dxa"/>
            <w:shd w:val="clear" w:color="auto" w:fill="FFFFFF"/>
            <w:tcMar>
              <w:top w:w="15" w:type="dxa"/>
              <w:left w:w="0" w:type="dxa"/>
              <w:bottom w:w="0" w:type="dxa"/>
              <w:right w:w="15" w:type="dxa"/>
            </w:tcMar>
            <w:vAlign w:val="bottom"/>
            <w:hideMark/>
          </w:tcPr>
          <w:p w14:paraId="7B7B65C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FD5EC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70" w:type="dxa"/>
            <w:shd w:val="clear" w:color="auto" w:fill="FFFFFF"/>
            <w:noWrap/>
            <w:tcMar>
              <w:top w:w="15" w:type="dxa"/>
              <w:left w:w="0" w:type="dxa"/>
              <w:bottom w:w="0" w:type="dxa"/>
              <w:right w:w="15" w:type="dxa"/>
            </w:tcMar>
            <w:vAlign w:val="bottom"/>
            <w:hideMark/>
          </w:tcPr>
          <w:p w14:paraId="5E2B166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tcBorders>
              <w:top w:val="single" w:sz="6" w:space="0" w:color="000000"/>
            </w:tcBorders>
            <w:shd w:val="clear" w:color="auto" w:fill="FFFFFF"/>
            <w:tcMar>
              <w:top w:w="15" w:type="dxa"/>
              <w:left w:w="0" w:type="dxa"/>
              <w:bottom w:w="0" w:type="dxa"/>
              <w:right w:w="15" w:type="dxa"/>
            </w:tcMar>
            <w:vAlign w:val="bottom"/>
            <w:hideMark/>
          </w:tcPr>
          <w:p w14:paraId="3608044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C99DA5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70" w:type="dxa"/>
            <w:shd w:val="clear" w:color="auto" w:fill="FFFFFF"/>
            <w:noWrap/>
            <w:tcMar>
              <w:top w:w="15" w:type="dxa"/>
              <w:left w:w="0" w:type="dxa"/>
              <w:bottom w:w="0" w:type="dxa"/>
              <w:right w:w="15" w:type="dxa"/>
            </w:tcMar>
            <w:vAlign w:val="bottom"/>
            <w:hideMark/>
          </w:tcPr>
          <w:p w14:paraId="655AD3D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shd w:val="clear" w:color="auto" w:fill="FFFFFF"/>
            <w:tcMar>
              <w:top w:w="15" w:type="dxa"/>
              <w:left w:w="0" w:type="dxa"/>
              <w:bottom w:w="0" w:type="dxa"/>
              <w:right w:w="15" w:type="dxa"/>
            </w:tcMar>
            <w:vAlign w:val="bottom"/>
            <w:hideMark/>
          </w:tcPr>
          <w:p w14:paraId="687D9F7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65B998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70" w:type="dxa"/>
            <w:shd w:val="clear" w:color="auto" w:fill="FFFFFF"/>
            <w:noWrap/>
            <w:tcMar>
              <w:top w:w="15" w:type="dxa"/>
              <w:left w:w="0" w:type="dxa"/>
              <w:bottom w:w="0" w:type="dxa"/>
              <w:right w:w="15" w:type="dxa"/>
            </w:tcMar>
            <w:vAlign w:val="bottom"/>
            <w:hideMark/>
          </w:tcPr>
          <w:p w14:paraId="731ECA0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tcBorders>
              <w:top w:val="single" w:sz="6" w:space="0" w:color="000000"/>
            </w:tcBorders>
            <w:shd w:val="clear" w:color="auto" w:fill="FFFFFF"/>
            <w:tcMar>
              <w:top w:w="15" w:type="dxa"/>
              <w:left w:w="0" w:type="dxa"/>
              <w:bottom w:w="0" w:type="dxa"/>
              <w:right w:w="15" w:type="dxa"/>
            </w:tcMar>
            <w:vAlign w:val="bottom"/>
            <w:hideMark/>
          </w:tcPr>
          <w:p w14:paraId="7F3A636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E03A0C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72" w:type="dxa"/>
            <w:shd w:val="clear" w:color="auto" w:fill="FFFFFF"/>
            <w:noWrap/>
            <w:tcMar>
              <w:top w:w="15" w:type="dxa"/>
              <w:left w:w="0" w:type="dxa"/>
              <w:bottom w:w="0" w:type="dxa"/>
              <w:right w:w="15" w:type="dxa"/>
            </w:tcMar>
            <w:vAlign w:val="bottom"/>
            <w:hideMark/>
          </w:tcPr>
          <w:p w14:paraId="6C3D08E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B368D2D" w14:textId="77777777" w:rsidTr="00AC4931">
        <w:tc>
          <w:tcPr>
            <w:tcW w:w="9330" w:type="dxa"/>
            <w:shd w:val="clear" w:color="auto" w:fill="CFF0FC"/>
            <w:tcMar>
              <w:top w:w="15" w:type="dxa"/>
              <w:left w:w="0" w:type="dxa"/>
              <w:bottom w:w="0" w:type="dxa"/>
              <w:right w:w="15" w:type="dxa"/>
            </w:tcMar>
            <w:hideMark/>
          </w:tcPr>
          <w:p w14:paraId="30CAA73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retirement benefit recognized in accumulated</w:t>
            </w:r>
          </w:p>
          <w:p w14:paraId="697EAB6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other comprehensive income at beginning of year</w:t>
            </w:r>
          </w:p>
        </w:tc>
        <w:tc>
          <w:tcPr>
            <w:tcW w:w="211" w:type="dxa"/>
            <w:shd w:val="clear" w:color="auto" w:fill="CFF0FC"/>
            <w:tcMar>
              <w:top w:w="15" w:type="dxa"/>
              <w:left w:w="0" w:type="dxa"/>
              <w:bottom w:w="0" w:type="dxa"/>
              <w:right w:w="15" w:type="dxa"/>
            </w:tcMar>
            <w:vAlign w:val="bottom"/>
            <w:hideMark/>
          </w:tcPr>
          <w:p w14:paraId="3B8232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0CD97A6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0E388F1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63.2</w:t>
            </w:r>
          </w:p>
        </w:tc>
        <w:tc>
          <w:tcPr>
            <w:tcW w:w="170" w:type="dxa"/>
            <w:shd w:val="clear" w:color="auto" w:fill="CFF0FC"/>
            <w:noWrap/>
            <w:tcMar>
              <w:top w:w="15" w:type="dxa"/>
              <w:left w:w="0" w:type="dxa"/>
              <w:bottom w:w="0" w:type="dxa"/>
              <w:right w:w="15" w:type="dxa"/>
            </w:tcMar>
            <w:vAlign w:val="bottom"/>
            <w:hideMark/>
          </w:tcPr>
          <w:p w14:paraId="2AD6338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7682C7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12198E3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7970A80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48.1</w:t>
            </w:r>
          </w:p>
        </w:tc>
        <w:tc>
          <w:tcPr>
            <w:tcW w:w="170" w:type="dxa"/>
            <w:shd w:val="clear" w:color="auto" w:fill="CFF0FC"/>
            <w:noWrap/>
            <w:tcMar>
              <w:top w:w="15" w:type="dxa"/>
              <w:left w:w="0" w:type="dxa"/>
              <w:bottom w:w="0" w:type="dxa"/>
              <w:right w:w="15" w:type="dxa"/>
            </w:tcMar>
            <w:vAlign w:val="bottom"/>
            <w:hideMark/>
          </w:tcPr>
          <w:p w14:paraId="71EAA6D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520ED2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1DB90C5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5F1A21B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51.3</w:t>
            </w:r>
          </w:p>
        </w:tc>
        <w:tc>
          <w:tcPr>
            <w:tcW w:w="170" w:type="dxa"/>
            <w:shd w:val="clear" w:color="auto" w:fill="CFF0FC"/>
            <w:noWrap/>
            <w:tcMar>
              <w:top w:w="15" w:type="dxa"/>
              <w:left w:w="0" w:type="dxa"/>
              <w:bottom w:w="0" w:type="dxa"/>
              <w:right w:w="15" w:type="dxa"/>
            </w:tcMar>
            <w:vAlign w:val="bottom"/>
            <w:hideMark/>
          </w:tcPr>
          <w:p w14:paraId="088D573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315756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7E95F3A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59B226C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33.9</w:t>
            </w:r>
          </w:p>
        </w:tc>
        <w:tc>
          <w:tcPr>
            <w:tcW w:w="172" w:type="dxa"/>
            <w:shd w:val="clear" w:color="auto" w:fill="CFF0FC"/>
            <w:noWrap/>
            <w:tcMar>
              <w:top w:w="15" w:type="dxa"/>
              <w:left w:w="0" w:type="dxa"/>
              <w:bottom w:w="0" w:type="dxa"/>
              <w:right w:w="15" w:type="dxa"/>
            </w:tcMar>
            <w:vAlign w:val="bottom"/>
            <w:hideMark/>
          </w:tcPr>
          <w:p w14:paraId="2286DF7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748B783" w14:textId="77777777" w:rsidTr="00AC4931">
        <w:tc>
          <w:tcPr>
            <w:tcW w:w="9330" w:type="dxa"/>
            <w:shd w:val="clear" w:color="auto" w:fill="FFFFFF"/>
            <w:tcMar>
              <w:top w:w="15" w:type="dxa"/>
              <w:left w:w="0" w:type="dxa"/>
              <w:bottom w:w="0" w:type="dxa"/>
              <w:right w:w="15" w:type="dxa"/>
            </w:tcMar>
            <w:hideMark/>
          </w:tcPr>
          <w:p w14:paraId="66D2C7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actuarial (gain) loss</w:t>
            </w:r>
          </w:p>
        </w:tc>
        <w:tc>
          <w:tcPr>
            <w:tcW w:w="211" w:type="dxa"/>
            <w:shd w:val="clear" w:color="auto" w:fill="FFFFFF"/>
            <w:tcMar>
              <w:top w:w="15" w:type="dxa"/>
              <w:left w:w="0" w:type="dxa"/>
              <w:bottom w:w="0" w:type="dxa"/>
              <w:right w:w="15" w:type="dxa"/>
            </w:tcMar>
            <w:vAlign w:val="bottom"/>
            <w:hideMark/>
          </w:tcPr>
          <w:p w14:paraId="3F45C0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71F31D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16B957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8.3</w:t>
            </w:r>
          </w:p>
        </w:tc>
        <w:tc>
          <w:tcPr>
            <w:tcW w:w="170" w:type="dxa"/>
            <w:shd w:val="clear" w:color="auto" w:fill="FFFFFF"/>
            <w:noWrap/>
            <w:tcMar>
              <w:top w:w="15" w:type="dxa"/>
              <w:left w:w="0" w:type="dxa"/>
              <w:bottom w:w="0" w:type="dxa"/>
              <w:right w:w="15" w:type="dxa"/>
            </w:tcMar>
            <w:vAlign w:val="bottom"/>
            <w:hideMark/>
          </w:tcPr>
          <w:p w14:paraId="5F7166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1C77AF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36A6B6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34AAAA7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16.9</w:t>
            </w:r>
          </w:p>
        </w:tc>
        <w:tc>
          <w:tcPr>
            <w:tcW w:w="170" w:type="dxa"/>
            <w:shd w:val="clear" w:color="auto" w:fill="FFFFFF"/>
            <w:noWrap/>
            <w:tcMar>
              <w:top w:w="15" w:type="dxa"/>
              <w:left w:w="0" w:type="dxa"/>
              <w:bottom w:w="0" w:type="dxa"/>
              <w:right w:w="15" w:type="dxa"/>
            </w:tcMar>
            <w:vAlign w:val="bottom"/>
            <w:hideMark/>
          </w:tcPr>
          <w:p w14:paraId="125967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0AF0DB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550F59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48D873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w:t>
            </w:r>
          </w:p>
        </w:tc>
        <w:tc>
          <w:tcPr>
            <w:tcW w:w="170" w:type="dxa"/>
            <w:shd w:val="clear" w:color="auto" w:fill="FFFFFF"/>
            <w:noWrap/>
            <w:tcMar>
              <w:top w:w="15" w:type="dxa"/>
              <w:left w:w="0" w:type="dxa"/>
              <w:bottom w:w="0" w:type="dxa"/>
              <w:right w:w="15" w:type="dxa"/>
            </w:tcMar>
            <w:vAlign w:val="bottom"/>
            <w:hideMark/>
          </w:tcPr>
          <w:p w14:paraId="32C6B6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0C46A9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DEF90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3A7CCE1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19.1</w:t>
            </w:r>
          </w:p>
        </w:tc>
        <w:tc>
          <w:tcPr>
            <w:tcW w:w="172" w:type="dxa"/>
            <w:shd w:val="clear" w:color="auto" w:fill="FFFFFF"/>
            <w:noWrap/>
            <w:tcMar>
              <w:top w:w="15" w:type="dxa"/>
              <w:left w:w="0" w:type="dxa"/>
              <w:bottom w:w="0" w:type="dxa"/>
              <w:right w:w="15" w:type="dxa"/>
            </w:tcMar>
            <w:vAlign w:val="bottom"/>
            <w:hideMark/>
          </w:tcPr>
          <w:p w14:paraId="60FB64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C93FFE1" w14:textId="77777777" w:rsidTr="00AC4931">
        <w:tc>
          <w:tcPr>
            <w:tcW w:w="9330" w:type="dxa"/>
            <w:shd w:val="clear" w:color="auto" w:fill="CFF0FC"/>
            <w:tcMar>
              <w:top w:w="15" w:type="dxa"/>
              <w:left w:w="0" w:type="dxa"/>
              <w:bottom w:w="0" w:type="dxa"/>
              <w:right w:w="15" w:type="dxa"/>
            </w:tcMar>
            <w:hideMark/>
          </w:tcPr>
          <w:p w14:paraId="2BB4F7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Amortization of prior service credit (cost)</w:t>
            </w:r>
          </w:p>
        </w:tc>
        <w:tc>
          <w:tcPr>
            <w:tcW w:w="211" w:type="dxa"/>
            <w:shd w:val="clear" w:color="auto" w:fill="CFF0FC"/>
            <w:tcMar>
              <w:top w:w="15" w:type="dxa"/>
              <w:left w:w="0" w:type="dxa"/>
              <w:bottom w:w="0" w:type="dxa"/>
              <w:right w:w="15" w:type="dxa"/>
            </w:tcMar>
            <w:vAlign w:val="bottom"/>
            <w:hideMark/>
          </w:tcPr>
          <w:p w14:paraId="5886E9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4AC509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04125E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70" w:type="dxa"/>
            <w:shd w:val="clear" w:color="auto" w:fill="CFF0FC"/>
            <w:noWrap/>
            <w:tcMar>
              <w:top w:w="15" w:type="dxa"/>
              <w:left w:w="0" w:type="dxa"/>
              <w:bottom w:w="0" w:type="dxa"/>
              <w:right w:w="15" w:type="dxa"/>
            </w:tcMar>
            <w:vAlign w:val="bottom"/>
            <w:hideMark/>
          </w:tcPr>
          <w:p w14:paraId="4FC387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1B3889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6300FB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37AFCB5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70" w:type="dxa"/>
            <w:shd w:val="clear" w:color="auto" w:fill="CFF0FC"/>
            <w:noWrap/>
            <w:tcMar>
              <w:top w:w="15" w:type="dxa"/>
              <w:left w:w="0" w:type="dxa"/>
              <w:bottom w:w="0" w:type="dxa"/>
              <w:right w:w="15" w:type="dxa"/>
            </w:tcMar>
            <w:vAlign w:val="bottom"/>
            <w:hideMark/>
          </w:tcPr>
          <w:p w14:paraId="6E1920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550B27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27E5A6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301FADB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w:t>
            </w:r>
          </w:p>
        </w:tc>
        <w:tc>
          <w:tcPr>
            <w:tcW w:w="170" w:type="dxa"/>
            <w:shd w:val="clear" w:color="auto" w:fill="CFF0FC"/>
            <w:noWrap/>
            <w:tcMar>
              <w:top w:w="15" w:type="dxa"/>
              <w:left w:w="0" w:type="dxa"/>
              <w:bottom w:w="0" w:type="dxa"/>
              <w:right w:w="15" w:type="dxa"/>
            </w:tcMar>
            <w:vAlign w:val="bottom"/>
            <w:hideMark/>
          </w:tcPr>
          <w:p w14:paraId="4A5733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CFF0FC"/>
            <w:tcMar>
              <w:top w:w="15" w:type="dxa"/>
              <w:left w:w="0" w:type="dxa"/>
              <w:bottom w:w="0" w:type="dxa"/>
              <w:right w:w="15" w:type="dxa"/>
            </w:tcMar>
            <w:vAlign w:val="bottom"/>
            <w:hideMark/>
          </w:tcPr>
          <w:p w14:paraId="0E6EB4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481B09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50538B1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72" w:type="dxa"/>
            <w:shd w:val="clear" w:color="auto" w:fill="CFF0FC"/>
            <w:noWrap/>
            <w:tcMar>
              <w:top w:w="15" w:type="dxa"/>
              <w:left w:w="0" w:type="dxa"/>
              <w:bottom w:w="0" w:type="dxa"/>
              <w:right w:w="15" w:type="dxa"/>
            </w:tcMar>
            <w:vAlign w:val="bottom"/>
            <w:hideMark/>
          </w:tcPr>
          <w:p w14:paraId="300C8D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2C4A1A2" w14:textId="77777777" w:rsidTr="00AC4931">
        <w:tc>
          <w:tcPr>
            <w:tcW w:w="9330" w:type="dxa"/>
            <w:shd w:val="clear" w:color="auto" w:fill="FFFFFF"/>
            <w:tcMar>
              <w:top w:w="15" w:type="dxa"/>
              <w:left w:w="0" w:type="dxa"/>
              <w:bottom w:w="0" w:type="dxa"/>
              <w:right w:w="15" w:type="dxa"/>
            </w:tcMar>
            <w:hideMark/>
          </w:tcPr>
          <w:p w14:paraId="04CC51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Amortization of actuarial loss</w:t>
            </w:r>
          </w:p>
        </w:tc>
        <w:tc>
          <w:tcPr>
            <w:tcW w:w="211" w:type="dxa"/>
            <w:shd w:val="clear" w:color="auto" w:fill="FFFFFF"/>
            <w:tcMar>
              <w:top w:w="15" w:type="dxa"/>
              <w:left w:w="0" w:type="dxa"/>
              <w:bottom w:w="0" w:type="dxa"/>
              <w:right w:w="15" w:type="dxa"/>
            </w:tcMar>
            <w:vAlign w:val="bottom"/>
            <w:hideMark/>
          </w:tcPr>
          <w:p w14:paraId="2D70B0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573C1E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385B1BD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(10.0</w:t>
            </w:r>
          </w:p>
        </w:tc>
        <w:tc>
          <w:tcPr>
            <w:tcW w:w="170" w:type="dxa"/>
            <w:shd w:val="clear" w:color="auto" w:fill="FFFFFF"/>
            <w:noWrap/>
            <w:tcMar>
              <w:top w:w="15" w:type="dxa"/>
              <w:left w:w="0" w:type="dxa"/>
              <w:bottom w:w="0" w:type="dxa"/>
              <w:right w:w="15" w:type="dxa"/>
            </w:tcMar>
            <w:vAlign w:val="bottom"/>
            <w:hideMark/>
          </w:tcPr>
          <w:p w14:paraId="1A48E0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78D49C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F8CEA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2BFFB3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w:t>
            </w:r>
          </w:p>
        </w:tc>
        <w:tc>
          <w:tcPr>
            <w:tcW w:w="170" w:type="dxa"/>
            <w:shd w:val="clear" w:color="auto" w:fill="FFFFFF"/>
            <w:noWrap/>
            <w:tcMar>
              <w:top w:w="15" w:type="dxa"/>
              <w:left w:w="0" w:type="dxa"/>
              <w:bottom w:w="0" w:type="dxa"/>
              <w:right w:w="15" w:type="dxa"/>
            </w:tcMar>
            <w:vAlign w:val="bottom"/>
            <w:hideMark/>
          </w:tcPr>
          <w:p w14:paraId="0B9E02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47E2B4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5F420E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043FB4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70" w:type="dxa"/>
            <w:shd w:val="clear" w:color="auto" w:fill="FFFFFF"/>
            <w:noWrap/>
            <w:tcMar>
              <w:top w:w="15" w:type="dxa"/>
              <w:left w:w="0" w:type="dxa"/>
              <w:bottom w:w="0" w:type="dxa"/>
              <w:right w:w="15" w:type="dxa"/>
            </w:tcMar>
            <w:vAlign w:val="bottom"/>
            <w:hideMark/>
          </w:tcPr>
          <w:p w14:paraId="1B0A07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1" w:type="dxa"/>
            <w:shd w:val="clear" w:color="auto" w:fill="FFFFFF"/>
            <w:tcMar>
              <w:top w:w="15" w:type="dxa"/>
              <w:left w:w="0" w:type="dxa"/>
              <w:bottom w:w="0" w:type="dxa"/>
              <w:right w:w="15" w:type="dxa"/>
            </w:tcMar>
            <w:vAlign w:val="bottom"/>
            <w:hideMark/>
          </w:tcPr>
          <w:p w14:paraId="6AC43B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537DB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4AFB127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w:t>
            </w:r>
          </w:p>
        </w:tc>
        <w:tc>
          <w:tcPr>
            <w:tcW w:w="172" w:type="dxa"/>
            <w:shd w:val="clear" w:color="auto" w:fill="FFFFFF"/>
            <w:noWrap/>
            <w:tcMar>
              <w:top w:w="15" w:type="dxa"/>
              <w:left w:w="0" w:type="dxa"/>
              <w:bottom w:w="0" w:type="dxa"/>
              <w:right w:w="15" w:type="dxa"/>
            </w:tcMar>
            <w:vAlign w:val="bottom"/>
            <w:hideMark/>
          </w:tcPr>
          <w:p w14:paraId="1D0137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4952B1AD" w14:textId="77777777" w:rsidTr="00AC4931">
        <w:tc>
          <w:tcPr>
            <w:tcW w:w="9330" w:type="dxa"/>
            <w:shd w:val="clear" w:color="auto" w:fill="CFF0FC"/>
            <w:tcMar>
              <w:top w:w="15" w:type="dxa"/>
              <w:left w:w="0" w:type="dxa"/>
              <w:bottom w:w="0" w:type="dxa"/>
              <w:right w:w="15" w:type="dxa"/>
            </w:tcMar>
            <w:hideMark/>
          </w:tcPr>
          <w:p w14:paraId="5C7998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Translation difference</w:t>
            </w:r>
          </w:p>
        </w:tc>
        <w:tc>
          <w:tcPr>
            <w:tcW w:w="211" w:type="dxa"/>
            <w:shd w:val="clear" w:color="auto" w:fill="CFF0FC"/>
            <w:tcMar>
              <w:top w:w="15" w:type="dxa"/>
              <w:left w:w="0" w:type="dxa"/>
              <w:bottom w:w="0" w:type="dxa"/>
              <w:right w:w="15" w:type="dxa"/>
            </w:tcMar>
            <w:vAlign w:val="bottom"/>
            <w:hideMark/>
          </w:tcPr>
          <w:p w14:paraId="3FD74A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CFF0FC"/>
            <w:noWrap/>
            <w:tcMar>
              <w:top w:w="15" w:type="dxa"/>
              <w:left w:w="0" w:type="dxa"/>
              <w:bottom w:w="0" w:type="dxa"/>
              <w:right w:w="15" w:type="dxa"/>
            </w:tcMar>
            <w:vAlign w:val="bottom"/>
            <w:hideMark/>
          </w:tcPr>
          <w:p w14:paraId="4144AB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CFF0FC"/>
            <w:noWrap/>
            <w:tcMar>
              <w:top w:w="15" w:type="dxa"/>
              <w:left w:w="0" w:type="dxa"/>
              <w:bottom w:w="0" w:type="dxa"/>
              <w:right w:w="15" w:type="dxa"/>
            </w:tcMar>
            <w:vAlign w:val="bottom"/>
            <w:hideMark/>
          </w:tcPr>
          <w:p w14:paraId="027859A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CFF0FC"/>
            <w:noWrap/>
            <w:tcMar>
              <w:top w:w="15" w:type="dxa"/>
              <w:left w:w="0" w:type="dxa"/>
              <w:bottom w:w="0" w:type="dxa"/>
              <w:right w:w="15" w:type="dxa"/>
            </w:tcMar>
            <w:vAlign w:val="bottom"/>
            <w:hideMark/>
          </w:tcPr>
          <w:p w14:paraId="5E1488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54B25F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CFF0FC"/>
            <w:noWrap/>
            <w:tcMar>
              <w:top w:w="15" w:type="dxa"/>
              <w:left w:w="0" w:type="dxa"/>
              <w:bottom w:w="0" w:type="dxa"/>
              <w:right w:w="15" w:type="dxa"/>
            </w:tcMar>
            <w:vAlign w:val="bottom"/>
            <w:hideMark/>
          </w:tcPr>
          <w:p w14:paraId="5A070A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CFF0FC"/>
            <w:noWrap/>
            <w:tcMar>
              <w:top w:w="15" w:type="dxa"/>
              <w:left w:w="0" w:type="dxa"/>
              <w:bottom w:w="0" w:type="dxa"/>
              <w:right w:w="15" w:type="dxa"/>
            </w:tcMar>
            <w:vAlign w:val="bottom"/>
            <w:hideMark/>
          </w:tcPr>
          <w:p w14:paraId="5B2D3EA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CFF0FC"/>
            <w:noWrap/>
            <w:tcMar>
              <w:top w:w="15" w:type="dxa"/>
              <w:left w:w="0" w:type="dxa"/>
              <w:bottom w:w="0" w:type="dxa"/>
              <w:right w:w="15" w:type="dxa"/>
            </w:tcMar>
            <w:vAlign w:val="bottom"/>
            <w:hideMark/>
          </w:tcPr>
          <w:p w14:paraId="71CA89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020AE4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CFF0FC"/>
            <w:noWrap/>
            <w:tcMar>
              <w:top w:w="15" w:type="dxa"/>
              <w:left w:w="0" w:type="dxa"/>
              <w:bottom w:w="0" w:type="dxa"/>
              <w:right w:w="15" w:type="dxa"/>
            </w:tcMar>
            <w:vAlign w:val="bottom"/>
            <w:hideMark/>
          </w:tcPr>
          <w:p w14:paraId="76F092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CFF0FC"/>
            <w:noWrap/>
            <w:tcMar>
              <w:top w:w="15" w:type="dxa"/>
              <w:left w:w="0" w:type="dxa"/>
              <w:bottom w:w="0" w:type="dxa"/>
              <w:right w:w="15" w:type="dxa"/>
            </w:tcMar>
            <w:vAlign w:val="bottom"/>
            <w:hideMark/>
          </w:tcPr>
          <w:p w14:paraId="062E5F6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70" w:type="dxa"/>
            <w:shd w:val="clear" w:color="auto" w:fill="CFF0FC"/>
            <w:noWrap/>
            <w:tcMar>
              <w:top w:w="15" w:type="dxa"/>
              <w:left w:w="0" w:type="dxa"/>
              <w:bottom w:w="0" w:type="dxa"/>
              <w:right w:w="15" w:type="dxa"/>
            </w:tcMar>
            <w:vAlign w:val="bottom"/>
            <w:hideMark/>
          </w:tcPr>
          <w:p w14:paraId="3C0FC4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440064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bottom w:val="single" w:sz="6" w:space="0" w:color="000000"/>
            </w:tcBorders>
            <w:shd w:val="clear" w:color="auto" w:fill="CFF0FC"/>
            <w:noWrap/>
            <w:tcMar>
              <w:top w:w="15" w:type="dxa"/>
              <w:left w:w="0" w:type="dxa"/>
              <w:bottom w:w="0" w:type="dxa"/>
              <w:right w:w="15" w:type="dxa"/>
            </w:tcMar>
            <w:vAlign w:val="bottom"/>
            <w:hideMark/>
          </w:tcPr>
          <w:p w14:paraId="5E1E17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bottom w:val="single" w:sz="6" w:space="0" w:color="000000"/>
            </w:tcBorders>
            <w:shd w:val="clear" w:color="auto" w:fill="CFF0FC"/>
            <w:noWrap/>
            <w:tcMar>
              <w:top w:w="15" w:type="dxa"/>
              <w:left w:w="0" w:type="dxa"/>
              <w:bottom w:w="0" w:type="dxa"/>
              <w:right w:w="15" w:type="dxa"/>
            </w:tcMar>
            <w:vAlign w:val="bottom"/>
            <w:hideMark/>
          </w:tcPr>
          <w:p w14:paraId="438849A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72" w:type="dxa"/>
            <w:shd w:val="clear" w:color="auto" w:fill="CFF0FC"/>
            <w:noWrap/>
            <w:tcMar>
              <w:top w:w="15" w:type="dxa"/>
              <w:left w:w="0" w:type="dxa"/>
              <w:bottom w:w="0" w:type="dxa"/>
              <w:right w:w="15" w:type="dxa"/>
            </w:tcMar>
            <w:vAlign w:val="bottom"/>
            <w:hideMark/>
          </w:tcPr>
          <w:p w14:paraId="5E7F00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2690396" w14:textId="77777777" w:rsidTr="00AC4931">
        <w:tc>
          <w:tcPr>
            <w:tcW w:w="9330" w:type="dxa"/>
            <w:shd w:val="clear" w:color="auto" w:fill="FFFFFF"/>
            <w:tcMar>
              <w:top w:w="15" w:type="dxa"/>
              <w:left w:w="0" w:type="dxa"/>
              <w:bottom w:w="0" w:type="dxa"/>
              <w:right w:w="15" w:type="dxa"/>
            </w:tcMar>
            <w:hideMark/>
          </w:tcPr>
          <w:p w14:paraId="04771B2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retirement benefit recognized in accumulated</w:t>
            </w:r>
          </w:p>
          <w:p w14:paraId="685A8BA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other comprehensive income at end of year</w:t>
            </w:r>
          </w:p>
        </w:tc>
        <w:tc>
          <w:tcPr>
            <w:tcW w:w="211" w:type="dxa"/>
            <w:shd w:val="clear" w:color="auto" w:fill="FFFFFF"/>
            <w:tcMar>
              <w:top w:w="15" w:type="dxa"/>
              <w:left w:w="0" w:type="dxa"/>
              <w:bottom w:w="0" w:type="dxa"/>
              <w:right w:w="15" w:type="dxa"/>
            </w:tcMar>
            <w:vAlign w:val="bottom"/>
            <w:hideMark/>
          </w:tcPr>
          <w:p w14:paraId="74AD4F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7C1725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34B524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61.5</w:t>
            </w:r>
          </w:p>
        </w:tc>
        <w:tc>
          <w:tcPr>
            <w:tcW w:w="170" w:type="dxa"/>
            <w:shd w:val="clear" w:color="auto" w:fill="FFFFFF"/>
            <w:noWrap/>
            <w:tcMar>
              <w:top w:w="15" w:type="dxa"/>
              <w:left w:w="0" w:type="dxa"/>
              <w:bottom w:w="0" w:type="dxa"/>
              <w:right w:w="15" w:type="dxa"/>
            </w:tcMar>
            <w:vAlign w:val="bottom"/>
            <w:hideMark/>
          </w:tcPr>
          <w:p w14:paraId="4BA0919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69FE03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0E7A72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20469E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63.2</w:t>
            </w:r>
          </w:p>
        </w:tc>
        <w:tc>
          <w:tcPr>
            <w:tcW w:w="170" w:type="dxa"/>
            <w:shd w:val="clear" w:color="auto" w:fill="FFFFFF"/>
            <w:noWrap/>
            <w:tcMar>
              <w:top w:w="15" w:type="dxa"/>
              <w:left w:w="0" w:type="dxa"/>
              <w:bottom w:w="0" w:type="dxa"/>
              <w:right w:w="15" w:type="dxa"/>
            </w:tcMar>
            <w:vAlign w:val="bottom"/>
            <w:hideMark/>
          </w:tcPr>
          <w:p w14:paraId="5E5F512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09B932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0D87F8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CA0BECD"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45.4</w:t>
            </w:r>
          </w:p>
        </w:tc>
        <w:tc>
          <w:tcPr>
            <w:tcW w:w="170" w:type="dxa"/>
            <w:shd w:val="clear" w:color="auto" w:fill="FFFFFF"/>
            <w:noWrap/>
            <w:tcMar>
              <w:top w:w="15" w:type="dxa"/>
              <w:left w:w="0" w:type="dxa"/>
              <w:bottom w:w="0" w:type="dxa"/>
              <w:right w:w="15" w:type="dxa"/>
            </w:tcMar>
            <w:vAlign w:val="bottom"/>
            <w:hideMark/>
          </w:tcPr>
          <w:p w14:paraId="2DC47BC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65CCD8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E879B5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689"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35F57E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51.3</w:t>
            </w:r>
          </w:p>
        </w:tc>
        <w:tc>
          <w:tcPr>
            <w:tcW w:w="172" w:type="dxa"/>
            <w:shd w:val="clear" w:color="auto" w:fill="FFFFFF"/>
            <w:noWrap/>
            <w:tcMar>
              <w:top w:w="15" w:type="dxa"/>
              <w:left w:w="0" w:type="dxa"/>
              <w:bottom w:w="0" w:type="dxa"/>
              <w:right w:w="15" w:type="dxa"/>
            </w:tcMar>
            <w:vAlign w:val="bottom"/>
            <w:hideMark/>
          </w:tcPr>
          <w:p w14:paraId="6BBC507F"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01BB5741"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0B0F1037"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accumulated benefit obligation for the U.S. non-contributory defined benefit pension plans was $419.1 million and $384.4 million at December 31, 2020 and 2019, respectively. The accumulated benefit obligation for the non-U.S. defined benefit pension plans was $236.9 million and $194.5 million at December 31, 2020 and 2019, respectively.</w:t>
      </w:r>
    </w:p>
    <w:p w14:paraId="5BEDB8EA"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lastRenderedPageBreak/>
        <w:t>Pension plans for which the accumulated benefit obligation (ABO) is notably in excess of the plan assets reside in the following countries: U.S., Mexico, France, Germany, Japan, South Korea and Sweden.</w:t>
      </w:r>
    </w:p>
    <w:p w14:paraId="49DBDCEA"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PENSION PLANS FOR WHICH ABO EXCEEDS THE FAIR VALUE OF PLAN ASSETS AS OF DECEMBER 31</w:t>
      </w:r>
    </w:p>
    <w:p w14:paraId="12B6C77D"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8553" w:type="dxa"/>
        <w:tblCellMar>
          <w:left w:w="0" w:type="dxa"/>
          <w:right w:w="0" w:type="dxa"/>
        </w:tblCellMar>
        <w:tblLook w:val="04A0" w:firstRow="1" w:lastRow="0" w:firstColumn="1" w:lastColumn="0" w:noHBand="0" w:noVBand="1"/>
      </w:tblPr>
      <w:tblGrid>
        <w:gridCol w:w="9353"/>
        <w:gridCol w:w="212"/>
        <w:gridCol w:w="179"/>
        <w:gridCol w:w="1710"/>
        <w:gridCol w:w="179"/>
        <w:gridCol w:w="211"/>
        <w:gridCol w:w="178"/>
        <w:gridCol w:w="1754"/>
        <w:gridCol w:w="178"/>
        <w:gridCol w:w="211"/>
        <w:gridCol w:w="178"/>
        <w:gridCol w:w="1709"/>
        <w:gridCol w:w="178"/>
        <w:gridCol w:w="211"/>
        <w:gridCol w:w="178"/>
        <w:gridCol w:w="1754"/>
        <w:gridCol w:w="180"/>
      </w:tblGrid>
      <w:tr w:rsidR="00AC4931" w:rsidRPr="00AC4931" w14:paraId="6E5BF657" w14:textId="77777777" w:rsidTr="00AC4931">
        <w:tc>
          <w:tcPr>
            <w:tcW w:w="9330" w:type="dxa"/>
            <w:shd w:val="clear" w:color="auto" w:fill="FFFFFF"/>
            <w:tcMar>
              <w:top w:w="15" w:type="dxa"/>
              <w:left w:w="0" w:type="dxa"/>
              <w:bottom w:w="0" w:type="dxa"/>
              <w:right w:w="15" w:type="dxa"/>
            </w:tcMar>
            <w:vAlign w:val="bottom"/>
            <w:hideMark/>
          </w:tcPr>
          <w:p w14:paraId="090FCF05"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11" w:type="dxa"/>
            <w:shd w:val="clear" w:color="auto" w:fill="FFFFFF"/>
            <w:tcMar>
              <w:top w:w="15" w:type="dxa"/>
              <w:left w:w="0" w:type="dxa"/>
              <w:bottom w:w="0" w:type="dxa"/>
              <w:right w:w="15" w:type="dxa"/>
            </w:tcMar>
            <w:vAlign w:val="bottom"/>
            <w:hideMark/>
          </w:tcPr>
          <w:p w14:paraId="3E85A6A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76" w:type="dxa"/>
            <w:gridSpan w:val="6"/>
            <w:tcBorders>
              <w:bottom w:val="single" w:sz="6" w:space="0" w:color="000000"/>
            </w:tcBorders>
            <w:shd w:val="clear" w:color="auto" w:fill="FFFFFF"/>
            <w:tcMar>
              <w:top w:w="15" w:type="dxa"/>
              <w:left w:w="0" w:type="dxa"/>
              <w:bottom w:w="0" w:type="dxa"/>
              <w:right w:w="15" w:type="dxa"/>
            </w:tcMar>
            <w:vAlign w:val="bottom"/>
            <w:hideMark/>
          </w:tcPr>
          <w:p w14:paraId="2857BC4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tc>
        <w:tc>
          <w:tcPr>
            <w:tcW w:w="170" w:type="dxa"/>
            <w:shd w:val="clear" w:color="auto" w:fill="FFFFFF"/>
            <w:noWrap/>
            <w:tcMar>
              <w:top w:w="15" w:type="dxa"/>
              <w:left w:w="0" w:type="dxa"/>
              <w:bottom w:w="0" w:type="dxa"/>
              <w:right w:w="15" w:type="dxa"/>
            </w:tcMar>
            <w:vAlign w:val="bottom"/>
            <w:hideMark/>
          </w:tcPr>
          <w:p w14:paraId="48DE8E3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shd w:val="clear" w:color="auto" w:fill="FFFFFF"/>
            <w:tcMar>
              <w:top w:w="15" w:type="dxa"/>
              <w:left w:w="0" w:type="dxa"/>
              <w:bottom w:w="0" w:type="dxa"/>
              <w:right w:w="15" w:type="dxa"/>
            </w:tcMar>
            <w:vAlign w:val="bottom"/>
            <w:hideMark/>
          </w:tcPr>
          <w:p w14:paraId="1D02A41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76" w:type="dxa"/>
            <w:gridSpan w:val="6"/>
            <w:tcBorders>
              <w:bottom w:val="single" w:sz="6" w:space="0" w:color="000000"/>
            </w:tcBorders>
            <w:shd w:val="clear" w:color="auto" w:fill="FFFFFF"/>
            <w:tcMar>
              <w:top w:w="15" w:type="dxa"/>
              <w:left w:w="0" w:type="dxa"/>
              <w:bottom w:w="0" w:type="dxa"/>
              <w:right w:w="15" w:type="dxa"/>
            </w:tcMar>
            <w:vAlign w:val="bottom"/>
            <w:hideMark/>
          </w:tcPr>
          <w:p w14:paraId="095D73C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Non-U.S.</w:t>
            </w:r>
          </w:p>
        </w:tc>
        <w:tc>
          <w:tcPr>
            <w:tcW w:w="172" w:type="dxa"/>
            <w:shd w:val="clear" w:color="auto" w:fill="FFFFFF"/>
            <w:noWrap/>
            <w:tcMar>
              <w:top w:w="15" w:type="dxa"/>
              <w:left w:w="0" w:type="dxa"/>
              <w:bottom w:w="0" w:type="dxa"/>
              <w:right w:w="15" w:type="dxa"/>
            </w:tcMar>
            <w:vAlign w:val="bottom"/>
            <w:hideMark/>
          </w:tcPr>
          <w:p w14:paraId="612F4AF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7AECD73" w14:textId="77777777" w:rsidTr="00AC4931">
        <w:tc>
          <w:tcPr>
            <w:tcW w:w="9330" w:type="dxa"/>
            <w:shd w:val="clear" w:color="auto" w:fill="FFFFFF"/>
            <w:tcMar>
              <w:top w:w="15" w:type="dxa"/>
              <w:left w:w="0" w:type="dxa"/>
              <w:bottom w:w="0" w:type="dxa"/>
              <w:right w:w="15" w:type="dxa"/>
            </w:tcMar>
            <w:vAlign w:val="bottom"/>
            <w:hideMark/>
          </w:tcPr>
          <w:p w14:paraId="5906572C"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(Dollars in millions)</w:t>
            </w:r>
          </w:p>
        </w:tc>
        <w:tc>
          <w:tcPr>
            <w:tcW w:w="211" w:type="dxa"/>
            <w:shd w:val="clear" w:color="auto" w:fill="FFFFFF"/>
            <w:tcMar>
              <w:top w:w="15" w:type="dxa"/>
              <w:left w:w="0" w:type="dxa"/>
              <w:bottom w:w="0" w:type="dxa"/>
              <w:right w:w="15" w:type="dxa"/>
            </w:tcMar>
            <w:vAlign w:val="bottom"/>
            <w:hideMark/>
          </w:tcPr>
          <w:p w14:paraId="634B1EA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E3ED8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70" w:type="dxa"/>
            <w:shd w:val="clear" w:color="auto" w:fill="FFFFFF"/>
            <w:noWrap/>
            <w:tcMar>
              <w:top w:w="15" w:type="dxa"/>
              <w:left w:w="0" w:type="dxa"/>
              <w:bottom w:w="0" w:type="dxa"/>
              <w:right w:w="15" w:type="dxa"/>
            </w:tcMar>
            <w:vAlign w:val="bottom"/>
            <w:hideMark/>
          </w:tcPr>
          <w:p w14:paraId="6A1CD78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tcBorders>
              <w:top w:val="single" w:sz="6" w:space="0" w:color="000000"/>
            </w:tcBorders>
            <w:shd w:val="clear" w:color="auto" w:fill="FFFFFF"/>
            <w:tcMar>
              <w:top w:w="15" w:type="dxa"/>
              <w:left w:w="0" w:type="dxa"/>
              <w:bottom w:w="0" w:type="dxa"/>
              <w:right w:w="15" w:type="dxa"/>
            </w:tcMar>
            <w:vAlign w:val="bottom"/>
            <w:hideMark/>
          </w:tcPr>
          <w:p w14:paraId="6F84E3F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2AE5C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70" w:type="dxa"/>
            <w:shd w:val="clear" w:color="auto" w:fill="FFFFFF"/>
            <w:noWrap/>
            <w:tcMar>
              <w:top w:w="15" w:type="dxa"/>
              <w:left w:w="0" w:type="dxa"/>
              <w:bottom w:w="0" w:type="dxa"/>
              <w:right w:w="15" w:type="dxa"/>
            </w:tcMar>
            <w:vAlign w:val="bottom"/>
            <w:hideMark/>
          </w:tcPr>
          <w:p w14:paraId="00BDFC2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shd w:val="clear" w:color="auto" w:fill="FFFFFF"/>
            <w:tcMar>
              <w:top w:w="15" w:type="dxa"/>
              <w:left w:w="0" w:type="dxa"/>
              <w:bottom w:w="0" w:type="dxa"/>
              <w:right w:w="15" w:type="dxa"/>
            </w:tcMar>
            <w:vAlign w:val="bottom"/>
            <w:hideMark/>
          </w:tcPr>
          <w:p w14:paraId="137F3D7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66854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70" w:type="dxa"/>
            <w:shd w:val="clear" w:color="auto" w:fill="FFFFFF"/>
            <w:noWrap/>
            <w:tcMar>
              <w:top w:w="15" w:type="dxa"/>
              <w:left w:w="0" w:type="dxa"/>
              <w:bottom w:w="0" w:type="dxa"/>
              <w:right w:w="15" w:type="dxa"/>
            </w:tcMar>
            <w:vAlign w:val="bottom"/>
            <w:hideMark/>
          </w:tcPr>
          <w:p w14:paraId="5F14DCB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tcBorders>
              <w:top w:val="single" w:sz="6" w:space="0" w:color="000000"/>
            </w:tcBorders>
            <w:shd w:val="clear" w:color="auto" w:fill="FFFFFF"/>
            <w:tcMar>
              <w:top w:w="15" w:type="dxa"/>
              <w:left w:w="0" w:type="dxa"/>
              <w:bottom w:w="0" w:type="dxa"/>
              <w:right w:w="15" w:type="dxa"/>
            </w:tcMar>
            <w:vAlign w:val="bottom"/>
            <w:hideMark/>
          </w:tcPr>
          <w:p w14:paraId="3E640C5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F3B570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72" w:type="dxa"/>
            <w:shd w:val="clear" w:color="auto" w:fill="FFFFFF"/>
            <w:noWrap/>
            <w:tcMar>
              <w:top w:w="15" w:type="dxa"/>
              <w:left w:w="0" w:type="dxa"/>
              <w:bottom w:w="0" w:type="dxa"/>
              <w:right w:w="15" w:type="dxa"/>
            </w:tcMar>
            <w:vAlign w:val="bottom"/>
            <w:hideMark/>
          </w:tcPr>
          <w:p w14:paraId="4285879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4AEF3393" w14:textId="77777777" w:rsidTr="00AC4931">
        <w:tc>
          <w:tcPr>
            <w:tcW w:w="9330" w:type="dxa"/>
            <w:shd w:val="clear" w:color="auto" w:fill="CFF0FC"/>
            <w:tcMar>
              <w:top w:w="15" w:type="dxa"/>
              <w:left w:w="0" w:type="dxa"/>
              <w:bottom w:w="0" w:type="dxa"/>
              <w:right w:w="15" w:type="dxa"/>
            </w:tcMar>
            <w:hideMark/>
          </w:tcPr>
          <w:p w14:paraId="280C6D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Projected Benefit Obligation (PBO)</w:t>
            </w:r>
          </w:p>
        </w:tc>
        <w:tc>
          <w:tcPr>
            <w:tcW w:w="211" w:type="dxa"/>
            <w:shd w:val="clear" w:color="auto" w:fill="CFF0FC"/>
            <w:tcMar>
              <w:top w:w="15" w:type="dxa"/>
              <w:left w:w="0" w:type="dxa"/>
              <w:bottom w:w="0" w:type="dxa"/>
              <w:right w:w="15" w:type="dxa"/>
            </w:tcMar>
            <w:vAlign w:val="bottom"/>
            <w:hideMark/>
          </w:tcPr>
          <w:p w14:paraId="7FCBCE7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48BD85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29B65AB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426.2</w:t>
            </w:r>
          </w:p>
        </w:tc>
        <w:tc>
          <w:tcPr>
            <w:tcW w:w="170" w:type="dxa"/>
            <w:shd w:val="clear" w:color="auto" w:fill="CFF0FC"/>
            <w:noWrap/>
            <w:tcMar>
              <w:top w:w="15" w:type="dxa"/>
              <w:left w:w="0" w:type="dxa"/>
              <w:bottom w:w="0" w:type="dxa"/>
              <w:right w:w="15" w:type="dxa"/>
            </w:tcMar>
            <w:vAlign w:val="bottom"/>
            <w:hideMark/>
          </w:tcPr>
          <w:p w14:paraId="53C3A7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140664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545261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776B8FE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400.1</w:t>
            </w:r>
          </w:p>
        </w:tc>
        <w:tc>
          <w:tcPr>
            <w:tcW w:w="170" w:type="dxa"/>
            <w:shd w:val="clear" w:color="auto" w:fill="CFF0FC"/>
            <w:noWrap/>
            <w:tcMar>
              <w:top w:w="15" w:type="dxa"/>
              <w:left w:w="0" w:type="dxa"/>
              <w:bottom w:w="0" w:type="dxa"/>
              <w:right w:w="15" w:type="dxa"/>
            </w:tcMar>
            <w:vAlign w:val="bottom"/>
            <w:hideMark/>
          </w:tcPr>
          <w:p w14:paraId="747B7A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4015E4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22FB11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14EB06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179.2</w:t>
            </w:r>
          </w:p>
        </w:tc>
        <w:tc>
          <w:tcPr>
            <w:tcW w:w="170" w:type="dxa"/>
            <w:shd w:val="clear" w:color="auto" w:fill="CFF0FC"/>
            <w:noWrap/>
            <w:tcMar>
              <w:top w:w="15" w:type="dxa"/>
              <w:left w:w="0" w:type="dxa"/>
              <w:bottom w:w="0" w:type="dxa"/>
              <w:right w:w="15" w:type="dxa"/>
            </w:tcMar>
            <w:vAlign w:val="bottom"/>
            <w:hideMark/>
          </w:tcPr>
          <w:p w14:paraId="1777EE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6F0969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572EBD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371DCB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169.3</w:t>
            </w:r>
          </w:p>
        </w:tc>
        <w:tc>
          <w:tcPr>
            <w:tcW w:w="172" w:type="dxa"/>
            <w:shd w:val="clear" w:color="auto" w:fill="CFF0FC"/>
            <w:noWrap/>
            <w:tcMar>
              <w:top w:w="15" w:type="dxa"/>
              <w:left w:w="0" w:type="dxa"/>
              <w:bottom w:w="0" w:type="dxa"/>
              <w:right w:w="15" w:type="dxa"/>
            </w:tcMar>
            <w:vAlign w:val="bottom"/>
            <w:hideMark/>
          </w:tcPr>
          <w:p w14:paraId="0D2476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474702B" w14:textId="77777777" w:rsidTr="00AC4931">
        <w:tc>
          <w:tcPr>
            <w:tcW w:w="9330" w:type="dxa"/>
            <w:shd w:val="clear" w:color="auto" w:fill="FFFFFF"/>
            <w:tcMar>
              <w:top w:w="15" w:type="dxa"/>
              <w:left w:w="0" w:type="dxa"/>
              <w:bottom w:w="0" w:type="dxa"/>
              <w:right w:w="15" w:type="dxa"/>
            </w:tcMar>
            <w:hideMark/>
          </w:tcPr>
          <w:p w14:paraId="559A6D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Accumulated Benefit Obligation (ABO)</w:t>
            </w:r>
          </w:p>
        </w:tc>
        <w:tc>
          <w:tcPr>
            <w:tcW w:w="211" w:type="dxa"/>
            <w:shd w:val="clear" w:color="auto" w:fill="FFFFFF"/>
            <w:tcMar>
              <w:top w:w="15" w:type="dxa"/>
              <w:left w:w="0" w:type="dxa"/>
              <w:bottom w:w="0" w:type="dxa"/>
              <w:right w:w="15" w:type="dxa"/>
            </w:tcMar>
            <w:vAlign w:val="bottom"/>
            <w:hideMark/>
          </w:tcPr>
          <w:p w14:paraId="206FBAC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795C5D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677E939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419.1</w:t>
            </w:r>
          </w:p>
        </w:tc>
        <w:tc>
          <w:tcPr>
            <w:tcW w:w="170" w:type="dxa"/>
            <w:shd w:val="clear" w:color="auto" w:fill="FFFFFF"/>
            <w:noWrap/>
            <w:tcMar>
              <w:top w:w="15" w:type="dxa"/>
              <w:left w:w="0" w:type="dxa"/>
              <w:bottom w:w="0" w:type="dxa"/>
              <w:right w:w="15" w:type="dxa"/>
            </w:tcMar>
            <w:vAlign w:val="bottom"/>
            <w:hideMark/>
          </w:tcPr>
          <w:p w14:paraId="7DF1C5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3F2BF2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1400CB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7D8A7C1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384.3</w:t>
            </w:r>
          </w:p>
        </w:tc>
        <w:tc>
          <w:tcPr>
            <w:tcW w:w="170" w:type="dxa"/>
            <w:shd w:val="clear" w:color="auto" w:fill="FFFFFF"/>
            <w:noWrap/>
            <w:tcMar>
              <w:top w:w="15" w:type="dxa"/>
              <w:left w:w="0" w:type="dxa"/>
              <w:bottom w:w="0" w:type="dxa"/>
              <w:right w:w="15" w:type="dxa"/>
            </w:tcMar>
            <w:vAlign w:val="bottom"/>
            <w:hideMark/>
          </w:tcPr>
          <w:p w14:paraId="44C702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21A59C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6976E7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11A5254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142.7</w:t>
            </w:r>
          </w:p>
        </w:tc>
        <w:tc>
          <w:tcPr>
            <w:tcW w:w="170" w:type="dxa"/>
            <w:shd w:val="clear" w:color="auto" w:fill="FFFFFF"/>
            <w:noWrap/>
            <w:tcMar>
              <w:top w:w="15" w:type="dxa"/>
              <w:left w:w="0" w:type="dxa"/>
              <w:bottom w:w="0" w:type="dxa"/>
              <w:right w:w="15" w:type="dxa"/>
            </w:tcMar>
            <w:vAlign w:val="bottom"/>
            <w:hideMark/>
          </w:tcPr>
          <w:p w14:paraId="079443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5DE99C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661C56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682BCA1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127.2</w:t>
            </w:r>
          </w:p>
        </w:tc>
        <w:tc>
          <w:tcPr>
            <w:tcW w:w="172" w:type="dxa"/>
            <w:shd w:val="clear" w:color="auto" w:fill="FFFFFF"/>
            <w:noWrap/>
            <w:tcMar>
              <w:top w:w="15" w:type="dxa"/>
              <w:left w:w="0" w:type="dxa"/>
              <w:bottom w:w="0" w:type="dxa"/>
              <w:right w:w="15" w:type="dxa"/>
            </w:tcMar>
            <w:vAlign w:val="bottom"/>
            <w:hideMark/>
          </w:tcPr>
          <w:p w14:paraId="72F4CD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23B7C5A" w14:textId="77777777" w:rsidTr="00AC4931">
        <w:tc>
          <w:tcPr>
            <w:tcW w:w="9330" w:type="dxa"/>
            <w:shd w:val="clear" w:color="auto" w:fill="CFF0FC"/>
            <w:tcMar>
              <w:top w:w="15" w:type="dxa"/>
              <w:left w:w="0" w:type="dxa"/>
              <w:bottom w:w="0" w:type="dxa"/>
              <w:right w:w="15" w:type="dxa"/>
            </w:tcMar>
            <w:hideMark/>
          </w:tcPr>
          <w:p w14:paraId="71FFE4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Fair value of plan assets</w:t>
            </w:r>
          </w:p>
        </w:tc>
        <w:tc>
          <w:tcPr>
            <w:tcW w:w="211" w:type="dxa"/>
            <w:shd w:val="clear" w:color="auto" w:fill="CFF0FC"/>
            <w:tcMar>
              <w:top w:w="15" w:type="dxa"/>
              <w:left w:w="0" w:type="dxa"/>
              <w:bottom w:w="0" w:type="dxa"/>
              <w:right w:w="15" w:type="dxa"/>
            </w:tcMar>
            <w:vAlign w:val="bottom"/>
            <w:hideMark/>
          </w:tcPr>
          <w:p w14:paraId="00FA969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28702F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72DCB7A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354.6</w:t>
            </w:r>
          </w:p>
        </w:tc>
        <w:tc>
          <w:tcPr>
            <w:tcW w:w="170" w:type="dxa"/>
            <w:shd w:val="clear" w:color="auto" w:fill="CFF0FC"/>
            <w:noWrap/>
            <w:tcMar>
              <w:top w:w="15" w:type="dxa"/>
              <w:left w:w="0" w:type="dxa"/>
              <w:bottom w:w="0" w:type="dxa"/>
              <w:right w:w="15" w:type="dxa"/>
            </w:tcMar>
            <w:vAlign w:val="bottom"/>
            <w:hideMark/>
          </w:tcPr>
          <w:p w14:paraId="187F0E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5D4CB7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633296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26B6EF4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323.8</w:t>
            </w:r>
          </w:p>
        </w:tc>
        <w:tc>
          <w:tcPr>
            <w:tcW w:w="170" w:type="dxa"/>
            <w:shd w:val="clear" w:color="auto" w:fill="CFF0FC"/>
            <w:noWrap/>
            <w:tcMar>
              <w:top w:w="15" w:type="dxa"/>
              <w:left w:w="0" w:type="dxa"/>
              <w:bottom w:w="0" w:type="dxa"/>
              <w:right w:w="15" w:type="dxa"/>
            </w:tcMar>
            <w:vAlign w:val="bottom"/>
            <w:hideMark/>
          </w:tcPr>
          <w:p w14:paraId="5305FE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27F356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3D5A0C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429C6F8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w:t>
            </w:r>
          </w:p>
        </w:tc>
        <w:tc>
          <w:tcPr>
            <w:tcW w:w="170" w:type="dxa"/>
            <w:shd w:val="clear" w:color="auto" w:fill="CFF0FC"/>
            <w:noWrap/>
            <w:tcMar>
              <w:top w:w="15" w:type="dxa"/>
              <w:left w:w="0" w:type="dxa"/>
              <w:bottom w:w="0" w:type="dxa"/>
              <w:right w:w="15" w:type="dxa"/>
            </w:tcMar>
            <w:vAlign w:val="bottom"/>
            <w:hideMark/>
          </w:tcPr>
          <w:p w14:paraId="066F0F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6DB9D2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0CE01E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CFF0FC"/>
            <w:noWrap/>
            <w:tcMar>
              <w:top w:w="15" w:type="dxa"/>
              <w:left w:w="0" w:type="dxa"/>
              <w:bottom w:w="0" w:type="dxa"/>
              <w:right w:w="15" w:type="dxa"/>
            </w:tcMar>
            <w:vAlign w:val="bottom"/>
            <w:hideMark/>
          </w:tcPr>
          <w:p w14:paraId="0CEC145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3.8</w:t>
            </w:r>
          </w:p>
        </w:tc>
        <w:tc>
          <w:tcPr>
            <w:tcW w:w="172" w:type="dxa"/>
            <w:shd w:val="clear" w:color="auto" w:fill="CFF0FC"/>
            <w:noWrap/>
            <w:tcMar>
              <w:top w:w="15" w:type="dxa"/>
              <w:left w:w="0" w:type="dxa"/>
              <w:bottom w:w="0" w:type="dxa"/>
              <w:right w:w="15" w:type="dxa"/>
            </w:tcMar>
            <w:vAlign w:val="bottom"/>
            <w:hideMark/>
          </w:tcPr>
          <w:p w14:paraId="57D5DAE6"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7F1E5784"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4A106674"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Company, in consultation with its actuarial advisors, determines certain key assumptions to be used in calculating the projected benefit obligation and annual net periodic benefit cost.</w:t>
      </w:r>
    </w:p>
    <w:p w14:paraId="72374196"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ASSUMPTIONS USED TO DETERMINE THE BENEFIT OBLIGATIONS AS OF DECEMBER 31</w:t>
      </w:r>
    </w:p>
    <w:p w14:paraId="4CDC0257"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8553" w:type="dxa"/>
        <w:tblCellMar>
          <w:left w:w="0" w:type="dxa"/>
          <w:right w:w="0" w:type="dxa"/>
        </w:tblCellMar>
        <w:tblLook w:val="04A0" w:firstRow="1" w:lastRow="0" w:firstColumn="1" w:lastColumn="0" w:noHBand="0" w:noVBand="1"/>
      </w:tblPr>
      <w:tblGrid>
        <w:gridCol w:w="9359"/>
        <w:gridCol w:w="211"/>
        <w:gridCol w:w="178"/>
        <w:gridCol w:w="1710"/>
        <w:gridCol w:w="179"/>
        <w:gridCol w:w="212"/>
        <w:gridCol w:w="179"/>
        <w:gridCol w:w="1756"/>
        <w:gridCol w:w="179"/>
        <w:gridCol w:w="212"/>
        <w:gridCol w:w="2067"/>
        <w:gridCol w:w="212"/>
        <w:gridCol w:w="2099"/>
      </w:tblGrid>
      <w:tr w:rsidR="00AC4931" w:rsidRPr="00AC4931" w14:paraId="54040A3B" w14:textId="77777777" w:rsidTr="00AC4931">
        <w:tc>
          <w:tcPr>
            <w:tcW w:w="9330" w:type="dxa"/>
            <w:shd w:val="clear" w:color="auto" w:fill="FFFFFF"/>
            <w:tcMar>
              <w:top w:w="15" w:type="dxa"/>
              <w:left w:w="0" w:type="dxa"/>
              <w:bottom w:w="0" w:type="dxa"/>
              <w:right w:w="15" w:type="dxa"/>
            </w:tcMar>
            <w:vAlign w:val="bottom"/>
            <w:hideMark/>
          </w:tcPr>
          <w:p w14:paraId="2F529E58"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11" w:type="dxa"/>
            <w:shd w:val="clear" w:color="auto" w:fill="FFFFFF"/>
            <w:tcMar>
              <w:top w:w="15" w:type="dxa"/>
              <w:left w:w="0" w:type="dxa"/>
              <w:bottom w:w="0" w:type="dxa"/>
              <w:right w:w="15" w:type="dxa"/>
            </w:tcMar>
            <w:vAlign w:val="bottom"/>
            <w:hideMark/>
          </w:tcPr>
          <w:p w14:paraId="0F916E8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76" w:type="dxa"/>
            <w:gridSpan w:val="6"/>
            <w:tcBorders>
              <w:bottom w:val="single" w:sz="6" w:space="0" w:color="000000"/>
            </w:tcBorders>
            <w:shd w:val="clear" w:color="auto" w:fill="FFFFFF"/>
            <w:tcMar>
              <w:top w:w="15" w:type="dxa"/>
              <w:left w:w="0" w:type="dxa"/>
              <w:bottom w:w="0" w:type="dxa"/>
              <w:right w:w="15" w:type="dxa"/>
            </w:tcMar>
            <w:vAlign w:val="bottom"/>
            <w:hideMark/>
          </w:tcPr>
          <w:p w14:paraId="594A4C1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tc>
        <w:tc>
          <w:tcPr>
            <w:tcW w:w="170" w:type="dxa"/>
            <w:shd w:val="clear" w:color="auto" w:fill="FFFFFF"/>
            <w:noWrap/>
            <w:tcMar>
              <w:top w:w="15" w:type="dxa"/>
              <w:left w:w="0" w:type="dxa"/>
              <w:bottom w:w="0" w:type="dxa"/>
              <w:right w:w="15" w:type="dxa"/>
            </w:tcMar>
            <w:vAlign w:val="bottom"/>
            <w:hideMark/>
          </w:tcPr>
          <w:p w14:paraId="1255214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shd w:val="clear" w:color="auto" w:fill="FFFFFF"/>
            <w:tcMar>
              <w:top w:w="15" w:type="dxa"/>
              <w:left w:w="0" w:type="dxa"/>
              <w:bottom w:w="0" w:type="dxa"/>
              <w:right w:w="15" w:type="dxa"/>
            </w:tcMar>
            <w:vAlign w:val="bottom"/>
            <w:hideMark/>
          </w:tcPr>
          <w:p w14:paraId="66E9CF3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363" w:type="dxa"/>
            <w:gridSpan w:val="3"/>
            <w:tcBorders>
              <w:bottom w:val="single" w:sz="6" w:space="0" w:color="000000"/>
            </w:tcBorders>
            <w:shd w:val="clear" w:color="auto" w:fill="FFFFFF"/>
            <w:tcMar>
              <w:top w:w="15" w:type="dxa"/>
              <w:left w:w="0" w:type="dxa"/>
              <w:bottom w:w="0" w:type="dxa"/>
              <w:right w:w="15" w:type="dxa"/>
            </w:tcMar>
            <w:vAlign w:val="bottom"/>
            <w:hideMark/>
          </w:tcPr>
          <w:p w14:paraId="32BE926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Non-U.S.</w:t>
            </w:r>
            <w:r w:rsidRPr="00AC4931">
              <w:rPr>
                <w:rFonts w:ascii="Arial" w:eastAsia="宋体" w:hAnsi="Arial" w:cs="Arial"/>
                <w:b/>
                <w:bCs/>
                <w:color w:val="000000"/>
                <w:kern w:val="0"/>
                <w:sz w:val="18"/>
                <w:szCs w:val="18"/>
                <w:vertAlign w:val="superscript"/>
              </w:rPr>
              <w:t>1)</w:t>
            </w:r>
          </w:p>
        </w:tc>
      </w:tr>
      <w:tr w:rsidR="00AC4931" w:rsidRPr="00AC4931" w14:paraId="15B4A229" w14:textId="77777777" w:rsidTr="00AC4931">
        <w:tc>
          <w:tcPr>
            <w:tcW w:w="9330" w:type="dxa"/>
            <w:shd w:val="clear" w:color="auto" w:fill="FFFFFF"/>
            <w:tcMar>
              <w:top w:w="15" w:type="dxa"/>
              <w:left w:w="0" w:type="dxa"/>
              <w:bottom w:w="0" w:type="dxa"/>
              <w:right w:w="15" w:type="dxa"/>
            </w:tcMar>
            <w:vAlign w:val="bottom"/>
            <w:hideMark/>
          </w:tcPr>
          <w:p w14:paraId="3A0960D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 WEIGHTED AVERAGE</w:t>
            </w:r>
          </w:p>
        </w:tc>
        <w:tc>
          <w:tcPr>
            <w:tcW w:w="211" w:type="dxa"/>
            <w:shd w:val="clear" w:color="auto" w:fill="FFFFFF"/>
            <w:tcMar>
              <w:top w:w="15" w:type="dxa"/>
              <w:left w:w="0" w:type="dxa"/>
              <w:bottom w:w="0" w:type="dxa"/>
              <w:right w:w="15" w:type="dxa"/>
            </w:tcMar>
            <w:vAlign w:val="bottom"/>
            <w:hideMark/>
          </w:tcPr>
          <w:p w14:paraId="14D4BEB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A47B0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70" w:type="dxa"/>
            <w:shd w:val="clear" w:color="auto" w:fill="FFFFFF"/>
            <w:noWrap/>
            <w:tcMar>
              <w:top w:w="15" w:type="dxa"/>
              <w:left w:w="0" w:type="dxa"/>
              <w:bottom w:w="0" w:type="dxa"/>
              <w:right w:w="15" w:type="dxa"/>
            </w:tcMar>
            <w:vAlign w:val="bottom"/>
            <w:hideMark/>
          </w:tcPr>
          <w:p w14:paraId="011140A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tcBorders>
              <w:top w:val="single" w:sz="6" w:space="0" w:color="000000"/>
            </w:tcBorders>
            <w:shd w:val="clear" w:color="auto" w:fill="FFFFFF"/>
            <w:tcMar>
              <w:top w:w="15" w:type="dxa"/>
              <w:left w:w="0" w:type="dxa"/>
              <w:bottom w:w="0" w:type="dxa"/>
              <w:right w:w="15" w:type="dxa"/>
            </w:tcMar>
            <w:vAlign w:val="bottom"/>
            <w:hideMark/>
          </w:tcPr>
          <w:p w14:paraId="0DEABAA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7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106C2E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70" w:type="dxa"/>
            <w:shd w:val="clear" w:color="auto" w:fill="FFFFFF"/>
            <w:noWrap/>
            <w:tcMar>
              <w:top w:w="15" w:type="dxa"/>
              <w:left w:w="0" w:type="dxa"/>
              <w:bottom w:w="0" w:type="dxa"/>
              <w:right w:w="15" w:type="dxa"/>
            </w:tcMar>
            <w:vAlign w:val="bottom"/>
            <w:hideMark/>
          </w:tcPr>
          <w:p w14:paraId="7B6EF18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1" w:type="dxa"/>
            <w:shd w:val="clear" w:color="auto" w:fill="FFFFFF"/>
            <w:tcMar>
              <w:top w:w="15" w:type="dxa"/>
              <w:left w:w="0" w:type="dxa"/>
              <w:bottom w:w="0" w:type="dxa"/>
              <w:right w:w="15" w:type="dxa"/>
            </w:tcMar>
            <w:vAlign w:val="bottom"/>
            <w:hideMark/>
          </w:tcPr>
          <w:p w14:paraId="6A351B6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60"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268369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211" w:type="dxa"/>
            <w:tcBorders>
              <w:top w:val="single" w:sz="6" w:space="0" w:color="000000"/>
            </w:tcBorders>
            <w:shd w:val="clear" w:color="auto" w:fill="FFFFFF"/>
            <w:tcMar>
              <w:top w:w="15" w:type="dxa"/>
              <w:left w:w="0" w:type="dxa"/>
              <w:bottom w:w="0" w:type="dxa"/>
              <w:right w:w="15" w:type="dxa"/>
            </w:tcMar>
            <w:vAlign w:val="bottom"/>
            <w:hideMark/>
          </w:tcPr>
          <w:p w14:paraId="4302732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61"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09740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r>
      <w:tr w:rsidR="00AC4931" w:rsidRPr="00AC4931" w14:paraId="6B82FC8B" w14:textId="77777777" w:rsidTr="00AC4931">
        <w:tc>
          <w:tcPr>
            <w:tcW w:w="9330" w:type="dxa"/>
            <w:shd w:val="clear" w:color="auto" w:fill="CFF0FC"/>
            <w:tcMar>
              <w:top w:w="15" w:type="dxa"/>
              <w:left w:w="0" w:type="dxa"/>
              <w:bottom w:w="0" w:type="dxa"/>
              <w:right w:w="15" w:type="dxa"/>
            </w:tcMar>
            <w:hideMark/>
          </w:tcPr>
          <w:p w14:paraId="4DBDB7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Discount rate</w:t>
            </w:r>
          </w:p>
        </w:tc>
        <w:tc>
          <w:tcPr>
            <w:tcW w:w="211" w:type="dxa"/>
            <w:shd w:val="clear" w:color="auto" w:fill="CFF0FC"/>
            <w:tcMar>
              <w:top w:w="15" w:type="dxa"/>
              <w:left w:w="0" w:type="dxa"/>
              <w:bottom w:w="0" w:type="dxa"/>
              <w:right w:w="15" w:type="dxa"/>
            </w:tcMar>
            <w:vAlign w:val="bottom"/>
            <w:hideMark/>
          </w:tcPr>
          <w:p w14:paraId="0228AF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6DF135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599CFC6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2.35</w:t>
            </w:r>
          </w:p>
        </w:tc>
        <w:tc>
          <w:tcPr>
            <w:tcW w:w="170" w:type="dxa"/>
            <w:shd w:val="clear" w:color="auto" w:fill="CFF0FC"/>
            <w:noWrap/>
            <w:tcMar>
              <w:top w:w="15" w:type="dxa"/>
              <w:left w:w="0" w:type="dxa"/>
              <w:bottom w:w="0" w:type="dxa"/>
              <w:right w:w="15" w:type="dxa"/>
            </w:tcMar>
            <w:vAlign w:val="bottom"/>
            <w:hideMark/>
          </w:tcPr>
          <w:p w14:paraId="768D15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1D8FED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358913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tcBorders>
              <w:top w:val="single" w:sz="6" w:space="0" w:color="000000"/>
            </w:tcBorders>
            <w:shd w:val="clear" w:color="auto" w:fill="CFF0FC"/>
            <w:noWrap/>
            <w:tcMar>
              <w:top w:w="15" w:type="dxa"/>
              <w:left w:w="0" w:type="dxa"/>
              <w:bottom w:w="0" w:type="dxa"/>
              <w:right w:w="15" w:type="dxa"/>
            </w:tcMar>
            <w:vAlign w:val="bottom"/>
            <w:hideMark/>
          </w:tcPr>
          <w:p w14:paraId="66CC997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3.25</w:t>
            </w:r>
          </w:p>
        </w:tc>
        <w:tc>
          <w:tcPr>
            <w:tcW w:w="170" w:type="dxa"/>
            <w:shd w:val="clear" w:color="auto" w:fill="CFF0FC"/>
            <w:noWrap/>
            <w:tcMar>
              <w:top w:w="15" w:type="dxa"/>
              <w:left w:w="0" w:type="dxa"/>
              <w:bottom w:w="0" w:type="dxa"/>
              <w:right w:w="15" w:type="dxa"/>
            </w:tcMar>
            <w:vAlign w:val="bottom"/>
            <w:hideMark/>
          </w:tcPr>
          <w:p w14:paraId="52287E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CFF0FC"/>
            <w:tcMar>
              <w:top w:w="15" w:type="dxa"/>
              <w:left w:w="0" w:type="dxa"/>
              <w:bottom w:w="0" w:type="dxa"/>
              <w:right w:w="15" w:type="dxa"/>
            </w:tcMar>
            <w:vAlign w:val="bottom"/>
            <w:hideMark/>
          </w:tcPr>
          <w:p w14:paraId="769013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60" w:type="dxa"/>
            <w:tcBorders>
              <w:top w:val="single" w:sz="6" w:space="0" w:color="000000"/>
            </w:tcBorders>
            <w:shd w:val="clear" w:color="auto" w:fill="CFF0FC"/>
            <w:tcMar>
              <w:top w:w="15" w:type="dxa"/>
              <w:left w:w="0" w:type="dxa"/>
              <w:bottom w:w="0" w:type="dxa"/>
              <w:right w:w="15" w:type="dxa"/>
            </w:tcMar>
            <w:vAlign w:val="bottom"/>
            <w:hideMark/>
          </w:tcPr>
          <w:p w14:paraId="1038BF8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0.25-2.70</w:t>
            </w:r>
          </w:p>
        </w:tc>
        <w:tc>
          <w:tcPr>
            <w:tcW w:w="211" w:type="dxa"/>
            <w:shd w:val="clear" w:color="auto" w:fill="CFF0FC"/>
            <w:tcMar>
              <w:top w:w="15" w:type="dxa"/>
              <w:left w:w="0" w:type="dxa"/>
              <w:bottom w:w="0" w:type="dxa"/>
              <w:right w:w="15" w:type="dxa"/>
            </w:tcMar>
            <w:vAlign w:val="bottom"/>
            <w:hideMark/>
          </w:tcPr>
          <w:p w14:paraId="6C179E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61" w:type="dxa"/>
            <w:tcBorders>
              <w:top w:val="single" w:sz="6" w:space="0" w:color="000000"/>
            </w:tcBorders>
            <w:shd w:val="clear" w:color="auto" w:fill="CFF0FC"/>
            <w:tcMar>
              <w:top w:w="15" w:type="dxa"/>
              <w:left w:w="0" w:type="dxa"/>
              <w:bottom w:w="0" w:type="dxa"/>
              <w:right w:w="15" w:type="dxa"/>
            </w:tcMar>
            <w:vAlign w:val="bottom"/>
            <w:hideMark/>
          </w:tcPr>
          <w:p w14:paraId="612BE1D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0.25-2.70</w:t>
            </w:r>
          </w:p>
        </w:tc>
      </w:tr>
      <w:tr w:rsidR="00AC4931" w:rsidRPr="00AC4931" w14:paraId="6028E678" w14:textId="77777777" w:rsidTr="00AC4931">
        <w:tc>
          <w:tcPr>
            <w:tcW w:w="9330" w:type="dxa"/>
            <w:shd w:val="clear" w:color="auto" w:fill="FFFFFF"/>
            <w:tcMar>
              <w:top w:w="15" w:type="dxa"/>
              <w:left w:w="0" w:type="dxa"/>
              <w:bottom w:w="0" w:type="dxa"/>
              <w:right w:w="15" w:type="dxa"/>
            </w:tcMar>
            <w:hideMark/>
          </w:tcPr>
          <w:p w14:paraId="1B1F56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Rate of increases in compensation level</w:t>
            </w:r>
          </w:p>
        </w:tc>
        <w:tc>
          <w:tcPr>
            <w:tcW w:w="211" w:type="dxa"/>
            <w:shd w:val="clear" w:color="auto" w:fill="FFFFFF"/>
            <w:tcMar>
              <w:top w:w="15" w:type="dxa"/>
              <w:left w:w="0" w:type="dxa"/>
              <w:bottom w:w="0" w:type="dxa"/>
              <w:right w:w="15" w:type="dxa"/>
            </w:tcMar>
            <w:vAlign w:val="bottom"/>
            <w:hideMark/>
          </w:tcPr>
          <w:p w14:paraId="1C4F36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25D95C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1EC61F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2.65</w:t>
            </w:r>
          </w:p>
        </w:tc>
        <w:tc>
          <w:tcPr>
            <w:tcW w:w="170" w:type="dxa"/>
            <w:shd w:val="clear" w:color="auto" w:fill="FFFFFF"/>
            <w:noWrap/>
            <w:tcMar>
              <w:top w:w="15" w:type="dxa"/>
              <w:left w:w="0" w:type="dxa"/>
              <w:bottom w:w="0" w:type="dxa"/>
              <w:right w:w="15" w:type="dxa"/>
            </w:tcMar>
            <w:vAlign w:val="bottom"/>
            <w:hideMark/>
          </w:tcPr>
          <w:p w14:paraId="31C302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2136DA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50789A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89" w:type="dxa"/>
            <w:shd w:val="clear" w:color="auto" w:fill="FFFFFF"/>
            <w:noWrap/>
            <w:tcMar>
              <w:top w:w="15" w:type="dxa"/>
              <w:left w:w="0" w:type="dxa"/>
              <w:bottom w:w="0" w:type="dxa"/>
              <w:right w:w="15" w:type="dxa"/>
            </w:tcMar>
            <w:vAlign w:val="bottom"/>
            <w:hideMark/>
          </w:tcPr>
          <w:p w14:paraId="3DDF02A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2.65</w:t>
            </w:r>
          </w:p>
        </w:tc>
        <w:tc>
          <w:tcPr>
            <w:tcW w:w="170" w:type="dxa"/>
            <w:shd w:val="clear" w:color="auto" w:fill="FFFFFF"/>
            <w:noWrap/>
            <w:tcMar>
              <w:top w:w="15" w:type="dxa"/>
              <w:left w:w="0" w:type="dxa"/>
              <w:bottom w:w="0" w:type="dxa"/>
              <w:right w:w="15" w:type="dxa"/>
            </w:tcMar>
            <w:vAlign w:val="bottom"/>
            <w:hideMark/>
          </w:tcPr>
          <w:p w14:paraId="2F7493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1" w:type="dxa"/>
            <w:shd w:val="clear" w:color="auto" w:fill="FFFFFF"/>
            <w:tcMar>
              <w:top w:w="15" w:type="dxa"/>
              <w:left w:w="0" w:type="dxa"/>
              <w:bottom w:w="0" w:type="dxa"/>
              <w:right w:w="15" w:type="dxa"/>
            </w:tcMar>
            <w:vAlign w:val="bottom"/>
            <w:hideMark/>
          </w:tcPr>
          <w:p w14:paraId="265464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60" w:type="dxa"/>
            <w:shd w:val="clear" w:color="auto" w:fill="FFFFFF"/>
            <w:tcMar>
              <w:top w:w="15" w:type="dxa"/>
              <w:left w:w="0" w:type="dxa"/>
              <w:bottom w:w="0" w:type="dxa"/>
              <w:right w:w="15" w:type="dxa"/>
            </w:tcMar>
            <w:vAlign w:val="bottom"/>
            <w:hideMark/>
          </w:tcPr>
          <w:p w14:paraId="0E9E38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1.80-4.00</w:t>
            </w:r>
          </w:p>
        </w:tc>
        <w:tc>
          <w:tcPr>
            <w:tcW w:w="211" w:type="dxa"/>
            <w:shd w:val="clear" w:color="auto" w:fill="FFFFFF"/>
            <w:tcMar>
              <w:top w:w="15" w:type="dxa"/>
              <w:left w:w="0" w:type="dxa"/>
              <w:bottom w:w="0" w:type="dxa"/>
              <w:right w:w="15" w:type="dxa"/>
            </w:tcMar>
            <w:vAlign w:val="bottom"/>
            <w:hideMark/>
          </w:tcPr>
          <w:p w14:paraId="66E619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61" w:type="dxa"/>
            <w:shd w:val="clear" w:color="auto" w:fill="FFFFFF"/>
            <w:tcMar>
              <w:top w:w="15" w:type="dxa"/>
              <w:left w:w="0" w:type="dxa"/>
              <w:bottom w:w="0" w:type="dxa"/>
              <w:right w:w="15" w:type="dxa"/>
            </w:tcMar>
            <w:vAlign w:val="bottom"/>
            <w:hideMark/>
          </w:tcPr>
          <w:p w14:paraId="245B5D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2.00-5.00</w:t>
            </w:r>
          </w:p>
        </w:tc>
      </w:tr>
    </w:tbl>
    <w:p w14:paraId="1C1E6143"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54860EBF" w14:textId="77777777" w:rsidR="00AC4931" w:rsidRPr="00AC4931" w:rsidRDefault="00AC4931" w:rsidP="00AC4931">
      <w:pPr>
        <w:widowControl/>
        <w:spacing w:before="100"/>
        <w:rPr>
          <w:rFonts w:ascii="Arial" w:eastAsia="宋体" w:hAnsi="Arial" w:cs="Arial"/>
          <w:b/>
          <w:bCs/>
          <w:kern w:val="0"/>
          <w:sz w:val="18"/>
          <w:szCs w:val="18"/>
        </w:rPr>
      </w:pPr>
      <w:r w:rsidRPr="00AC4931">
        <w:rPr>
          <w:rFonts w:ascii="Arial" w:eastAsia="宋体" w:hAnsi="Arial" w:cs="Arial"/>
          <w:b/>
          <w:bCs/>
          <w:kern w:val="0"/>
          <w:sz w:val="18"/>
          <w:szCs w:val="18"/>
        </w:rPr>
        <w:t>ASSUMPTIONS USED TO DETERMINE THE NET PERIODIC BENEFIT COST FOR YEARS ENDED DECEMBER 31</w:t>
      </w:r>
    </w:p>
    <w:p w14:paraId="35F09333"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9481"/>
        <w:gridCol w:w="214"/>
        <w:gridCol w:w="158"/>
        <w:gridCol w:w="1777"/>
        <w:gridCol w:w="158"/>
        <w:gridCol w:w="213"/>
        <w:gridCol w:w="158"/>
        <w:gridCol w:w="1777"/>
        <w:gridCol w:w="158"/>
        <w:gridCol w:w="213"/>
        <w:gridCol w:w="158"/>
        <w:gridCol w:w="1867"/>
        <w:gridCol w:w="159"/>
      </w:tblGrid>
      <w:tr w:rsidR="00AC4931" w:rsidRPr="00AC4931" w14:paraId="06D6FFBF" w14:textId="77777777" w:rsidTr="00AC4931">
        <w:tc>
          <w:tcPr>
            <w:tcW w:w="9474" w:type="dxa"/>
            <w:shd w:val="clear" w:color="auto" w:fill="FFFFFF"/>
            <w:tcMar>
              <w:top w:w="15" w:type="dxa"/>
              <w:left w:w="0" w:type="dxa"/>
              <w:bottom w:w="0" w:type="dxa"/>
              <w:right w:w="15" w:type="dxa"/>
            </w:tcMar>
            <w:vAlign w:val="bottom"/>
            <w:hideMark/>
          </w:tcPr>
          <w:p w14:paraId="694BCEE3"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13" w:type="dxa"/>
            <w:shd w:val="clear" w:color="auto" w:fill="FFFFFF"/>
            <w:tcMar>
              <w:top w:w="15" w:type="dxa"/>
              <w:left w:w="0" w:type="dxa"/>
              <w:bottom w:w="0" w:type="dxa"/>
              <w:right w:w="15" w:type="dxa"/>
            </w:tcMar>
            <w:vAlign w:val="bottom"/>
            <w:hideMark/>
          </w:tcPr>
          <w:p w14:paraId="1C4CBF9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6594" w:type="dxa"/>
            <w:gridSpan w:val="10"/>
            <w:tcBorders>
              <w:bottom w:val="single" w:sz="6" w:space="0" w:color="000000"/>
            </w:tcBorders>
            <w:shd w:val="clear" w:color="auto" w:fill="FFFFFF"/>
            <w:tcMar>
              <w:top w:w="15" w:type="dxa"/>
              <w:left w:w="0" w:type="dxa"/>
              <w:bottom w:w="0" w:type="dxa"/>
              <w:right w:w="15" w:type="dxa"/>
            </w:tcMar>
            <w:vAlign w:val="bottom"/>
            <w:hideMark/>
          </w:tcPr>
          <w:p w14:paraId="475FF27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tc>
        <w:tc>
          <w:tcPr>
            <w:tcW w:w="151" w:type="dxa"/>
            <w:shd w:val="clear" w:color="auto" w:fill="FFFFFF"/>
            <w:noWrap/>
            <w:tcMar>
              <w:top w:w="15" w:type="dxa"/>
              <w:left w:w="0" w:type="dxa"/>
              <w:bottom w:w="0" w:type="dxa"/>
              <w:right w:w="15" w:type="dxa"/>
            </w:tcMar>
            <w:vAlign w:val="bottom"/>
            <w:hideMark/>
          </w:tcPr>
          <w:p w14:paraId="46E6299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C1D1949" w14:textId="77777777" w:rsidTr="00AC4931">
        <w:tc>
          <w:tcPr>
            <w:tcW w:w="9474" w:type="dxa"/>
            <w:shd w:val="clear" w:color="auto" w:fill="FFFFFF"/>
            <w:tcMar>
              <w:top w:w="15" w:type="dxa"/>
              <w:left w:w="0" w:type="dxa"/>
              <w:bottom w:w="0" w:type="dxa"/>
              <w:right w:w="15" w:type="dxa"/>
            </w:tcMar>
            <w:vAlign w:val="bottom"/>
            <w:hideMark/>
          </w:tcPr>
          <w:p w14:paraId="011DED1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 WEIGHTED AVERAGE</w:t>
            </w:r>
          </w:p>
        </w:tc>
        <w:tc>
          <w:tcPr>
            <w:tcW w:w="213" w:type="dxa"/>
            <w:shd w:val="clear" w:color="auto" w:fill="FFFFFF"/>
            <w:tcMar>
              <w:top w:w="15" w:type="dxa"/>
              <w:left w:w="0" w:type="dxa"/>
              <w:bottom w:w="0" w:type="dxa"/>
              <w:right w:w="15" w:type="dxa"/>
            </w:tcMar>
            <w:vAlign w:val="bottom"/>
            <w:hideMark/>
          </w:tcPr>
          <w:p w14:paraId="741DA01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F935B3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431E14B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tcBorders>
              <w:top w:val="single" w:sz="6" w:space="0" w:color="000000"/>
            </w:tcBorders>
            <w:shd w:val="clear" w:color="auto" w:fill="FFFFFF"/>
            <w:tcMar>
              <w:top w:w="15" w:type="dxa"/>
              <w:left w:w="0" w:type="dxa"/>
              <w:bottom w:w="0" w:type="dxa"/>
              <w:right w:w="15" w:type="dxa"/>
            </w:tcMar>
            <w:vAlign w:val="bottom"/>
            <w:hideMark/>
          </w:tcPr>
          <w:p w14:paraId="740E310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F7BFDB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32C1080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tcBorders>
              <w:top w:val="single" w:sz="6" w:space="0" w:color="000000"/>
            </w:tcBorders>
            <w:shd w:val="clear" w:color="auto" w:fill="FFFFFF"/>
            <w:tcMar>
              <w:top w:w="15" w:type="dxa"/>
              <w:left w:w="0" w:type="dxa"/>
              <w:bottom w:w="0" w:type="dxa"/>
              <w:right w:w="15" w:type="dxa"/>
            </w:tcMar>
            <w:vAlign w:val="bottom"/>
            <w:hideMark/>
          </w:tcPr>
          <w:p w14:paraId="325EF23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F7F7F8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594D0DF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37B6CAEE" w14:textId="77777777" w:rsidTr="00AC4931">
        <w:tc>
          <w:tcPr>
            <w:tcW w:w="9474" w:type="dxa"/>
            <w:shd w:val="clear" w:color="auto" w:fill="CFF0FC"/>
            <w:tcMar>
              <w:top w:w="15" w:type="dxa"/>
              <w:left w:w="0" w:type="dxa"/>
              <w:bottom w:w="0" w:type="dxa"/>
              <w:right w:w="15" w:type="dxa"/>
            </w:tcMar>
            <w:hideMark/>
          </w:tcPr>
          <w:p w14:paraId="036008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Discount rate</w:t>
            </w:r>
          </w:p>
        </w:tc>
        <w:tc>
          <w:tcPr>
            <w:tcW w:w="213" w:type="dxa"/>
            <w:shd w:val="clear" w:color="auto" w:fill="CFF0FC"/>
            <w:tcMar>
              <w:top w:w="15" w:type="dxa"/>
              <w:left w:w="0" w:type="dxa"/>
              <w:bottom w:w="0" w:type="dxa"/>
              <w:right w:w="15" w:type="dxa"/>
            </w:tcMar>
            <w:vAlign w:val="bottom"/>
            <w:hideMark/>
          </w:tcPr>
          <w:p w14:paraId="1643F6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85329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395F2CB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3.25</w:t>
            </w:r>
          </w:p>
        </w:tc>
        <w:tc>
          <w:tcPr>
            <w:tcW w:w="150" w:type="dxa"/>
            <w:shd w:val="clear" w:color="auto" w:fill="CFF0FC"/>
            <w:noWrap/>
            <w:tcMar>
              <w:top w:w="15" w:type="dxa"/>
              <w:left w:w="0" w:type="dxa"/>
              <w:bottom w:w="0" w:type="dxa"/>
              <w:right w:w="15" w:type="dxa"/>
            </w:tcMar>
            <w:vAlign w:val="bottom"/>
            <w:hideMark/>
          </w:tcPr>
          <w:p w14:paraId="134337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14A208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73FB3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51E0489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4.35</w:t>
            </w:r>
          </w:p>
        </w:tc>
        <w:tc>
          <w:tcPr>
            <w:tcW w:w="150" w:type="dxa"/>
            <w:shd w:val="clear" w:color="auto" w:fill="CFF0FC"/>
            <w:noWrap/>
            <w:tcMar>
              <w:top w:w="15" w:type="dxa"/>
              <w:left w:w="0" w:type="dxa"/>
              <w:bottom w:w="0" w:type="dxa"/>
              <w:right w:w="15" w:type="dxa"/>
            </w:tcMar>
            <w:vAlign w:val="bottom"/>
            <w:hideMark/>
          </w:tcPr>
          <w:p w14:paraId="244D68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48BF1C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6A3CA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34ACECB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3.55</w:t>
            </w:r>
          </w:p>
        </w:tc>
        <w:tc>
          <w:tcPr>
            <w:tcW w:w="151" w:type="dxa"/>
            <w:shd w:val="clear" w:color="auto" w:fill="CFF0FC"/>
            <w:noWrap/>
            <w:tcMar>
              <w:top w:w="15" w:type="dxa"/>
              <w:left w:w="0" w:type="dxa"/>
              <w:bottom w:w="0" w:type="dxa"/>
              <w:right w:w="15" w:type="dxa"/>
            </w:tcMar>
            <w:vAlign w:val="bottom"/>
            <w:hideMark/>
          </w:tcPr>
          <w:p w14:paraId="69031E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499964F" w14:textId="77777777" w:rsidTr="00AC4931">
        <w:tc>
          <w:tcPr>
            <w:tcW w:w="9474" w:type="dxa"/>
            <w:shd w:val="clear" w:color="auto" w:fill="FFFFFF"/>
            <w:tcMar>
              <w:top w:w="15" w:type="dxa"/>
              <w:left w:w="0" w:type="dxa"/>
              <w:bottom w:w="0" w:type="dxa"/>
              <w:right w:w="15" w:type="dxa"/>
            </w:tcMar>
            <w:hideMark/>
          </w:tcPr>
          <w:p w14:paraId="7A93D4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Rate of increases in compensation level</w:t>
            </w:r>
          </w:p>
        </w:tc>
        <w:tc>
          <w:tcPr>
            <w:tcW w:w="213" w:type="dxa"/>
            <w:shd w:val="clear" w:color="auto" w:fill="FFFFFF"/>
            <w:tcMar>
              <w:top w:w="15" w:type="dxa"/>
              <w:left w:w="0" w:type="dxa"/>
              <w:bottom w:w="0" w:type="dxa"/>
              <w:right w:w="15" w:type="dxa"/>
            </w:tcMar>
            <w:vAlign w:val="bottom"/>
            <w:hideMark/>
          </w:tcPr>
          <w:p w14:paraId="144DA8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23E30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26D082E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2.65</w:t>
            </w:r>
          </w:p>
        </w:tc>
        <w:tc>
          <w:tcPr>
            <w:tcW w:w="150" w:type="dxa"/>
            <w:shd w:val="clear" w:color="auto" w:fill="FFFFFF"/>
            <w:noWrap/>
            <w:tcMar>
              <w:top w:w="15" w:type="dxa"/>
              <w:left w:w="0" w:type="dxa"/>
              <w:bottom w:w="0" w:type="dxa"/>
              <w:right w:w="15" w:type="dxa"/>
            </w:tcMar>
            <w:vAlign w:val="bottom"/>
            <w:hideMark/>
          </w:tcPr>
          <w:p w14:paraId="283B56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075F2C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94180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0F7FD4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2.65</w:t>
            </w:r>
          </w:p>
        </w:tc>
        <w:tc>
          <w:tcPr>
            <w:tcW w:w="150" w:type="dxa"/>
            <w:shd w:val="clear" w:color="auto" w:fill="FFFFFF"/>
            <w:noWrap/>
            <w:tcMar>
              <w:top w:w="15" w:type="dxa"/>
              <w:left w:w="0" w:type="dxa"/>
              <w:bottom w:w="0" w:type="dxa"/>
              <w:right w:w="15" w:type="dxa"/>
            </w:tcMar>
            <w:vAlign w:val="bottom"/>
            <w:hideMark/>
          </w:tcPr>
          <w:p w14:paraId="14BCC3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289826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01593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06B6B72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2.65</w:t>
            </w:r>
          </w:p>
        </w:tc>
        <w:tc>
          <w:tcPr>
            <w:tcW w:w="151" w:type="dxa"/>
            <w:shd w:val="clear" w:color="auto" w:fill="FFFFFF"/>
            <w:noWrap/>
            <w:tcMar>
              <w:top w:w="15" w:type="dxa"/>
              <w:left w:w="0" w:type="dxa"/>
              <w:bottom w:w="0" w:type="dxa"/>
              <w:right w:w="15" w:type="dxa"/>
            </w:tcMar>
            <w:vAlign w:val="bottom"/>
            <w:hideMark/>
          </w:tcPr>
          <w:p w14:paraId="2A9E43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5A13B98" w14:textId="77777777" w:rsidTr="00AC4931">
        <w:tc>
          <w:tcPr>
            <w:tcW w:w="9474" w:type="dxa"/>
            <w:shd w:val="clear" w:color="auto" w:fill="CFF0FC"/>
            <w:tcMar>
              <w:top w:w="15" w:type="dxa"/>
              <w:left w:w="0" w:type="dxa"/>
              <w:bottom w:w="0" w:type="dxa"/>
              <w:right w:w="15" w:type="dxa"/>
            </w:tcMar>
            <w:hideMark/>
          </w:tcPr>
          <w:p w14:paraId="632816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Expected long-term rate of return on assets</w:t>
            </w:r>
          </w:p>
        </w:tc>
        <w:tc>
          <w:tcPr>
            <w:tcW w:w="213" w:type="dxa"/>
            <w:shd w:val="clear" w:color="auto" w:fill="CFF0FC"/>
            <w:tcMar>
              <w:top w:w="15" w:type="dxa"/>
              <w:left w:w="0" w:type="dxa"/>
              <w:bottom w:w="0" w:type="dxa"/>
              <w:right w:w="15" w:type="dxa"/>
            </w:tcMar>
            <w:vAlign w:val="bottom"/>
            <w:hideMark/>
          </w:tcPr>
          <w:p w14:paraId="13FC1E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A3B6F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654453D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5.05</w:t>
            </w:r>
          </w:p>
        </w:tc>
        <w:tc>
          <w:tcPr>
            <w:tcW w:w="150" w:type="dxa"/>
            <w:shd w:val="clear" w:color="auto" w:fill="CFF0FC"/>
            <w:noWrap/>
            <w:tcMar>
              <w:top w:w="15" w:type="dxa"/>
              <w:left w:w="0" w:type="dxa"/>
              <w:bottom w:w="0" w:type="dxa"/>
              <w:right w:w="15" w:type="dxa"/>
            </w:tcMar>
            <w:vAlign w:val="bottom"/>
            <w:hideMark/>
          </w:tcPr>
          <w:p w14:paraId="09504C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688146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27B02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041FC72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5.05</w:t>
            </w:r>
          </w:p>
        </w:tc>
        <w:tc>
          <w:tcPr>
            <w:tcW w:w="150" w:type="dxa"/>
            <w:shd w:val="clear" w:color="auto" w:fill="CFF0FC"/>
            <w:noWrap/>
            <w:tcMar>
              <w:top w:w="15" w:type="dxa"/>
              <w:left w:w="0" w:type="dxa"/>
              <w:bottom w:w="0" w:type="dxa"/>
              <w:right w:w="15" w:type="dxa"/>
            </w:tcMar>
            <w:vAlign w:val="bottom"/>
            <w:hideMark/>
          </w:tcPr>
          <w:p w14:paraId="522905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0AC4FE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272CF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498EA86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7.08</w:t>
            </w:r>
          </w:p>
        </w:tc>
        <w:tc>
          <w:tcPr>
            <w:tcW w:w="151" w:type="dxa"/>
            <w:shd w:val="clear" w:color="auto" w:fill="CFF0FC"/>
            <w:noWrap/>
            <w:tcMar>
              <w:top w:w="15" w:type="dxa"/>
              <w:left w:w="0" w:type="dxa"/>
              <w:bottom w:w="0" w:type="dxa"/>
              <w:right w:w="15" w:type="dxa"/>
            </w:tcMar>
            <w:vAlign w:val="bottom"/>
            <w:hideMark/>
          </w:tcPr>
          <w:p w14:paraId="00DF67E4"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6577FEAC"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82</w:t>
      </w:r>
    </w:p>
    <w:p w14:paraId="47720AA0"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D0E8120"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07CA322"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88B2898"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96A271D">
          <v:rect id="_x0000_i1109" style="width:0;height:1.5pt" o:hralign="center" o:hrstd="t" o:hrnoshade="t" o:hr="t" fillcolor="black" stroked="f"/>
        </w:pict>
      </w:r>
    </w:p>
    <w:p w14:paraId="4DA10F82"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6DCC23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E13CFE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91CEBBF" w14:textId="77777777" w:rsidR="00AC4931" w:rsidRPr="00AC4931" w:rsidRDefault="00AC4931" w:rsidP="00AC4931">
      <w:pPr>
        <w:widowControl/>
        <w:jc w:val="left"/>
        <w:rPr>
          <w:rFonts w:ascii="Times New Roman" w:eastAsia="宋体" w:hAnsi="Times New Roman" w:cs="Times New Roman" w:hint="eastAsia"/>
          <w:kern w:val="0"/>
          <w:sz w:val="22"/>
        </w:rPr>
      </w:pPr>
      <w:r w:rsidRPr="00AC4931">
        <w:rPr>
          <w:rFonts w:ascii="Times New Roman" w:eastAsia="宋体" w:hAnsi="Times New Roman" w:cs="Times New Roman"/>
          <w:kern w:val="0"/>
          <w:sz w:val="22"/>
        </w:rPr>
        <w:t> </w:t>
      </w:r>
    </w:p>
    <w:p w14:paraId="158CFC1F"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9498"/>
        <w:gridCol w:w="213"/>
        <w:gridCol w:w="2097"/>
        <w:gridCol w:w="214"/>
        <w:gridCol w:w="2097"/>
        <w:gridCol w:w="214"/>
        <w:gridCol w:w="2158"/>
      </w:tblGrid>
      <w:tr w:rsidR="00AC4931" w:rsidRPr="00AC4931" w14:paraId="5E8325CC" w14:textId="77777777" w:rsidTr="00AC4931">
        <w:tc>
          <w:tcPr>
            <w:tcW w:w="9474" w:type="dxa"/>
            <w:shd w:val="clear" w:color="auto" w:fill="FFFFFF"/>
            <w:tcMar>
              <w:top w:w="15" w:type="dxa"/>
              <w:left w:w="0" w:type="dxa"/>
              <w:bottom w:w="0" w:type="dxa"/>
              <w:right w:w="15" w:type="dxa"/>
            </w:tcMar>
            <w:vAlign w:val="bottom"/>
            <w:hideMark/>
          </w:tcPr>
          <w:p w14:paraId="5CB0DCCB"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13" w:type="dxa"/>
            <w:shd w:val="clear" w:color="auto" w:fill="FFFFFF"/>
            <w:tcMar>
              <w:top w:w="15" w:type="dxa"/>
              <w:left w:w="0" w:type="dxa"/>
              <w:bottom w:w="0" w:type="dxa"/>
              <w:right w:w="15" w:type="dxa"/>
            </w:tcMar>
            <w:vAlign w:val="bottom"/>
            <w:hideMark/>
          </w:tcPr>
          <w:p w14:paraId="0813460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6760" w:type="dxa"/>
            <w:gridSpan w:val="5"/>
            <w:tcBorders>
              <w:bottom w:val="single" w:sz="6" w:space="0" w:color="000000"/>
            </w:tcBorders>
            <w:shd w:val="clear" w:color="auto" w:fill="FFFFFF"/>
            <w:tcMar>
              <w:top w:w="15" w:type="dxa"/>
              <w:left w:w="0" w:type="dxa"/>
              <w:bottom w:w="0" w:type="dxa"/>
              <w:right w:w="15" w:type="dxa"/>
            </w:tcMar>
            <w:vAlign w:val="bottom"/>
            <w:hideMark/>
          </w:tcPr>
          <w:p w14:paraId="6672D5D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Non-U.S.</w:t>
            </w:r>
            <w:r w:rsidRPr="00AC4931">
              <w:rPr>
                <w:rFonts w:ascii="Arial" w:eastAsia="宋体" w:hAnsi="Arial" w:cs="Arial"/>
                <w:b/>
                <w:bCs/>
                <w:color w:val="000000"/>
                <w:kern w:val="0"/>
                <w:sz w:val="18"/>
                <w:szCs w:val="18"/>
                <w:vertAlign w:val="superscript"/>
              </w:rPr>
              <w:t>1)</w:t>
            </w:r>
          </w:p>
        </w:tc>
      </w:tr>
      <w:tr w:rsidR="00AC4931" w:rsidRPr="00AC4931" w14:paraId="63FE8E71" w14:textId="77777777" w:rsidTr="00AC4931">
        <w:tc>
          <w:tcPr>
            <w:tcW w:w="9474" w:type="dxa"/>
            <w:shd w:val="clear" w:color="auto" w:fill="FFFFFF"/>
            <w:tcMar>
              <w:top w:w="15" w:type="dxa"/>
              <w:left w:w="0" w:type="dxa"/>
              <w:bottom w:w="0" w:type="dxa"/>
              <w:right w:w="15" w:type="dxa"/>
            </w:tcMar>
            <w:vAlign w:val="bottom"/>
            <w:hideMark/>
          </w:tcPr>
          <w:p w14:paraId="684DEAE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 WEIGHTED AVERAGE</w:t>
            </w:r>
          </w:p>
        </w:tc>
        <w:tc>
          <w:tcPr>
            <w:tcW w:w="213" w:type="dxa"/>
            <w:shd w:val="clear" w:color="auto" w:fill="FFFFFF"/>
            <w:tcMar>
              <w:top w:w="15" w:type="dxa"/>
              <w:left w:w="0" w:type="dxa"/>
              <w:bottom w:w="0" w:type="dxa"/>
              <w:right w:w="15" w:type="dxa"/>
            </w:tcMar>
            <w:vAlign w:val="bottom"/>
            <w:hideMark/>
          </w:tcPr>
          <w:p w14:paraId="1038CFE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91"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8C5E5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213" w:type="dxa"/>
            <w:tcBorders>
              <w:top w:val="single" w:sz="6" w:space="0" w:color="000000"/>
            </w:tcBorders>
            <w:shd w:val="clear" w:color="auto" w:fill="FFFFFF"/>
            <w:tcMar>
              <w:top w:w="15" w:type="dxa"/>
              <w:left w:w="0" w:type="dxa"/>
              <w:bottom w:w="0" w:type="dxa"/>
              <w:right w:w="15" w:type="dxa"/>
            </w:tcMar>
            <w:vAlign w:val="bottom"/>
            <w:hideMark/>
          </w:tcPr>
          <w:p w14:paraId="1A0BAA1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91"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87F0D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213" w:type="dxa"/>
            <w:tcBorders>
              <w:top w:val="single" w:sz="6" w:space="0" w:color="000000"/>
            </w:tcBorders>
            <w:shd w:val="clear" w:color="auto" w:fill="FFFFFF"/>
            <w:tcMar>
              <w:top w:w="15" w:type="dxa"/>
              <w:left w:w="0" w:type="dxa"/>
              <w:bottom w:w="0" w:type="dxa"/>
              <w:right w:w="15" w:type="dxa"/>
            </w:tcMar>
            <w:vAlign w:val="bottom"/>
            <w:hideMark/>
          </w:tcPr>
          <w:p w14:paraId="1630525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92"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D27C7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r>
      <w:tr w:rsidR="00AC4931" w:rsidRPr="00AC4931" w14:paraId="03AD4877" w14:textId="77777777" w:rsidTr="00AC4931">
        <w:tc>
          <w:tcPr>
            <w:tcW w:w="9474" w:type="dxa"/>
            <w:shd w:val="clear" w:color="auto" w:fill="CFF0FC"/>
            <w:tcMar>
              <w:top w:w="15" w:type="dxa"/>
              <w:left w:w="0" w:type="dxa"/>
              <w:bottom w:w="0" w:type="dxa"/>
              <w:right w:w="15" w:type="dxa"/>
            </w:tcMar>
            <w:hideMark/>
          </w:tcPr>
          <w:p w14:paraId="37AB66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Discount rate</w:t>
            </w:r>
          </w:p>
        </w:tc>
        <w:tc>
          <w:tcPr>
            <w:tcW w:w="213" w:type="dxa"/>
            <w:shd w:val="clear" w:color="auto" w:fill="CFF0FC"/>
            <w:tcMar>
              <w:top w:w="15" w:type="dxa"/>
              <w:left w:w="0" w:type="dxa"/>
              <w:bottom w:w="0" w:type="dxa"/>
              <w:right w:w="15" w:type="dxa"/>
            </w:tcMar>
            <w:vAlign w:val="bottom"/>
            <w:hideMark/>
          </w:tcPr>
          <w:p w14:paraId="458395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91" w:type="dxa"/>
            <w:tcBorders>
              <w:top w:val="single" w:sz="6" w:space="0" w:color="000000"/>
            </w:tcBorders>
            <w:shd w:val="clear" w:color="auto" w:fill="CFF0FC"/>
            <w:tcMar>
              <w:top w:w="15" w:type="dxa"/>
              <w:left w:w="0" w:type="dxa"/>
              <w:bottom w:w="0" w:type="dxa"/>
              <w:right w:w="15" w:type="dxa"/>
            </w:tcMar>
            <w:vAlign w:val="bottom"/>
            <w:hideMark/>
          </w:tcPr>
          <w:p w14:paraId="640DBEF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0.25-2.70</w:t>
            </w:r>
          </w:p>
        </w:tc>
        <w:tc>
          <w:tcPr>
            <w:tcW w:w="213" w:type="dxa"/>
            <w:shd w:val="clear" w:color="auto" w:fill="CFF0FC"/>
            <w:tcMar>
              <w:top w:w="15" w:type="dxa"/>
              <w:left w:w="0" w:type="dxa"/>
              <w:bottom w:w="0" w:type="dxa"/>
              <w:right w:w="15" w:type="dxa"/>
            </w:tcMar>
            <w:vAlign w:val="bottom"/>
            <w:hideMark/>
          </w:tcPr>
          <w:p w14:paraId="7E638A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91" w:type="dxa"/>
            <w:tcBorders>
              <w:top w:val="single" w:sz="6" w:space="0" w:color="000000"/>
            </w:tcBorders>
            <w:shd w:val="clear" w:color="auto" w:fill="CFF0FC"/>
            <w:tcMar>
              <w:top w:w="15" w:type="dxa"/>
              <w:left w:w="0" w:type="dxa"/>
              <w:bottom w:w="0" w:type="dxa"/>
              <w:right w:w="15" w:type="dxa"/>
            </w:tcMar>
            <w:vAlign w:val="bottom"/>
            <w:hideMark/>
          </w:tcPr>
          <w:p w14:paraId="4BBEA3B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0.50-3.25</w:t>
            </w:r>
          </w:p>
        </w:tc>
        <w:tc>
          <w:tcPr>
            <w:tcW w:w="213" w:type="dxa"/>
            <w:shd w:val="clear" w:color="auto" w:fill="CFF0FC"/>
            <w:tcMar>
              <w:top w:w="15" w:type="dxa"/>
              <w:left w:w="0" w:type="dxa"/>
              <w:bottom w:w="0" w:type="dxa"/>
              <w:right w:w="15" w:type="dxa"/>
            </w:tcMar>
            <w:vAlign w:val="bottom"/>
            <w:hideMark/>
          </w:tcPr>
          <w:p w14:paraId="6B9C60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92" w:type="dxa"/>
            <w:tcBorders>
              <w:top w:val="single" w:sz="6" w:space="0" w:color="000000"/>
            </w:tcBorders>
            <w:shd w:val="clear" w:color="auto" w:fill="CFF0FC"/>
            <w:tcMar>
              <w:top w:w="15" w:type="dxa"/>
              <w:left w:w="0" w:type="dxa"/>
              <w:bottom w:w="0" w:type="dxa"/>
              <w:right w:w="15" w:type="dxa"/>
            </w:tcMar>
            <w:vAlign w:val="bottom"/>
            <w:hideMark/>
          </w:tcPr>
          <w:p w14:paraId="693A7BD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0.25-3.25</w:t>
            </w:r>
          </w:p>
        </w:tc>
      </w:tr>
      <w:tr w:rsidR="00AC4931" w:rsidRPr="00AC4931" w14:paraId="33BBE1B6" w14:textId="77777777" w:rsidTr="00AC4931">
        <w:tc>
          <w:tcPr>
            <w:tcW w:w="9474" w:type="dxa"/>
            <w:shd w:val="clear" w:color="auto" w:fill="FFFFFF"/>
            <w:tcMar>
              <w:top w:w="15" w:type="dxa"/>
              <w:left w:w="0" w:type="dxa"/>
              <w:bottom w:w="0" w:type="dxa"/>
              <w:right w:w="15" w:type="dxa"/>
            </w:tcMar>
            <w:hideMark/>
          </w:tcPr>
          <w:p w14:paraId="29C1A5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Rate of increases in compensation level</w:t>
            </w:r>
          </w:p>
        </w:tc>
        <w:tc>
          <w:tcPr>
            <w:tcW w:w="213" w:type="dxa"/>
            <w:shd w:val="clear" w:color="auto" w:fill="FFFFFF"/>
            <w:tcMar>
              <w:top w:w="15" w:type="dxa"/>
              <w:left w:w="0" w:type="dxa"/>
              <w:bottom w:w="0" w:type="dxa"/>
              <w:right w:w="15" w:type="dxa"/>
            </w:tcMar>
            <w:vAlign w:val="bottom"/>
            <w:hideMark/>
          </w:tcPr>
          <w:p w14:paraId="04F894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91" w:type="dxa"/>
            <w:shd w:val="clear" w:color="auto" w:fill="FFFFFF"/>
            <w:tcMar>
              <w:top w:w="15" w:type="dxa"/>
              <w:left w:w="0" w:type="dxa"/>
              <w:bottom w:w="0" w:type="dxa"/>
              <w:right w:w="15" w:type="dxa"/>
            </w:tcMar>
            <w:vAlign w:val="bottom"/>
            <w:hideMark/>
          </w:tcPr>
          <w:p w14:paraId="4F6D4A4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2.00-5.00</w:t>
            </w:r>
          </w:p>
        </w:tc>
        <w:tc>
          <w:tcPr>
            <w:tcW w:w="213" w:type="dxa"/>
            <w:shd w:val="clear" w:color="auto" w:fill="FFFFFF"/>
            <w:tcMar>
              <w:top w:w="15" w:type="dxa"/>
              <w:left w:w="0" w:type="dxa"/>
              <w:bottom w:w="0" w:type="dxa"/>
              <w:right w:w="15" w:type="dxa"/>
            </w:tcMar>
            <w:vAlign w:val="bottom"/>
            <w:hideMark/>
          </w:tcPr>
          <w:p w14:paraId="2EC768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91" w:type="dxa"/>
            <w:shd w:val="clear" w:color="auto" w:fill="FFFFFF"/>
            <w:tcMar>
              <w:top w:w="15" w:type="dxa"/>
              <w:left w:w="0" w:type="dxa"/>
              <w:bottom w:w="0" w:type="dxa"/>
              <w:right w:w="15" w:type="dxa"/>
            </w:tcMar>
            <w:vAlign w:val="bottom"/>
            <w:hideMark/>
          </w:tcPr>
          <w:p w14:paraId="33110B7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2.00-5.00</w:t>
            </w:r>
          </w:p>
        </w:tc>
        <w:tc>
          <w:tcPr>
            <w:tcW w:w="213" w:type="dxa"/>
            <w:shd w:val="clear" w:color="auto" w:fill="FFFFFF"/>
            <w:tcMar>
              <w:top w:w="15" w:type="dxa"/>
              <w:left w:w="0" w:type="dxa"/>
              <w:bottom w:w="0" w:type="dxa"/>
              <w:right w:w="15" w:type="dxa"/>
            </w:tcMar>
            <w:vAlign w:val="bottom"/>
            <w:hideMark/>
          </w:tcPr>
          <w:p w14:paraId="2FF287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92" w:type="dxa"/>
            <w:shd w:val="clear" w:color="auto" w:fill="FFFFFF"/>
            <w:tcMar>
              <w:top w:w="15" w:type="dxa"/>
              <w:left w:w="0" w:type="dxa"/>
              <w:bottom w:w="0" w:type="dxa"/>
              <w:right w:w="15" w:type="dxa"/>
            </w:tcMar>
            <w:vAlign w:val="bottom"/>
            <w:hideMark/>
          </w:tcPr>
          <w:p w14:paraId="064582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2.00-5.00</w:t>
            </w:r>
          </w:p>
        </w:tc>
      </w:tr>
      <w:tr w:rsidR="00AC4931" w:rsidRPr="00AC4931" w14:paraId="07C1BE0C" w14:textId="77777777" w:rsidTr="00AC4931">
        <w:tc>
          <w:tcPr>
            <w:tcW w:w="9474" w:type="dxa"/>
            <w:shd w:val="clear" w:color="auto" w:fill="CFF0FC"/>
            <w:tcMar>
              <w:top w:w="15" w:type="dxa"/>
              <w:left w:w="0" w:type="dxa"/>
              <w:bottom w:w="0" w:type="dxa"/>
              <w:right w:w="15" w:type="dxa"/>
            </w:tcMar>
            <w:hideMark/>
          </w:tcPr>
          <w:p w14:paraId="49CEDE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Expected long-term rate of return on assets</w:t>
            </w:r>
          </w:p>
        </w:tc>
        <w:tc>
          <w:tcPr>
            <w:tcW w:w="213" w:type="dxa"/>
            <w:shd w:val="clear" w:color="auto" w:fill="CFF0FC"/>
            <w:tcMar>
              <w:top w:w="15" w:type="dxa"/>
              <w:left w:w="0" w:type="dxa"/>
              <w:bottom w:w="0" w:type="dxa"/>
              <w:right w:w="15" w:type="dxa"/>
            </w:tcMar>
            <w:vAlign w:val="bottom"/>
            <w:hideMark/>
          </w:tcPr>
          <w:p w14:paraId="203612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91" w:type="dxa"/>
            <w:shd w:val="clear" w:color="auto" w:fill="CFF0FC"/>
            <w:tcMar>
              <w:top w:w="15" w:type="dxa"/>
              <w:left w:w="0" w:type="dxa"/>
              <w:bottom w:w="0" w:type="dxa"/>
              <w:right w:w="15" w:type="dxa"/>
            </w:tcMar>
            <w:vAlign w:val="bottom"/>
            <w:hideMark/>
          </w:tcPr>
          <w:p w14:paraId="5565C6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1.50-2.25</w:t>
            </w:r>
          </w:p>
        </w:tc>
        <w:tc>
          <w:tcPr>
            <w:tcW w:w="213" w:type="dxa"/>
            <w:shd w:val="clear" w:color="auto" w:fill="CFF0FC"/>
            <w:tcMar>
              <w:top w:w="15" w:type="dxa"/>
              <w:left w:w="0" w:type="dxa"/>
              <w:bottom w:w="0" w:type="dxa"/>
              <w:right w:w="15" w:type="dxa"/>
            </w:tcMar>
            <w:vAlign w:val="bottom"/>
            <w:hideMark/>
          </w:tcPr>
          <w:p w14:paraId="3C6FE8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91" w:type="dxa"/>
            <w:shd w:val="clear" w:color="auto" w:fill="CFF0FC"/>
            <w:tcMar>
              <w:top w:w="15" w:type="dxa"/>
              <w:left w:w="0" w:type="dxa"/>
              <w:bottom w:w="0" w:type="dxa"/>
              <w:right w:w="15" w:type="dxa"/>
            </w:tcMar>
            <w:vAlign w:val="bottom"/>
            <w:hideMark/>
          </w:tcPr>
          <w:p w14:paraId="2C2D41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2.25-2.50</w:t>
            </w:r>
          </w:p>
        </w:tc>
        <w:tc>
          <w:tcPr>
            <w:tcW w:w="213" w:type="dxa"/>
            <w:shd w:val="clear" w:color="auto" w:fill="CFF0FC"/>
            <w:tcMar>
              <w:top w:w="15" w:type="dxa"/>
              <w:left w:w="0" w:type="dxa"/>
              <w:bottom w:w="0" w:type="dxa"/>
              <w:right w:w="15" w:type="dxa"/>
            </w:tcMar>
            <w:vAlign w:val="bottom"/>
            <w:hideMark/>
          </w:tcPr>
          <w:p w14:paraId="5F3F67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92" w:type="dxa"/>
            <w:shd w:val="clear" w:color="auto" w:fill="CFF0FC"/>
            <w:tcMar>
              <w:top w:w="15" w:type="dxa"/>
              <w:left w:w="0" w:type="dxa"/>
              <w:bottom w:w="0" w:type="dxa"/>
              <w:right w:w="15" w:type="dxa"/>
            </w:tcMar>
            <w:vAlign w:val="bottom"/>
            <w:hideMark/>
          </w:tcPr>
          <w:p w14:paraId="1E60EF1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2.25-2.50</w:t>
            </w:r>
          </w:p>
        </w:tc>
      </w:tr>
    </w:tbl>
    <w:p w14:paraId="2EA480AB"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3BC36ACA" w14:textId="77777777" w:rsidTr="00AC4931">
        <w:tc>
          <w:tcPr>
            <w:tcW w:w="919" w:type="dxa"/>
            <w:noWrap/>
            <w:hideMark/>
          </w:tcPr>
          <w:p w14:paraId="77E8DD56"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1)</w:t>
            </w:r>
          </w:p>
        </w:tc>
        <w:tc>
          <w:tcPr>
            <w:tcW w:w="0" w:type="auto"/>
            <w:hideMark/>
          </w:tcPr>
          <w:p w14:paraId="3B801571"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The Non-U.S. weighted average plan ranges in the tables above have been prepared using significant plans only, which in total represent around 83% of the total Non-U.S. projected benefit obligation.</w:t>
            </w:r>
          </w:p>
        </w:tc>
      </w:tr>
    </w:tbl>
    <w:p w14:paraId="52E49FF2"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discount rate for the U.S. plans has been set based on the rates of return on high-quality fixed-income investments currently available at the measurement date and expected to be available during the period the benefits will be paid. The expected timing of cash flows from the plan has also been considered in selecting the discount rate. In particular, the yields on bonds rated AA or better on the measurement date have been used to set the discount rate. The discount rate for the U.K. plan has been set based on the weighted average yields on long-term high-grade corporate bonds and is determined by reference to financial markets on the measurement date.</w:t>
      </w:r>
    </w:p>
    <w:p w14:paraId="27D8FB94"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expected rate of increase in compensation levels and long-term rate of return on plan assets are determined based on a number of factors and must take into account long-term expectations and reflect the financial environment in the respective local market. The expected return on assets for the U.S. and U.K. plans are based on the fair value of the assets as of December 31.</w:t>
      </w:r>
    </w:p>
    <w:p w14:paraId="4A382F7C"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level of equity exposure is currently targeted at approximately 40% for the primary U.S. plan. The investment objective is to provide an attractive risk-adjusted return that will ensure the payment of benefits while protecting against the risk of substantial investment losses. Correlations among the asset classes are used to identify an asset mix that Autoliv believes will provide the most attractive returns. Long-term return forecasts for each asset class using historical data and other qualitative considerations to adjust for projected economic forecasts are used to set the expected rate of return for the entire portfolio. The Company has assumed a long-term rate of return on the U.S. plan assets of 5.05% for calculating the 2020 expense and 5.05% for calculating the 2021 expense.</w:t>
      </w:r>
    </w:p>
    <w:p w14:paraId="68829644"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 has assumed a long-term rate of return on the non-U.S. plan assets in a range of 1.50-2.25% for 2020. The closed U.K. plan which has a targeted and actual allocation of almost 100% debt instruments accounts for approximately 80% of the total non-U.S. plan assets.</w:t>
      </w:r>
    </w:p>
    <w:p w14:paraId="74CB8FF5"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Autoliv made contributions to the U.S. plan during 2020 and 2019 amounting to $16.5 million and $7.3 million, respectively. Contributions to the U.K. plan during 2020 and 2019 amounted to $1.9 million and $1.2 million, respectively. The Company expects to contribute $12.6 million to its U.S. pension plan in 2021 and is currently projecting a yearly funding at approximately the same level in the years thereafter. For the UK pension plan, which is the most significant non-U.S. pension plan, the Company expects to contribute $2.0 million in 2021 and in the years thereafter.</w:t>
      </w:r>
    </w:p>
    <w:p w14:paraId="405EA15D"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FAIR VALUE OF TOTAL PLAN ASSETS FOR YEARS ENDED DECEMBER 31</w:t>
      </w:r>
    </w:p>
    <w:p w14:paraId="09615444"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9257"/>
        <w:gridCol w:w="208"/>
        <w:gridCol w:w="199"/>
        <w:gridCol w:w="1644"/>
        <w:gridCol w:w="199"/>
        <w:gridCol w:w="208"/>
        <w:gridCol w:w="200"/>
        <w:gridCol w:w="1645"/>
        <w:gridCol w:w="200"/>
        <w:gridCol w:w="209"/>
        <w:gridCol w:w="200"/>
        <w:gridCol w:w="1690"/>
        <w:gridCol w:w="200"/>
        <w:gridCol w:w="209"/>
        <w:gridCol w:w="200"/>
        <w:gridCol w:w="1645"/>
        <w:gridCol w:w="200"/>
        <w:gridCol w:w="209"/>
        <w:gridCol w:w="200"/>
        <w:gridCol w:w="1690"/>
        <w:gridCol w:w="202"/>
      </w:tblGrid>
      <w:tr w:rsidR="00AC4931" w:rsidRPr="00AC4931" w14:paraId="540FD1AB" w14:textId="77777777" w:rsidTr="00AC4931">
        <w:tc>
          <w:tcPr>
            <w:tcW w:w="9227" w:type="dxa"/>
            <w:shd w:val="clear" w:color="auto" w:fill="FFFFFF"/>
            <w:tcMar>
              <w:top w:w="15" w:type="dxa"/>
              <w:left w:w="0" w:type="dxa"/>
              <w:bottom w:w="0" w:type="dxa"/>
              <w:right w:w="15" w:type="dxa"/>
            </w:tcMar>
            <w:vAlign w:val="bottom"/>
            <w:hideMark/>
          </w:tcPr>
          <w:p w14:paraId="75EA6242"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08" w:type="dxa"/>
            <w:shd w:val="clear" w:color="auto" w:fill="FFFFFF"/>
            <w:tcMar>
              <w:top w:w="15" w:type="dxa"/>
              <w:left w:w="0" w:type="dxa"/>
              <w:bottom w:w="0" w:type="dxa"/>
              <w:right w:w="15" w:type="dxa"/>
            </w:tcMar>
            <w:vAlign w:val="bottom"/>
            <w:hideMark/>
          </w:tcPr>
          <w:p w14:paraId="3BC8689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30" w:type="dxa"/>
            <w:gridSpan w:val="2"/>
            <w:tcBorders>
              <w:bottom w:val="single" w:sz="6" w:space="0" w:color="000000"/>
            </w:tcBorders>
            <w:shd w:val="clear" w:color="auto" w:fill="FFFFFF"/>
            <w:tcMar>
              <w:top w:w="15" w:type="dxa"/>
              <w:left w:w="0" w:type="dxa"/>
              <w:bottom w:w="0" w:type="dxa"/>
              <w:right w:w="15" w:type="dxa"/>
            </w:tcMar>
            <w:vAlign w:val="bottom"/>
            <w:hideMark/>
          </w:tcPr>
          <w:p w14:paraId="1261A1B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tc>
        <w:tc>
          <w:tcPr>
            <w:tcW w:w="191" w:type="dxa"/>
            <w:shd w:val="clear" w:color="auto" w:fill="FFFFFF"/>
            <w:noWrap/>
            <w:tcMar>
              <w:top w:w="15" w:type="dxa"/>
              <w:left w:w="0" w:type="dxa"/>
              <w:bottom w:w="0" w:type="dxa"/>
              <w:right w:w="15" w:type="dxa"/>
            </w:tcMar>
            <w:vAlign w:val="bottom"/>
            <w:hideMark/>
          </w:tcPr>
          <w:p w14:paraId="4685545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 w:type="dxa"/>
            <w:shd w:val="clear" w:color="auto" w:fill="FFFFFF"/>
            <w:tcMar>
              <w:top w:w="15" w:type="dxa"/>
              <w:left w:w="0" w:type="dxa"/>
              <w:bottom w:w="0" w:type="dxa"/>
              <w:right w:w="15" w:type="dxa"/>
            </w:tcMar>
            <w:vAlign w:val="bottom"/>
            <w:hideMark/>
          </w:tcPr>
          <w:p w14:paraId="0401D1F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04" w:type="dxa"/>
            <w:gridSpan w:val="6"/>
            <w:tcBorders>
              <w:bottom w:val="single" w:sz="6" w:space="0" w:color="000000"/>
            </w:tcBorders>
            <w:shd w:val="clear" w:color="auto" w:fill="FFFFFF"/>
            <w:tcMar>
              <w:top w:w="15" w:type="dxa"/>
              <w:left w:w="0" w:type="dxa"/>
              <w:bottom w:w="0" w:type="dxa"/>
              <w:right w:w="15" w:type="dxa"/>
            </w:tcMar>
            <w:vAlign w:val="bottom"/>
            <w:hideMark/>
          </w:tcPr>
          <w:p w14:paraId="54E1DA2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tc>
        <w:tc>
          <w:tcPr>
            <w:tcW w:w="191" w:type="dxa"/>
            <w:shd w:val="clear" w:color="auto" w:fill="FFFFFF"/>
            <w:noWrap/>
            <w:tcMar>
              <w:top w:w="15" w:type="dxa"/>
              <w:left w:w="0" w:type="dxa"/>
              <w:bottom w:w="0" w:type="dxa"/>
              <w:right w:w="15" w:type="dxa"/>
            </w:tcMar>
            <w:vAlign w:val="bottom"/>
            <w:hideMark/>
          </w:tcPr>
          <w:p w14:paraId="777C1FE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 w:type="dxa"/>
            <w:shd w:val="clear" w:color="auto" w:fill="FFFFFF"/>
            <w:tcMar>
              <w:top w:w="15" w:type="dxa"/>
              <w:left w:w="0" w:type="dxa"/>
              <w:bottom w:w="0" w:type="dxa"/>
              <w:right w:w="15" w:type="dxa"/>
            </w:tcMar>
            <w:vAlign w:val="bottom"/>
            <w:hideMark/>
          </w:tcPr>
          <w:p w14:paraId="6FE0D12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104" w:type="dxa"/>
            <w:gridSpan w:val="6"/>
            <w:tcBorders>
              <w:bottom w:val="single" w:sz="6" w:space="0" w:color="000000"/>
            </w:tcBorders>
            <w:shd w:val="clear" w:color="auto" w:fill="FFFFFF"/>
            <w:tcMar>
              <w:top w:w="15" w:type="dxa"/>
              <w:left w:w="0" w:type="dxa"/>
              <w:bottom w:w="0" w:type="dxa"/>
              <w:right w:w="15" w:type="dxa"/>
            </w:tcMar>
            <w:vAlign w:val="bottom"/>
            <w:hideMark/>
          </w:tcPr>
          <w:p w14:paraId="1EC4EFA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Non-U.S.</w:t>
            </w:r>
          </w:p>
        </w:tc>
        <w:tc>
          <w:tcPr>
            <w:tcW w:w="193" w:type="dxa"/>
            <w:shd w:val="clear" w:color="auto" w:fill="FFFFFF"/>
            <w:noWrap/>
            <w:tcMar>
              <w:top w:w="15" w:type="dxa"/>
              <w:left w:w="0" w:type="dxa"/>
              <w:bottom w:w="0" w:type="dxa"/>
              <w:right w:w="15" w:type="dxa"/>
            </w:tcMar>
            <w:vAlign w:val="bottom"/>
            <w:hideMark/>
          </w:tcPr>
          <w:p w14:paraId="0429D65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8784374" w14:textId="77777777" w:rsidTr="00AC4931">
        <w:tc>
          <w:tcPr>
            <w:tcW w:w="9227" w:type="dxa"/>
            <w:shd w:val="clear" w:color="auto" w:fill="FFFFFF"/>
            <w:tcMar>
              <w:top w:w="15" w:type="dxa"/>
              <w:left w:w="0" w:type="dxa"/>
              <w:bottom w:w="0" w:type="dxa"/>
              <w:right w:w="15" w:type="dxa"/>
            </w:tcMar>
            <w:vAlign w:val="bottom"/>
            <w:hideMark/>
          </w:tcPr>
          <w:p w14:paraId="7DEB6AB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ASSETS CATEGORY IN % WEIGHTED AVERAGE</w:t>
            </w:r>
          </w:p>
        </w:tc>
        <w:tc>
          <w:tcPr>
            <w:tcW w:w="208" w:type="dxa"/>
            <w:shd w:val="clear" w:color="auto" w:fill="FFFFFF"/>
            <w:tcMar>
              <w:top w:w="15" w:type="dxa"/>
              <w:left w:w="0" w:type="dxa"/>
              <w:bottom w:w="0" w:type="dxa"/>
              <w:right w:w="15" w:type="dxa"/>
            </w:tcMar>
            <w:vAlign w:val="bottom"/>
            <w:hideMark/>
          </w:tcPr>
          <w:p w14:paraId="4B69769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3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F6B08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Target</w:t>
            </w:r>
          </w:p>
          <w:p w14:paraId="3DE0188B"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allocation</w:t>
            </w:r>
          </w:p>
        </w:tc>
        <w:tc>
          <w:tcPr>
            <w:tcW w:w="191" w:type="dxa"/>
            <w:shd w:val="clear" w:color="auto" w:fill="FFFFFF"/>
            <w:noWrap/>
            <w:tcMar>
              <w:top w:w="15" w:type="dxa"/>
              <w:left w:w="0" w:type="dxa"/>
              <w:bottom w:w="0" w:type="dxa"/>
              <w:right w:w="15" w:type="dxa"/>
            </w:tcMar>
            <w:vAlign w:val="bottom"/>
            <w:hideMark/>
          </w:tcPr>
          <w:p w14:paraId="591A67F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 w:type="dxa"/>
            <w:shd w:val="clear" w:color="auto" w:fill="FFFFFF"/>
            <w:tcMar>
              <w:top w:w="15" w:type="dxa"/>
              <w:left w:w="0" w:type="dxa"/>
              <w:bottom w:w="0" w:type="dxa"/>
              <w:right w:w="15" w:type="dxa"/>
            </w:tcMar>
            <w:vAlign w:val="bottom"/>
            <w:hideMark/>
          </w:tcPr>
          <w:p w14:paraId="6514001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3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B537DF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5D154FB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 w:type="dxa"/>
            <w:tcBorders>
              <w:top w:val="single" w:sz="6" w:space="0" w:color="000000"/>
            </w:tcBorders>
            <w:shd w:val="clear" w:color="auto" w:fill="FFFFFF"/>
            <w:tcMar>
              <w:top w:w="15" w:type="dxa"/>
              <w:left w:w="0" w:type="dxa"/>
              <w:bottom w:w="0" w:type="dxa"/>
              <w:right w:w="15" w:type="dxa"/>
            </w:tcMar>
            <w:vAlign w:val="bottom"/>
            <w:hideMark/>
          </w:tcPr>
          <w:p w14:paraId="15A0F70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3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319A9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1" w:type="dxa"/>
            <w:shd w:val="clear" w:color="auto" w:fill="FFFFFF"/>
            <w:noWrap/>
            <w:tcMar>
              <w:top w:w="15" w:type="dxa"/>
              <w:left w:w="0" w:type="dxa"/>
              <w:bottom w:w="0" w:type="dxa"/>
              <w:right w:w="15" w:type="dxa"/>
            </w:tcMar>
            <w:vAlign w:val="bottom"/>
            <w:hideMark/>
          </w:tcPr>
          <w:p w14:paraId="19036A0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 w:type="dxa"/>
            <w:shd w:val="clear" w:color="auto" w:fill="FFFFFF"/>
            <w:tcMar>
              <w:top w:w="15" w:type="dxa"/>
              <w:left w:w="0" w:type="dxa"/>
              <w:bottom w:w="0" w:type="dxa"/>
              <w:right w:w="15" w:type="dxa"/>
            </w:tcMar>
            <w:vAlign w:val="bottom"/>
            <w:hideMark/>
          </w:tcPr>
          <w:p w14:paraId="3307F8C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3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DF701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1" w:type="dxa"/>
            <w:shd w:val="clear" w:color="auto" w:fill="FFFFFF"/>
            <w:noWrap/>
            <w:tcMar>
              <w:top w:w="15" w:type="dxa"/>
              <w:left w:w="0" w:type="dxa"/>
              <w:bottom w:w="0" w:type="dxa"/>
              <w:right w:w="15" w:type="dxa"/>
            </w:tcMar>
            <w:vAlign w:val="bottom"/>
            <w:hideMark/>
          </w:tcPr>
          <w:p w14:paraId="3DDAEF2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8" w:type="dxa"/>
            <w:tcBorders>
              <w:top w:val="single" w:sz="6" w:space="0" w:color="000000"/>
            </w:tcBorders>
            <w:shd w:val="clear" w:color="auto" w:fill="FFFFFF"/>
            <w:tcMar>
              <w:top w:w="15" w:type="dxa"/>
              <w:left w:w="0" w:type="dxa"/>
              <w:bottom w:w="0" w:type="dxa"/>
              <w:right w:w="15" w:type="dxa"/>
            </w:tcMar>
            <w:vAlign w:val="bottom"/>
            <w:hideMark/>
          </w:tcPr>
          <w:p w14:paraId="13148C4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83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551CC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3" w:type="dxa"/>
            <w:shd w:val="clear" w:color="auto" w:fill="FFFFFF"/>
            <w:noWrap/>
            <w:tcMar>
              <w:top w:w="15" w:type="dxa"/>
              <w:left w:w="0" w:type="dxa"/>
              <w:bottom w:w="0" w:type="dxa"/>
              <w:right w:w="15" w:type="dxa"/>
            </w:tcMar>
            <w:vAlign w:val="bottom"/>
            <w:hideMark/>
          </w:tcPr>
          <w:p w14:paraId="5A3D307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BBC2358" w14:textId="77777777" w:rsidTr="00AC4931">
        <w:tc>
          <w:tcPr>
            <w:tcW w:w="9227" w:type="dxa"/>
            <w:shd w:val="clear" w:color="auto" w:fill="CFF0FC"/>
            <w:tcMar>
              <w:top w:w="15" w:type="dxa"/>
              <w:left w:w="0" w:type="dxa"/>
              <w:bottom w:w="0" w:type="dxa"/>
              <w:right w:w="15" w:type="dxa"/>
            </w:tcMar>
            <w:hideMark/>
          </w:tcPr>
          <w:p w14:paraId="38C0A2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Equity securities</w:t>
            </w:r>
          </w:p>
        </w:tc>
        <w:tc>
          <w:tcPr>
            <w:tcW w:w="208" w:type="dxa"/>
            <w:shd w:val="clear" w:color="auto" w:fill="CFF0FC"/>
            <w:tcMar>
              <w:top w:w="15" w:type="dxa"/>
              <w:left w:w="0" w:type="dxa"/>
              <w:bottom w:w="0" w:type="dxa"/>
              <w:right w:w="15" w:type="dxa"/>
            </w:tcMar>
            <w:vAlign w:val="bottom"/>
            <w:hideMark/>
          </w:tcPr>
          <w:p w14:paraId="511DDE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1EF84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top w:val="single" w:sz="6" w:space="0" w:color="000000"/>
            </w:tcBorders>
            <w:shd w:val="clear" w:color="auto" w:fill="CFF0FC"/>
            <w:noWrap/>
            <w:tcMar>
              <w:top w:w="15" w:type="dxa"/>
              <w:left w:w="0" w:type="dxa"/>
              <w:bottom w:w="0" w:type="dxa"/>
              <w:right w:w="15" w:type="dxa"/>
            </w:tcMar>
            <w:vAlign w:val="bottom"/>
            <w:hideMark/>
          </w:tcPr>
          <w:p w14:paraId="5CBB85C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w:t>
            </w:r>
          </w:p>
        </w:tc>
        <w:tc>
          <w:tcPr>
            <w:tcW w:w="191" w:type="dxa"/>
            <w:shd w:val="clear" w:color="auto" w:fill="CFF0FC"/>
            <w:noWrap/>
            <w:tcMar>
              <w:top w:w="15" w:type="dxa"/>
              <w:left w:w="0" w:type="dxa"/>
              <w:bottom w:w="0" w:type="dxa"/>
              <w:right w:w="15" w:type="dxa"/>
            </w:tcMar>
            <w:vAlign w:val="bottom"/>
            <w:hideMark/>
          </w:tcPr>
          <w:p w14:paraId="21073A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2D4C9A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ED62D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top w:val="single" w:sz="6" w:space="0" w:color="000000"/>
            </w:tcBorders>
            <w:shd w:val="clear" w:color="auto" w:fill="CFF0FC"/>
            <w:noWrap/>
            <w:tcMar>
              <w:top w:w="15" w:type="dxa"/>
              <w:left w:w="0" w:type="dxa"/>
              <w:bottom w:w="0" w:type="dxa"/>
              <w:right w:w="15" w:type="dxa"/>
            </w:tcMar>
            <w:vAlign w:val="bottom"/>
            <w:hideMark/>
          </w:tcPr>
          <w:p w14:paraId="299B39E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w:t>
            </w:r>
          </w:p>
        </w:tc>
        <w:tc>
          <w:tcPr>
            <w:tcW w:w="191" w:type="dxa"/>
            <w:shd w:val="clear" w:color="auto" w:fill="CFF0FC"/>
            <w:noWrap/>
            <w:tcMar>
              <w:top w:w="15" w:type="dxa"/>
              <w:left w:w="0" w:type="dxa"/>
              <w:bottom w:w="0" w:type="dxa"/>
              <w:right w:w="15" w:type="dxa"/>
            </w:tcMar>
            <w:vAlign w:val="bottom"/>
            <w:hideMark/>
          </w:tcPr>
          <w:p w14:paraId="4308F6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49DA3E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494CA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top w:val="single" w:sz="6" w:space="0" w:color="000000"/>
            </w:tcBorders>
            <w:shd w:val="clear" w:color="auto" w:fill="CFF0FC"/>
            <w:noWrap/>
            <w:tcMar>
              <w:top w:w="15" w:type="dxa"/>
              <w:left w:w="0" w:type="dxa"/>
              <w:bottom w:w="0" w:type="dxa"/>
              <w:right w:w="15" w:type="dxa"/>
            </w:tcMar>
            <w:vAlign w:val="bottom"/>
            <w:hideMark/>
          </w:tcPr>
          <w:p w14:paraId="6B3497C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w:t>
            </w:r>
          </w:p>
        </w:tc>
        <w:tc>
          <w:tcPr>
            <w:tcW w:w="191" w:type="dxa"/>
            <w:shd w:val="clear" w:color="auto" w:fill="CFF0FC"/>
            <w:noWrap/>
            <w:tcMar>
              <w:top w:w="15" w:type="dxa"/>
              <w:left w:w="0" w:type="dxa"/>
              <w:bottom w:w="0" w:type="dxa"/>
              <w:right w:w="15" w:type="dxa"/>
            </w:tcMar>
            <w:vAlign w:val="bottom"/>
            <w:hideMark/>
          </w:tcPr>
          <w:p w14:paraId="5BAF72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4C698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1E076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top w:val="single" w:sz="6" w:space="0" w:color="000000"/>
            </w:tcBorders>
            <w:shd w:val="clear" w:color="auto" w:fill="CFF0FC"/>
            <w:noWrap/>
            <w:tcMar>
              <w:top w:w="15" w:type="dxa"/>
              <w:left w:w="0" w:type="dxa"/>
              <w:bottom w:w="0" w:type="dxa"/>
              <w:right w:w="15" w:type="dxa"/>
            </w:tcMar>
            <w:vAlign w:val="bottom"/>
            <w:hideMark/>
          </w:tcPr>
          <w:p w14:paraId="1B33615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w:t>
            </w:r>
          </w:p>
        </w:tc>
        <w:tc>
          <w:tcPr>
            <w:tcW w:w="191" w:type="dxa"/>
            <w:shd w:val="clear" w:color="auto" w:fill="CFF0FC"/>
            <w:noWrap/>
            <w:tcMar>
              <w:top w:w="15" w:type="dxa"/>
              <w:left w:w="0" w:type="dxa"/>
              <w:bottom w:w="0" w:type="dxa"/>
              <w:right w:w="15" w:type="dxa"/>
            </w:tcMar>
            <w:vAlign w:val="bottom"/>
            <w:hideMark/>
          </w:tcPr>
          <w:p w14:paraId="1D2A2D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622A7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A7F0B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top w:val="single" w:sz="6" w:space="0" w:color="000000"/>
            </w:tcBorders>
            <w:shd w:val="clear" w:color="auto" w:fill="CFF0FC"/>
            <w:noWrap/>
            <w:tcMar>
              <w:top w:w="15" w:type="dxa"/>
              <w:left w:w="0" w:type="dxa"/>
              <w:bottom w:w="0" w:type="dxa"/>
              <w:right w:w="15" w:type="dxa"/>
            </w:tcMar>
            <w:vAlign w:val="bottom"/>
            <w:hideMark/>
          </w:tcPr>
          <w:p w14:paraId="66EABDD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w:t>
            </w:r>
          </w:p>
        </w:tc>
        <w:tc>
          <w:tcPr>
            <w:tcW w:w="193" w:type="dxa"/>
            <w:shd w:val="clear" w:color="auto" w:fill="CFF0FC"/>
            <w:noWrap/>
            <w:tcMar>
              <w:top w:w="15" w:type="dxa"/>
              <w:left w:w="0" w:type="dxa"/>
              <w:bottom w:w="0" w:type="dxa"/>
              <w:right w:w="15" w:type="dxa"/>
            </w:tcMar>
            <w:vAlign w:val="bottom"/>
            <w:hideMark/>
          </w:tcPr>
          <w:p w14:paraId="5680F1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1A4168F" w14:textId="77777777" w:rsidTr="00AC4931">
        <w:tc>
          <w:tcPr>
            <w:tcW w:w="9227" w:type="dxa"/>
            <w:shd w:val="clear" w:color="auto" w:fill="FFFFFF"/>
            <w:tcMar>
              <w:top w:w="15" w:type="dxa"/>
              <w:left w:w="0" w:type="dxa"/>
              <w:bottom w:w="0" w:type="dxa"/>
              <w:right w:w="15" w:type="dxa"/>
            </w:tcMar>
            <w:hideMark/>
          </w:tcPr>
          <w:p w14:paraId="6BA4BA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Debt instruments</w:t>
            </w:r>
          </w:p>
        </w:tc>
        <w:tc>
          <w:tcPr>
            <w:tcW w:w="208" w:type="dxa"/>
            <w:shd w:val="clear" w:color="auto" w:fill="FFFFFF"/>
            <w:tcMar>
              <w:top w:w="15" w:type="dxa"/>
              <w:left w:w="0" w:type="dxa"/>
              <w:bottom w:w="0" w:type="dxa"/>
              <w:right w:w="15" w:type="dxa"/>
            </w:tcMar>
            <w:vAlign w:val="bottom"/>
            <w:hideMark/>
          </w:tcPr>
          <w:p w14:paraId="29A281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A3F15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4119D77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60</w:t>
            </w:r>
          </w:p>
        </w:tc>
        <w:tc>
          <w:tcPr>
            <w:tcW w:w="191" w:type="dxa"/>
            <w:shd w:val="clear" w:color="auto" w:fill="FFFFFF"/>
            <w:noWrap/>
            <w:tcMar>
              <w:top w:w="15" w:type="dxa"/>
              <w:left w:w="0" w:type="dxa"/>
              <w:bottom w:w="0" w:type="dxa"/>
              <w:right w:w="15" w:type="dxa"/>
            </w:tcMar>
            <w:vAlign w:val="bottom"/>
            <w:hideMark/>
          </w:tcPr>
          <w:p w14:paraId="176CF4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49EA23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65697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303C55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57</w:t>
            </w:r>
          </w:p>
        </w:tc>
        <w:tc>
          <w:tcPr>
            <w:tcW w:w="191" w:type="dxa"/>
            <w:shd w:val="clear" w:color="auto" w:fill="FFFFFF"/>
            <w:noWrap/>
            <w:tcMar>
              <w:top w:w="15" w:type="dxa"/>
              <w:left w:w="0" w:type="dxa"/>
              <w:bottom w:w="0" w:type="dxa"/>
              <w:right w:w="15" w:type="dxa"/>
            </w:tcMar>
            <w:vAlign w:val="bottom"/>
            <w:hideMark/>
          </w:tcPr>
          <w:p w14:paraId="32B784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456BF5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9A74B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01F712A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60</w:t>
            </w:r>
          </w:p>
        </w:tc>
        <w:tc>
          <w:tcPr>
            <w:tcW w:w="191" w:type="dxa"/>
            <w:shd w:val="clear" w:color="auto" w:fill="FFFFFF"/>
            <w:noWrap/>
            <w:tcMar>
              <w:top w:w="15" w:type="dxa"/>
              <w:left w:w="0" w:type="dxa"/>
              <w:bottom w:w="0" w:type="dxa"/>
              <w:right w:w="15" w:type="dxa"/>
            </w:tcMar>
            <w:vAlign w:val="bottom"/>
            <w:hideMark/>
          </w:tcPr>
          <w:p w14:paraId="7E9478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20E73C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20ACF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53D0F37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77</w:t>
            </w:r>
          </w:p>
        </w:tc>
        <w:tc>
          <w:tcPr>
            <w:tcW w:w="191" w:type="dxa"/>
            <w:shd w:val="clear" w:color="auto" w:fill="FFFFFF"/>
            <w:noWrap/>
            <w:tcMar>
              <w:top w:w="15" w:type="dxa"/>
              <w:left w:w="0" w:type="dxa"/>
              <w:bottom w:w="0" w:type="dxa"/>
              <w:right w:w="15" w:type="dxa"/>
            </w:tcMar>
            <w:vAlign w:val="bottom"/>
            <w:hideMark/>
          </w:tcPr>
          <w:p w14:paraId="1219A3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7CABF6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C19D9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shd w:val="clear" w:color="auto" w:fill="FFFFFF"/>
            <w:noWrap/>
            <w:tcMar>
              <w:top w:w="15" w:type="dxa"/>
              <w:left w:w="0" w:type="dxa"/>
              <w:bottom w:w="0" w:type="dxa"/>
              <w:right w:w="15" w:type="dxa"/>
            </w:tcMar>
            <w:vAlign w:val="bottom"/>
            <w:hideMark/>
          </w:tcPr>
          <w:p w14:paraId="36BC500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79</w:t>
            </w:r>
          </w:p>
        </w:tc>
        <w:tc>
          <w:tcPr>
            <w:tcW w:w="193" w:type="dxa"/>
            <w:shd w:val="clear" w:color="auto" w:fill="FFFFFF"/>
            <w:noWrap/>
            <w:tcMar>
              <w:top w:w="15" w:type="dxa"/>
              <w:left w:w="0" w:type="dxa"/>
              <w:bottom w:w="0" w:type="dxa"/>
              <w:right w:w="15" w:type="dxa"/>
            </w:tcMar>
            <w:vAlign w:val="bottom"/>
            <w:hideMark/>
          </w:tcPr>
          <w:p w14:paraId="71576A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37E42FB" w14:textId="77777777" w:rsidTr="00AC4931">
        <w:tc>
          <w:tcPr>
            <w:tcW w:w="9227" w:type="dxa"/>
            <w:shd w:val="clear" w:color="auto" w:fill="CFF0FC"/>
            <w:tcMar>
              <w:top w:w="15" w:type="dxa"/>
              <w:left w:w="0" w:type="dxa"/>
              <w:bottom w:w="0" w:type="dxa"/>
              <w:right w:w="15" w:type="dxa"/>
            </w:tcMar>
            <w:hideMark/>
          </w:tcPr>
          <w:p w14:paraId="4F0250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assets</w:t>
            </w:r>
          </w:p>
        </w:tc>
        <w:tc>
          <w:tcPr>
            <w:tcW w:w="208" w:type="dxa"/>
            <w:shd w:val="clear" w:color="auto" w:fill="CFF0FC"/>
            <w:tcMar>
              <w:top w:w="15" w:type="dxa"/>
              <w:left w:w="0" w:type="dxa"/>
              <w:bottom w:w="0" w:type="dxa"/>
              <w:right w:w="15" w:type="dxa"/>
            </w:tcMar>
            <w:vAlign w:val="bottom"/>
            <w:hideMark/>
          </w:tcPr>
          <w:p w14:paraId="26CE95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E5B63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bottom w:val="single" w:sz="6" w:space="0" w:color="000000"/>
            </w:tcBorders>
            <w:shd w:val="clear" w:color="auto" w:fill="CFF0FC"/>
            <w:noWrap/>
            <w:tcMar>
              <w:top w:w="15" w:type="dxa"/>
              <w:left w:w="0" w:type="dxa"/>
              <w:bottom w:w="0" w:type="dxa"/>
              <w:right w:w="15" w:type="dxa"/>
            </w:tcMar>
            <w:vAlign w:val="bottom"/>
            <w:hideMark/>
          </w:tcPr>
          <w:p w14:paraId="72F844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397956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7EEF7F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50DEE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bottom w:val="single" w:sz="6" w:space="0" w:color="000000"/>
            </w:tcBorders>
            <w:shd w:val="clear" w:color="auto" w:fill="CFF0FC"/>
            <w:noWrap/>
            <w:tcMar>
              <w:top w:w="15" w:type="dxa"/>
              <w:left w:w="0" w:type="dxa"/>
              <w:bottom w:w="0" w:type="dxa"/>
              <w:right w:w="15" w:type="dxa"/>
            </w:tcMar>
            <w:vAlign w:val="bottom"/>
            <w:hideMark/>
          </w:tcPr>
          <w:p w14:paraId="4282384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w:t>
            </w:r>
          </w:p>
        </w:tc>
        <w:tc>
          <w:tcPr>
            <w:tcW w:w="191" w:type="dxa"/>
            <w:shd w:val="clear" w:color="auto" w:fill="CFF0FC"/>
            <w:noWrap/>
            <w:tcMar>
              <w:top w:w="15" w:type="dxa"/>
              <w:left w:w="0" w:type="dxa"/>
              <w:bottom w:w="0" w:type="dxa"/>
              <w:right w:w="15" w:type="dxa"/>
            </w:tcMar>
            <w:vAlign w:val="bottom"/>
            <w:hideMark/>
          </w:tcPr>
          <w:p w14:paraId="18B4D4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6C39D60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1D438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bottom w:val="single" w:sz="6" w:space="0" w:color="000000"/>
            </w:tcBorders>
            <w:shd w:val="clear" w:color="auto" w:fill="CFF0FC"/>
            <w:noWrap/>
            <w:tcMar>
              <w:top w:w="15" w:type="dxa"/>
              <w:left w:w="0" w:type="dxa"/>
              <w:bottom w:w="0" w:type="dxa"/>
              <w:right w:w="15" w:type="dxa"/>
            </w:tcMar>
            <w:vAlign w:val="bottom"/>
            <w:hideMark/>
          </w:tcPr>
          <w:p w14:paraId="45962ED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w:t>
            </w:r>
          </w:p>
        </w:tc>
        <w:tc>
          <w:tcPr>
            <w:tcW w:w="191" w:type="dxa"/>
            <w:shd w:val="clear" w:color="auto" w:fill="CFF0FC"/>
            <w:noWrap/>
            <w:tcMar>
              <w:top w:w="15" w:type="dxa"/>
              <w:left w:w="0" w:type="dxa"/>
              <w:bottom w:w="0" w:type="dxa"/>
              <w:right w:w="15" w:type="dxa"/>
            </w:tcMar>
            <w:vAlign w:val="bottom"/>
            <w:hideMark/>
          </w:tcPr>
          <w:p w14:paraId="2D9066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17C185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62D2A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bottom w:val="single" w:sz="6" w:space="0" w:color="000000"/>
            </w:tcBorders>
            <w:shd w:val="clear" w:color="auto" w:fill="CFF0FC"/>
            <w:noWrap/>
            <w:tcMar>
              <w:top w:w="15" w:type="dxa"/>
              <w:left w:w="0" w:type="dxa"/>
              <w:bottom w:w="0" w:type="dxa"/>
              <w:right w:w="15" w:type="dxa"/>
            </w:tcMar>
            <w:vAlign w:val="bottom"/>
            <w:hideMark/>
          </w:tcPr>
          <w:p w14:paraId="3DC40D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91" w:type="dxa"/>
            <w:shd w:val="clear" w:color="auto" w:fill="CFF0FC"/>
            <w:noWrap/>
            <w:tcMar>
              <w:top w:w="15" w:type="dxa"/>
              <w:left w:w="0" w:type="dxa"/>
              <w:bottom w:w="0" w:type="dxa"/>
              <w:right w:w="15" w:type="dxa"/>
            </w:tcMar>
            <w:vAlign w:val="bottom"/>
            <w:hideMark/>
          </w:tcPr>
          <w:p w14:paraId="2543C6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8" w:type="dxa"/>
            <w:shd w:val="clear" w:color="auto" w:fill="CFF0FC"/>
            <w:tcMar>
              <w:top w:w="15" w:type="dxa"/>
              <w:left w:w="0" w:type="dxa"/>
              <w:bottom w:w="0" w:type="dxa"/>
              <w:right w:w="15" w:type="dxa"/>
            </w:tcMar>
            <w:vAlign w:val="bottom"/>
            <w:hideMark/>
          </w:tcPr>
          <w:p w14:paraId="34259C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1FDC6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24" w:type="dxa"/>
            <w:tcBorders>
              <w:bottom w:val="single" w:sz="6" w:space="0" w:color="000000"/>
            </w:tcBorders>
            <w:shd w:val="clear" w:color="auto" w:fill="CFF0FC"/>
            <w:noWrap/>
            <w:tcMar>
              <w:top w:w="15" w:type="dxa"/>
              <w:left w:w="0" w:type="dxa"/>
              <w:bottom w:w="0" w:type="dxa"/>
              <w:right w:w="15" w:type="dxa"/>
            </w:tcMar>
            <w:vAlign w:val="bottom"/>
            <w:hideMark/>
          </w:tcPr>
          <w:p w14:paraId="1FAAAA2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tc>
        <w:tc>
          <w:tcPr>
            <w:tcW w:w="193" w:type="dxa"/>
            <w:shd w:val="clear" w:color="auto" w:fill="CFF0FC"/>
            <w:noWrap/>
            <w:tcMar>
              <w:top w:w="15" w:type="dxa"/>
              <w:left w:w="0" w:type="dxa"/>
              <w:bottom w:w="0" w:type="dxa"/>
              <w:right w:w="15" w:type="dxa"/>
            </w:tcMar>
            <w:vAlign w:val="bottom"/>
            <w:hideMark/>
          </w:tcPr>
          <w:p w14:paraId="714DDF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E8942A9" w14:textId="77777777" w:rsidTr="00AC4931">
        <w:tc>
          <w:tcPr>
            <w:tcW w:w="9227" w:type="dxa"/>
            <w:shd w:val="clear" w:color="auto" w:fill="FFFFFF"/>
            <w:tcMar>
              <w:top w:w="15" w:type="dxa"/>
              <w:left w:w="0" w:type="dxa"/>
              <w:bottom w:w="0" w:type="dxa"/>
              <w:right w:w="15" w:type="dxa"/>
            </w:tcMar>
            <w:hideMark/>
          </w:tcPr>
          <w:p w14:paraId="2DDC758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08" w:type="dxa"/>
            <w:shd w:val="clear" w:color="auto" w:fill="FFFFFF"/>
            <w:tcMar>
              <w:top w:w="15" w:type="dxa"/>
              <w:left w:w="0" w:type="dxa"/>
              <w:bottom w:w="0" w:type="dxa"/>
              <w:right w:w="15" w:type="dxa"/>
            </w:tcMar>
            <w:vAlign w:val="bottom"/>
            <w:hideMark/>
          </w:tcPr>
          <w:p w14:paraId="7D953D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1558A0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24"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99CECF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100</w:t>
            </w:r>
          </w:p>
        </w:tc>
        <w:tc>
          <w:tcPr>
            <w:tcW w:w="191" w:type="dxa"/>
            <w:shd w:val="clear" w:color="auto" w:fill="FFFFFF"/>
            <w:noWrap/>
            <w:tcMar>
              <w:top w:w="15" w:type="dxa"/>
              <w:left w:w="0" w:type="dxa"/>
              <w:bottom w:w="0" w:type="dxa"/>
              <w:right w:w="15" w:type="dxa"/>
            </w:tcMar>
            <w:vAlign w:val="bottom"/>
            <w:hideMark/>
          </w:tcPr>
          <w:p w14:paraId="043B589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73C317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E764B4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24"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B33ABC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100</w:t>
            </w:r>
          </w:p>
        </w:tc>
        <w:tc>
          <w:tcPr>
            <w:tcW w:w="191" w:type="dxa"/>
            <w:shd w:val="clear" w:color="auto" w:fill="FFFFFF"/>
            <w:noWrap/>
            <w:tcMar>
              <w:top w:w="15" w:type="dxa"/>
              <w:left w:w="0" w:type="dxa"/>
              <w:bottom w:w="0" w:type="dxa"/>
              <w:right w:w="15" w:type="dxa"/>
            </w:tcMar>
            <w:vAlign w:val="bottom"/>
            <w:hideMark/>
          </w:tcPr>
          <w:p w14:paraId="4852C7B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2AC495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29781F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24"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962DEC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100</w:t>
            </w:r>
          </w:p>
        </w:tc>
        <w:tc>
          <w:tcPr>
            <w:tcW w:w="191" w:type="dxa"/>
            <w:shd w:val="clear" w:color="auto" w:fill="FFFFFF"/>
            <w:noWrap/>
            <w:tcMar>
              <w:top w:w="15" w:type="dxa"/>
              <w:left w:w="0" w:type="dxa"/>
              <w:bottom w:w="0" w:type="dxa"/>
              <w:right w:w="15" w:type="dxa"/>
            </w:tcMar>
            <w:vAlign w:val="bottom"/>
            <w:hideMark/>
          </w:tcPr>
          <w:p w14:paraId="0109CC5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6FF101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BC3C73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24"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0BF6C8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100</w:t>
            </w:r>
          </w:p>
        </w:tc>
        <w:tc>
          <w:tcPr>
            <w:tcW w:w="191" w:type="dxa"/>
            <w:shd w:val="clear" w:color="auto" w:fill="FFFFFF"/>
            <w:noWrap/>
            <w:tcMar>
              <w:top w:w="15" w:type="dxa"/>
              <w:left w:w="0" w:type="dxa"/>
              <w:bottom w:w="0" w:type="dxa"/>
              <w:right w:w="15" w:type="dxa"/>
            </w:tcMar>
            <w:vAlign w:val="bottom"/>
            <w:hideMark/>
          </w:tcPr>
          <w:p w14:paraId="7AB2D95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08" w:type="dxa"/>
            <w:shd w:val="clear" w:color="auto" w:fill="FFFFFF"/>
            <w:tcMar>
              <w:top w:w="15" w:type="dxa"/>
              <w:left w:w="0" w:type="dxa"/>
              <w:bottom w:w="0" w:type="dxa"/>
              <w:right w:w="15" w:type="dxa"/>
            </w:tcMar>
            <w:vAlign w:val="bottom"/>
            <w:hideMark/>
          </w:tcPr>
          <w:p w14:paraId="3A49EE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13E28C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624"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8AF8C7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100</w:t>
            </w:r>
          </w:p>
        </w:tc>
        <w:tc>
          <w:tcPr>
            <w:tcW w:w="193" w:type="dxa"/>
            <w:shd w:val="clear" w:color="auto" w:fill="FFFFFF"/>
            <w:noWrap/>
            <w:tcMar>
              <w:top w:w="15" w:type="dxa"/>
              <w:left w:w="0" w:type="dxa"/>
              <w:bottom w:w="0" w:type="dxa"/>
              <w:right w:w="15" w:type="dxa"/>
            </w:tcMar>
            <w:vAlign w:val="bottom"/>
            <w:hideMark/>
          </w:tcPr>
          <w:p w14:paraId="51ACD58C"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22CF2F54"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01576C95"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following table summarizes the fair value of the Company’s U.S. and non-U.S. defined benefit pension plan assets (dollars in millions):</w:t>
      </w:r>
    </w:p>
    <w:p w14:paraId="11ED330C"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4430" w:type="dxa"/>
        <w:tblCellMar>
          <w:left w:w="0" w:type="dxa"/>
          <w:right w:w="0" w:type="dxa"/>
        </w:tblCellMar>
        <w:tblLook w:val="04A0" w:firstRow="1" w:lastRow="0" w:firstColumn="1" w:lastColumn="0" w:noHBand="0" w:noVBand="1"/>
      </w:tblPr>
      <w:tblGrid>
        <w:gridCol w:w="9652"/>
        <w:gridCol w:w="219"/>
        <w:gridCol w:w="168"/>
        <w:gridCol w:w="1864"/>
        <w:gridCol w:w="138"/>
        <w:gridCol w:w="219"/>
        <w:gridCol w:w="168"/>
        <w:gridCol w:w="1864"/>
        <w:gridCol w:w="138"/>
      </w:tblGrid>
      <w:tr w:rsidR="00AC4931" w:rsidRPr="00AC4931" w14:paraId="6298258B" w14:textId="77777777" w:rsidTr="00AC4931">
        <w:tc>
          <w:tcPr>
            <w:tcW w:w="9604" w:type="dxa"/>
            <w:shd w:val="clear" w:color="auto" w:fill="FFFFFF"/>
            <w:tcMar>
              <w:top w:w="15" w:type="dxa"/>
              <w:left w:w="0" w:type="dxa"/>
              <w:bottom w:w="0" w:type="dxa"/>
              <w:right w:w="15" w:type="dxa"/>
            </w:tcMar>
            <w:vAlign w:val="bottom"/>
            <w:hideMark/>
          </w:tcPr>
          <w:p w14:paraId="53CC1F9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u w:val="single"/>
              </w:rPr>
              <w:t>(Dollars in millions)</w:t>
            </w:r>
          </w:p>
        </w:tc>
        <w:tc>
          <w:tcPr>
            <w:tcW w:w="218" w:type="dxa"/>
            <w:shd w:val="clear" w:color="auto" w:fill="FFFFFF"/>
            <w:tcMar>
              <w:top w:w="15" w:type="dxa"/>
              <w:left w:w="0" w:type="dxa"/>
              <w:bottom w:w="0" w:type="dxa"/>
              <w:right w:w="15" w:type="dxa"/>
            </w:tcMar>
            <w:vAlign w:val="bottom"/>
            <w:hideMark/>
          </w:tcPr>
          <w:p w14:paraId="58E3B23D"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14" w:type="dxa"/>
            <w:gridSpan w:val="2"/>
            <w:tcBorders>
              <w:bottom w:val="single" w:sz="6" w:space="0" w:color="000000"/>
            </w:tcBorders>
            <w:shd w:val="clear" w:color="auto" w:fill="FFFFFF"/>
            <w:tcMar>
              <w:top w:w="15" w:type="dxa"/>
              <w:left w:w="0" w:type="dxa"/>
              <w:bottom w:w="0" w:type="dxa"/>
              <w:right w:w="15" w:type="dxa"/>
            </w:tcMar>
            <w:vAlign w:val="bottom"/>
            <w:hideMark/>
          </w:tcPr>
          <w:p w14:paraId="3239A4E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Fair value</w:t>
            </w:r>
          </w:p>
          <w:p w14:paraId="6878FEF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measurement at</w:t>
            </w:r>
          </w:p>
          <w:p w14:paraId="04DA7F5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w:t>
            </w:r>
          </w:p>
          <w:p w14:paraId="4D54AB4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29" w:type="dxa"/>
            <w:shd w:val="clear" w:color="auto" w:fill="FFFFFF"/>
            <w:noWrap/>
            <w:tcMar>
              <w:top w:w="15" w:type="dxa"/>
              <w:left w:w="0" w:type="dxa"/>
              <w:bottom w:w="0" w:type="dxa"/>
              <w:right w:w="15" w:type="dxa"/>
            </w:tcMar>
            <w:vAlign w:val="bottom"/>
            <w:hideMark/>
          </w:tcPr>
          <w:p w14:paraId="443BF89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8" w:type="dxa"/>
            <w:shd w:val="clear" w:color="auto" w:fill="FFFFFF"/>
            <w:tcMar>
              <w:top w:w="15" w:type="dxa"/>
              <w:left w:w="0" w:type="dxa"/>
              <w:bottom w:w="0" w:type="dxa"/>
              <w:right w:w="15" w:type="dxa"/>
            </w:tcMar>
            <w:vAlign w:val="bottom"/>
            <w:hideMark/>
          </w:tcPr>
          <w:p w14:paraId="4BBBC5D7"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14" w:type="dxa"/>
            <w:gridSpan w:val="2"/>
            <w:tcBorders>
              <w:bottom w:val="single" w:sz="6" w:space="0" w:color="000000"/>
            </w:tcBorders>
            <w:shd w:val="clear" w:color="auto" w:fill="FFFFFF"/>
            <w:tcMar>
              <w:top w:w="15" w:type="dxa"/>
              <w:left w:w="0" w:type="dxa"/>
              <w:bottom w:w="0" w:type="dxa"/>
              <w:right w:w="15" w:type="dxa"/>
            </w:tcMar>
            <w:vAlign w:val="bottom"/>
            <w:hideMark/>
          </w:tcPr>
          <w:p w14:paraId="7DA1A9E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Fair value</w:t>
            </w:r>
          </w:p>
          <w:p w14:paraId="3E00438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measurement at</w:t>
            </w:r>
          </w:p>
          <w:p w14:paraId="2B2C9EC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w:t>
            </w:r>
          </w:p>
          <w:p w14:paraId="69D47D0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29" w:type="dxa"/>
            <w:shd w:val="clear" w:color="auto" w:fill="FFFFFF"/>
            <w:noWrap/>
            <w:tcMar>
              <w:top w:w="15" w:type="dxa"/>
              <w:left w:w="0" w:type="dxa"/>
              <w:bottom w:w="0" w:type="dxa"/>
              <w:right w:w="15" w:type="dxa"/>
            </w:tcMar>
            <w:vAlign w:val="bottom"/>
            <w:hideMark/>
          </w:tcPr>
          <w:p w14:paraId="17CE5B7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0DCEB1F" w14:textId="77777777" w:rsidTr="00AC4931">
        <w:tc>
          <w:tcPr>
            <w:tcW w:w="9604" w:type="dxa"/>
            <w:shd w:val="clear" w:color="auto" w:fill="CFF0FC"/>
            <w:tcMar>
              <w:top w:w="15" w:type="dxa"/>
              <w:left w:w="0" w:type="dxa"/>
              <w:bottom w:w="0" w:type="dxa"/>
              <w:right w:w="15" w:type="dxa"/>
            </w:tcMar>
            <w:hideMark/>
          </w:tcPr>
          <w:p w14:paraId="01E5379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Assets</w:t>
            </w:r>
          </w:p>
        </w:tc>
        <w:tc>
          <w:tcPr>
            <w:tcW w:w="218" w:type="dxa"/>
            <w:shd w:val="clear" w:color="auto" w:fill="CFF0FC"/>
            <w:tcMar>
              <w:top w:w="15" w:type="dxa"/>
              <w:left w:w="0" w:type="dxa"/>
              <w:bottom w:w="0" w:type="dxa"/>
              <w:right w:w="15" w:type="dxa"/>
            </w:tcMar>
            <w:vAlign w:val="bottom"/>
            <w:hideMark/>
          </w:tcPr>
          <w:p w14:paraId="51934E0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tcBorders>
              <w:top w:val="single" w:sz="6" w:space="0" w:color="000000"/>
            </w:tcBorders>
            <w:shd w:val="clear" w:color="auto" w:fill="CFF0FC"/>
            <w:noWrap/>
            <w:tcMar>
              <w:top w:w="15" w:type="dxa"/>
              <w:left w:w="0" w:type="dxa"/>
              <w:bottom w:w="0" w:type="dxa"/>
              <w:right w:w="15" w:type="dxa"/>
            </w:tcMar>
            <w:vAlign w:val="bottom"/>
            <w:hideMark/>
          </w:tcPr>
          <w:p w14:paraId="1B24A9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0" w:type="dxa"/>
            <w:tcBorders>
              <w:top w:val="single" w:sz="6" w:space="0" w:color="000000"/>
            </w:tcBorders>
            <w:shd w:val="clear" w:color="auto" w:fill="CFF0FC"/>
            <w:noWrap/>
            <w:tcMar>
              <w:top w:w="15" w:type="dxa"/>
              <w:left w:w="0" w:type="dxa"/>
              <w:bottom w:w="0" w:type="dxa"/>
              <w:right w:w="15" w:type="dxa"/>
            </w:tcMar>
            <w:vAlign w:val="bottom"/>
            <w:hideMark/>
          </w:tcPr>
          <w:p w14:paraId="6899A0F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68C189C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8" w:type="dxa"/>
            <w:shd w:val="clear" w:color="auto" w:fill="CFF0FC"/>
            <w:tcMar>
              <w:top w:w="15" w:type="dxa"/>
              <w:left w:w="0" w:type="dxa"/>
              <w:bottom w:w="0" w:type="dxa"/>
              <w:right w:w="15" w:type="dxa"/>
            </w:tcMar>
            <w:vAlign w:val="bottom"/>
            <w:hideMark/>
          </w:tcPr>
          <w:p w14:paraId="63CEC9B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tcBorders>
              <w:top w:val="single" w:sz="6" w:space="0" w:color="000000"/>
            </w:tcBorders>
            <w:shd w:val="clear" w:color="auto" w:fill="CFF0FC"/>
            <w:noWrap/>
            <w:tcMar>
              <w:top w:w="15" w:type="dxa"/>
              <w:left w:w="0" w:type="dxa"/>
              <w:bottom w:w="0" w:type="dxa"/>
              <w:right w:w="15" w:type="dxa"/>
            </w:tcMar>
            <w:vAlign w:val="bottom"/>
            <w:hideMark/>
          </w:tcPr>
          <w:p w14:paraId="0F1E57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0" w:type="dxa"/>
            <w:tcBorders>
              <w:top w:val="single" w:sz="6" w:space="0" w:color="000000"/>
            </w:tcBorders>
            <w:shd w:val="clear" w:color="auto" w:fill="CFF0FC"/>
            <w:noWrap/>
            <w:tcMar>
              <w:top w:w="15" w:type="dxa"/>
              <w:left w:w="0" w:type="dxa"/>
              <w:bottom w:w="0" w:type="dxa"/>
              <w:right w:w="15" w:type="dxa"/>
            </w:tcMar>
            <w:vAlign w:val="bottom"/>
            <w:hideMark/>
          </w:tcPr>
          <w:p w14:paraId="1A206AD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68AF1C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AF3D3DB" w14:textId="77777777" w:rsidTr="00AC4931">
        <w:tc>
          <w:tcPr>
            <w:tcW w:w="9604" w:type="dxa"/>
            <w:shd w:val="clear" w:color="auto" w:fill="FFFFFF"/>
            <w:tcMar>
              <w:top w:w="15" w:type="dxa"/>
              <w:left w:w="0" w:type="dxa"/>
              <w:bottom w:w="0" w:type="dxa"/>
              <w:right w:w="15" w:type="dxa"/>
            </w:tcMar>
            <w:hideMark/>
          </w:tcPr>
          <w:p w14:paraId="5634CC7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Non-U.S. Bonds</w:t>
            </w:r>
          </w:p>
        </w:tc>
        <w:tc>
          <w:tcPr>
            <w:tcW w:w="218" w:type="dxa"/>
            <w:shd w:val="clear" w:color="auto" w:fill="FFFFFF"/>
            <w:tcMar>
              <w:top w:w="15" w:type="dxa"/>
              <w:left w:w="0" w:type="dxa"/>
              <w:bottom w:w="0" w:type="dxa"/>
              <w:right w:w="15" w:type="dxa"/>
            </w:tcMar>
            <w:vAlign w:val="bottom"/>
            <w:hideMark/>
          </w:tcPr>
          <w:p w14:paraId="4295DB8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shd w:val="clear" w:color="auto" w:fill="FFFFFF"/>
            <w:noWrap/>
            <w:tcMar>
              <w:top w:w="15" w:type="dxa"/>
              <w:left w:w="0" w:type="dxa"/>
              <w:bottom w:w="0" w:type="dxa"/>
              <w:right w:w="15" w:type="dxa"/>
            </w:tcMar>
            <w:vAlign w:val="bottom"/>
            <w:hideMark/>
          </w:tcPr>
          <w:p w14:paraId="0A12EC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0" w:type="dxa"/>
            <w:shd w:val="clear" w:color="auto" w:fill="FFFFFF"/>
            <w:noWrap/>
            <w:tcMar>
              <w:top w:w="15" w:type="dxa"/>
              <w:left w:w="0" w:type="dxa"/>
              <w:bottom w:w="0" w:type="dxa"/>
              <w:right w:w="15" w:type="dxa"/>
            </w:tcMar>
            <w:vAlign w:val="bottom"/>
            <w:hideMark/>
          </w:tcPr>
          <w:p w14:paraId="131A427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717464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8" w:type="dxa"/>
            <w:shd w:val="clear" w:color="auto" w:fill="FFFFFF"/>
            <w:tcMar>
              <w:top w:w="15" w:type="dxa"/>
              <w:left w:w="0" w:type="dxa"/>
              <w:bottom w:w="0" w:type="dxa"/>
              <w:right w:w="15" w:type="dxa"/>
            </w:tcMar>
            <w:vAlign w:val="bottom"/>
            <w:hideMark/>
          </w:tcPr>
          <w:p w14:paraId="1935401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shd w:val="clear" w:color="auto" w:fill="FFFFFF"/>
            <w:noWrap/>
            <w:tcMar>
              <w:top w:w="15" w:type="dxa"/>
              <w:left w:w="0" w:type="dxa"/>
              <w:bottom w:w="0" w:type="dxa"/>
              <w:right w:w="15" w:type="dxa"/>
            </w:tcMar>
            <w:vAlign w:val="bottom"/>
            <w:hideMark/>
          </w:tcPr>
          <w:p w14:paraId="2AE774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0" w:type="dxa"/>
            <w:shd w:val="clear" w:color="auto" w:fill="FFFFFF"/>
            <w:noWrap/>
            <w:tcMar>
              <w:top w:w="15" w:type="dxa"/>
              <w:left w:w="0" w:type="dxa"/>
              <w:bottom w:w="0" w:type="dxa"/>
              <w:right w:w="15" w:type="dxa"/>
            </w:tcMar>
            <w:vAlign w:val="bottom"/>
            <w:hideMark/>
          </w:tcPr>
          <w:p w14:paraId="0C6F8E7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2EB9DA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78D79B0" w14:textId="77777777" w:rsidTr="00AC4931">
        <w:tc>
          <w:tcPr>
            <w:tcW w:w="9604" w:type="dxa"/>
            <w:shd w:val="clear" w:color="auto" w:fill="CFF0FC"/>
            <w:tcMar>
              <w:top w:w="15" w:type="dxa"/>
              <w:left w:w="0" w:type="dxa"/>
              <w:bottom w:w="0" w:type="dxa"/>
              <w:right w:w="15" w:type="dxa"/>
            </w:tcMar>
            <w:hideMark/>
          </w:tcPr>
          <w:p w14:paraId="6713346D"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Corporate</w:t>
            </w:r>
          </w:p>
        </w:tc>
        <w:tc>
          <w:tcPr>
            <w:tcW w:w="218" w:type="dxa"/>
            <w:shd w:val="clear" w:color="auto" w:fill="CFF0FC"/>
            <w:tcMar>
              <w:top w:w="15" w:type="dxa"/>
              <w:left w:w="0" w:type="dxa"/>
              <w:bottom w:w="0" w:type="dxa"/>
              <w:right w:w="15" w:type="dxa"/>
            </w:tcMar>
            <w:vAlign w:val="bottom"/>
            <w:hideMark/>
          </w:tcPr>
          <w:p w14:paraId="66CF187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shd w:val="clear" w:color="auto" w:fill="CFF0FC"/>
            <w:noWrap/>
            <w:tcMar>
              <w:top w:w="15" w:type="dxa"/>
              <w:left w:w="0" w:type="dxa"/>
              <w:bottom w:w="0" w:type="dxa"/>
              <w:right w:w="15" w:type="dxa"/>
            </w:tcMar>
            <w:vAlign w:val="bottom"/>
            <w:hideMark/>
          </w:tcPr>
          <w:p w14:paraId="31EA18B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40" w:type="dxa"/>
            <w:shd w:val="clear" w:color="auto" w:fill="CFF0FC"/>
            <w:noWrap/>
            <w:tcMar>
              <w:top w:w="15" w:type="dxa"/>
              <w:left w:w="0" w:type="dxa"/>
              <w:bottom w:w="0" w:type="dxa"/>
              <w:right w:w="15" w:type="dxa"/>
            </w:tcMar>
            <w:vAlign w:val="bottom"/>
            <w:hideMark/>
          </w:tcPr>
          <w:p w14:paraId="7CC2367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79.6</w:t>
            </w:r>
          </w:p>
        </w:tc>
        <w:tc>
          <w:tcPr>
            <w:tcW w:w="129" w:type="dxa"/>
            <w:shd w:val="clear" w:color="auto" w:fill="CFF0FC"/>
            <w:noWrap/>
            <w:tcMar>
              <w:top w:w="15" w:type="dxa"/>
              <w:left w:w="0" w:type="dxa"/>
              <w:bottom w:w="0" w:type="dxa"/>
              <w:right w:w="15" w:type="dxa"/>
            </w:tcMar>
            <w:vAlign w:val="bottom"/>
            <w:hideMark/>
          </w:tcPr>
          <w:p w14:paraId="41B11A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8" w:type="dxa"/>
            <w:shd w:val="clear" w:color="auto" w:fill="CFF0FC"/>
            <w:tcMar>
              <w:top w:w="15" w:type="dxa"/>
              <w:left w:w="0" w:type="dxa"/>
              <w:bottom w:w="0" w:type="dxa"/>
              <w:right w:w="15" w:type="dxa"/>
            </w:tcMar>
            <w:vAlign w:val="bottom"/>
            <w:hideMark/>
          </w:tcPr>
          <w:p w14:paraId="424D9AE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shd w:val="clear" w:color="auto" w:fill="CFF0FC"/>
            <w:noWrap/>
            <w:tcMar>
              <w:top w:w="15" w:type="dxa"/>
              <w:left w:w="0" w:type="dxa"/>
              <w:bottom w:w="0" w:type="dxa"/>
              <w:right w:w="15" w:type="dxa"/>
            </w:tcMar>
            <w:vAlign w:val="bottom"/>
            <w:hideMark/>
          </w:tcPr>
          <w:p w14:paraId="363D96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40" w:type="dxa"/>
            <w:shd w:val="clear" w:color="auto" w:fill="CFF0FC"/>
            <w:noWrap/>
            <w:tcMar>
              <w:top w:w="15" w:type="dxa"/>
              <w:left w:w="0" w:type="dxa"/>
              <w:bottom w:w="0" w:type="dxa"/>
              <w:right w:w="15" w:type="dxa"/>
            </w:tcMar>
            <w:vAlign w:val="bottom"/>
            <w:hideMark/>
          </w:tcPr>
          <w:p w14:paraId="73BBA26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70.4</w:t>
            </w:r>
          </w:p>
        </w:tc>
        <w:tc>
          <w:tcPr>
            <w:tcW w:w="129" w:type="dxa"/>
            <w:shd w:val="clear" w:color="auto" w:fill="CFF0FC"/>
            <w:noWrap/>
            <w:tcMar>
              <w:top w:w="15" w:type="dxa"/>
              <w:left w:w="0" w:type="dxa"/>
              <w:bottom w:w="0" w:type="dxa"/>
              <w:right w:w="15" w:type="dxa"/>
            </w:tcMar>
            <w:vAlign w:val="bottom"/>
            <w:hideMark/>
          </w:tcPr>
          <w:p w14:paraId="0052E7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3E7AA44" w14:textId="77777777" w:rsidTr="00AC4931">
        <w:tc>
          <w:tcPr>
            <w:tcW w:w="9604" w:type="dxa"/>
            <w:shd w:val="clear" w:color="auto" w:fill="FFFFFF"/>
            <w:tcMar>
              <w:top w:w="15" w:type="dxa"/>
              <w:left w:w="0" w:type="dxa"/>
              <w:bottom w:w="0" w:type="dxa"/>
              <w:right w:w="15" w:type="dxa"/>
            </w:tcMar>
            <w:hideMark/>
          </w:tcPr>
          <w:p w14:paraId="5982191F"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Insurance Contracts</w:t>
            </w:r>
          </w:p>
        </w:tc>
        <w:tc>
          <w:tcPr>
            <w:tcW w:w="218" w:type="dxa"/>
            <w:shd w:val="clear" w:color="auto" w:fill="FFFFFF"/>
            <w:tcMar>
              <w:top w:w="15" w:type="dxa"/>
              <w:left w:w="0" w:type="dxa"/>
              <w:bottom w:w="0" w:type="dxa"/>
              <w:right w:w="15" w:type="dxa"/>
            </w:tcMar>
            <w:vAlign w:val="bottom"/>
            <w:hideMark/>
          </w:tcPr>
          <w:p w14:paraId="6F0AADB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shd w:val="clear" w:color="auto" w:fill="FFFFFF"/>
            <w:noWrap/>
            <w:tcMar>
              <w:top w:w="15" w:type="dxa"/>
              <w:left w:w="0" w:type="dxa"/>
              <w:bottom w:w="0" w:type="dxa"/>
              <w:right w:w="15" w:type="dxa"/>
            </w:tcMar>
            <w:vAlign w:val="bottom"/>
            <w:hideMark/>
          </w:tcPr>
          <w:p w14:paraId="07B732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0" w:type="dxa"/>
            <w:shd w:val="clear" w:color="auto" w:fill="FFFFFF"/>
            <w:noWrap/>
            <w:tcMar>
              <w:top w:w="15" w:type="dxa"/>
              <w:left w:w="0" w:type="dxa"/>
              <w:bottom w:w="0" w:type="dxa"/>
              <w:right w:w="15" w:type="dxa"/>
            </w:tcMar>
            <w:vAlign w:val="bottom"/>
            <w:hideMark/>
          </w:tcPr>
          <w:p w14:paraId="1A279CB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17.5</w:t>
            </w:r>
          </w:p>
        </w:tc>
        <w:tc>
          <w:tcPr>
            <w:tcW w:w="129" w:type="dxa"/>
            <w:shd w:val="clear" w:color="auto" w:fill="FFFFFF"/>
            <w:noWrap/>
            <w:tcMar>
              <w:top w:w="15" w:type="dxa"/>
              <w:left w:w="0" w:type="dxa"/>
              <w:bottom w:w="0" w:type="dxa"/>
              <w:right w:w="15" w:type="dxa"/>
            </w:tcMar>
            <w:vAlign w:val="bottom"/>
            <w:hideMark/>
          </w:tcPr>
          <w:p w14:paraId="7CB3A3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8" w:type="dxa"/>
            <w:shd w:val="clear" w:color="auto" w:fill="FFFFFF"/>
            <w:tcMar>
              <w:top w:w="15" w:type="dxa"/>
              <w:left w:w="0" w:type="dxa"/>
              <w:bottom w:w="0" w:type="dxa"/>
              <w:right w:w="15" w:type="dxa"/>
            </w:tcMar>
            <w:vAlign w:val="bottom"/>
            <w:hideMark/>
          </w:tcPr>
          <w:p w14:paraId="129CAD2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shd w:val="clear" w:color="auto" w:fill="FFFFFF"/>
            <w:noWrap/>
            <w:tcMar>
              <w:top w:w="15" w:type="dxa"/>
              <w:left w:w="0" w:type="dxa"/>
              <w:bottom w:w="0" w:type="dxa"/>
              <w:right w:w="15" w:type="dxa"/>
            </w:tcMar>
            <w:vAlign w:val="bottom"/>
            <w:hideMark/>
          </w:tcPr>
          <w:p w14:paraId="1FAA72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0" w:type="dxa"/>
            <w:shd w:val="clear" w:color="auto" w:fill="FFFFFF"/>
            <w:noWrap/>
            <w:tcMar>
              <w:top w:w="15" w:type="dxa"/>
              <w:left w:w="0" w:type="dxa"/>
              <w:bottom w:w="0" w:type="dxa"/>
              <w:right w:w="15" w:type="dxa"/>
            </w:tcMar>
            <w:vAlign w:val="bottom"/>
            <w:hideMark/>
          </w:tcPr>
          <w:p w14:paraId="68E5425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14.7</w:t>
            </w:r>
          </w:p>
        </w:tc>
        <w:tc>
          <w:tcPr>
            <w:tcW w:w="129" w:type="dxa"/>
            <w:shd w:val="clear" w:color="auto" w:fill="FFFFFF"/>
            <w:noWrap/>
            <w:tcMar>
              <w:top w:w="15" w:type="dxa"/>
              <w:left w:w="0" w:type="dxa"/>
              <w:bottom w:w="0" w:type="dxa"/>
              <w:right w:w="15" w:type="dxa"/>
            </w:tcMar>
            <w:vAlign w:val="bottom"/>
            <w:hideMark/>
          </w:tcPr>
          <w:p w14:paraId="3E3009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A772B65" w14:textId="77777777" w:rsidTr="00AC4931">
        <w:tc>
          <w:tcPr>
            <w:tcW w:w="9604" w:type="dxa"/>
            <w:shd w:val="clear" w:color="auto" w:fill="CFF0FC"/>
            <w:tcMar>
              <w:top w:w="15" w:type="dxa"/>
              <w:left w:w="0" w:type="dxa"/>
              <w:bottom w:w="0" w:type="dxa"/>
              <w:right w:w="15" w:type="dxa"/>
            </w:tcMar>
            <w:hideMark/>
          </w:tcPr>
          <w:p w14:paraId="797BC7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 Investments</w:t>
            </w:r>
          </w:p>
        </w:tc>
        <w:tc>
          <w:tcPr>
            <w:tcW w:w="218" w:type="dxa"/>
            <w:shd w:val="clear" w:color="auto" w:fill="CFF0FC"/>
            <w:tcMar>
              <w:top w:w="15" w:type="dxa"/>
              <w:left w:w="0" w:type="dxa"/>
              <w:bottom w:w="0" w:type="dxa"/>
              <w:right w:w="15" w:type="dxa"/>
            </w:tcMar>
            <w:vAlign w:val="bottom"/>
            <w:hideMark/>
          </w:tcPr>
          <w:p w14:paraId="1CA50A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tcBorders>
              <w:bottom w:val="single" w:sz="6" w:space="0" w:color="000000"/>
            </w:tcBorders>
            <w:shd w:val="clear" w:color="auto" w:fill="CFF0FC"/>
            <w:noWrap/>
            <w:tcMar>
              <w:top w:w="15" w:type="dxa"/>
              <w:left w:w="0" w:type="dxa"/>
              <w:bottom w:w="0" w:type="dxa"/>
              <w:right w:w="15" w:type="dxa"/>
            </w:tcMar>
            <w:vAlign w:val="bottom"/>
            <w:hideMark/>
          </w:tcPr>
          <w:p w14:paraId="029878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0" w:type="dxa"/>
            <w:tcBorders>
              <w:bottom w:val="single" w:sz="6" w:space="0" w:color="000000"/>
            </w:tcBorders>
            <w:shd w:val="clear" w:color="auto" w:fill="CFF0FC"/>
            <w:noWrap/>
            <w:tcMar>
              <w:top w:w="15" w:type="dxa"/>
              <w:left w:w="0" w:type="dxa"/>
              <w:bottom w:w="0" w:type="dxa"/>
              <w:right w:w="15" w:type="dxa"/>
            </w:tcMar>
            <w:vAlign w:val="bottom"/>
            <w:hideMark/>
          </w:tcPr>
          <w:p w14:paraId="2E4924E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9.6</w:t>
            </w:r>
          </w:p>
        </w:tc>
        <w:tc>
          <w:tcPr>
            <w:tcW w:w="129" w:type="dxa"/>
            <w:shd w:val="clear" w:color="auto" w:fill="CFF0FC"/>
            <w:noWrap/>
            <w:tcMar>
              <w:top w:w="15" w:type="dxa"/>
              <w:left w:w="0" w:type="dxa"/>
              <w:bottom w:w="0" w:type="dxa"/>
              <w:right w:w="15" w:type="dxa"/>
            </w:tcMar>
            <w:vAlign w:val="bottom"/>
            <w:hideMark/>
          </w:tcPr>
          <w:p w14:paraId="471AB2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8" w:type="dxa"/>
            <w:shd w:val="clear" w:color="auto" w:fill="CFF0FC"/>
            <w:tcMar>
              <w:top w:w="15" w:type="dxa"/>
              <w:left w:w="0" w:type="dxa"/>
              <w:bottom w:w="0" w:type="dxa"/>
              <w:right w:w="15" w:type="dxa"/>
            </w:tcMar>
            <w:vAlign w:val="bottom"/>
            <w:hideMark/>
          </w:tcPr>
          <w:p w14:paraId="664B3CD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tcBorders>
              <w:bottom w:val="single" w:sz="6" w:space="0" w:color="000000"/>
            </w:tcBorders>
            <w:shd w:val="clear" w:color="auto" w:fill="CFF0FC"/>
            <w:noWrap/>
            <w:tcMar>
              <w:top w:w="15" w:type="dxa"/>
              <w:left w:w="0" w:type="dxa"/>
              <w:bottom w:w="0" w:type="dxa"/>
              <w:right w:w="15" w:type="dxa"/>
            </w:tcMar>
            <w:vAlign w:val="bottom"/>
            <w:hideMark/>
          </w:tcPr>
          <w:p w14:paraId="6F6ADF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0" w:type="dxa"/>
            <w:tcBorders>
              <w:bottom w:val="single" w:sz="6" w:space="0" w:color="000000"/>
            </w:tcBorders>
            <w:shd w:val="clear" w:color="auto" w:fill="CFF0FC"/>
            <w:noWrap/>
            <w:tcMar>
              <w:top w:w="15" w:type="dxa"/>
              <w:left w:w="0" w:type="dxa"/>
              <w:bottom w:w="0" w:type="dxa"/>
              <w:right w:w="15" w:type="dxa"/>
            </w:tcMar>
            <w:vAlign w:val="bottom"/>
            <w:hideMark/>
          </w:tcPr>
          <w:p w14:paraId="721D41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6.2</w:t>
            </w:r>
          </w:p>
        </w:tc>
        <w:tc>
          <w:tcPr>
            <w:tcW w:w="129" w:type="dxa"/>
            <w:shd w:val="clear" w:color="auto" w:fill="CFF0FC"/>
            <w:noWrap/>
            <w:tcMar>
              <w:top w:w="15" w:type="dxa"/>
              <w:left w:w="0" w:type="dxa"/>
              <w:bottom w:w="0" w:type="dxa"/>
              <w:right w:w="15" w:type="dxa"/>
            </w:tcMar>
            <w:vAlign w:val="bottom"/>
            <w:hideMark/>
          </w:tcPr>
          <w:p w14:paraId="675F9F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62EE043" w14:textId="77777777" w:rsidTr="00AC4931">
        <w:tc>
          <w:tcPr>
            <w:tcW w:w="9604" w:type="dxa"/>
            <w:shd w:val="clear" w:color="auto" w:fill="FFFFFF"/>
            <w:tcMar>
              <w:top w:w="15" w:type="dxa"/>
              <w:left w:w="0" w:type="dxa"/>
              <w:bottom w:w="0" w:type="dxa"/>
              <w:right w:w="15" w:type="dxa"/>
            </w:tcMar>
            <w:hideMark/>
          </w:tcPr>
          <w:p w14:paraId="28C8B47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Assets at fair value Level 2</w:t>
            </w:r>
          </w:p>
        </w:tc>
        <w:tc>
          <w:tcPr>
            <w:tcW w:w="218" w:type="dxa"/>
            <w:shd w:val="clear" w:color="auto" w:fill="FFFFFF"/>
            <w:tcMar>
              <w:top w:w="15" w:type="dxa"/>
              <w:left w:w="0" w:type="dxa"/>
              <w:bottom w:w="0" w:type="dxa"/>
              <w:right w:w="15" w:type="dxa"/>
            </w:tcMar>
            <w:vAlign w:val="bottom"/>
            <w:hideMark/>
          </w:tcPr>
          <w:p w14:paraId="36C0B703"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9" w:type="dxa"/>
            <w:tcBorders>
              <w:top w:val="single" w:sz="6" w:space="0" w:color="000000"/>
            </w:tcBorders>
            <w:shd w:val="clear" w:color="auto" w:fill="FFFFFF"/>
            <w:noWrap/>
            <w:tcMar>
              <w:top w:w="15" w:type="dxa"/>
              <w:left w:w="0" w:type="dxa"/>
              <w:bottom w:w="0" w:type="dxa"/>
              <w:right w:w="15" w:type="dxa"/>
            </w:tcMar>
            <w:vAlign w:val="bottom"/>
            <w:hideMark/>
          </w:tcPr>
          <w:p w14:paraId="1A39D04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0" w:type="dxa"/>
            <w:tcBorders>
              <w:top w:val="single" w:sz="6" w:space="0" w:color="000000"/>
            </w:tcBorders>
            <w:shd w:val="clear" w:color="auto" w:fill="FFFFFF"/>
            <w:noWrap/>
            <w:tcMar>
              <w:top w:w="15" w:type="dxa"/>
              <w:left w:w="0" w:type="dxa"/>
              <w:bottom w:w="0" w:type="dxa"/>
              <w:right w:w="15" w:type="dxa"/>
            </w:tcMar>
            <w:vAlign w:val="bottom"/>
            <w:hideMark/>
          </w:tcPr>
          <w:p w14:paraId="36F6D8C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106.7</w:t>
            </w:r>
          </w:p>
        </w:tc>
        <w:tc>
          <w:tcPr>
            <w:tcW w:w="129" w:type="dxa"/>
            <w:shd w:val="clear" w:color="auto" w:fill="FFFFFF"/>
            <w:noWrap/>
            <w:tcMar>
              <w:top w:w="15" w:type="dxa"/>
              <w:left w:w="0" w:type="dxa"/>
              <w:bottom w:w="0" w:type="dxa"/>
              <w:right w:w="15" w:type="dxa"/>
            </w:tcMar>
            <w:vAlign w:val="bottom"/>
            <w:hideMark/>
          </w:tcPr>
          <w:p w14:paraId="36E7269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8" w:type="dxa"/>
            <w:shd w:val="clear" w:color="auto" w:fill="FFFFFF"/>
            <w:tcMar>
              <w:top w:w="15" w:type="dxa"/>
              <w:left w:w="0" w:type="dxa"/>
              <w:bottom w:w="0" w:type="dxa"/>
              <w:right w:w="15" w:type="dxa"/>
            </w:tcMar>
            <w:vAlign w:val="bottom"/>
            <w:hideMark/>
          </w:tcPr>
          <w:p w14:paraId="5CC0D9C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9" w:type="dxa"/>
            <w:tcBorders>
              <w:top w:val="single" w:sz="6" w:space="0" w:color="000000"/>
            </w:tcBorders>
            <w:shd w:val="clear" w:color="auto" w:fill="FFFFFF"/>
            <w:noWrap/>
            <w:tcMar>
              <w:top w:w="15" w:type="dxa"/>
              <w:left w:w="0" w:type="dxa"/>
              <w:bottom w:w="0" w:type="dxa"/>
              <w:right w:w="15" w:type="dxa"/>
            </w:tcMar>
            <w:vAlign w:val="bottom"/>
            <w:hideMark/>
          </w:tcPr>
          <w:p w14:paraId="6D6EABF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0" w:type="dxa"/>
            <w:tcBorders>
              <w:top w:val="single" w:sz="6" w:space="0" w:color="000000"/>
            </w:tcBorders>
            <w:shd w:val="clear" w:color="auto" w:fill="FFFFFF"/>
            <w:noWrap/>
            <w:tcMar>
              <w:top w:w="15" w:type="dxa"/>
              <w:left w:w="0" w:type="dxa"/>
              <w:bottom w:w="0" w:type="dxa"/>
              <w:right w:w="15" w:type="dxa"/>
            </w:tcMar>
            <w:vAlign w:val="bottom"/>
            <w:hideMark/>
          </w:tcPr>
          <w:p w14:paraId="49C7D6F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91.3</w:t>
            </w:r>
          </w:p>
        </w:tc>
        <w:tc>
          <w:tcPr>
            <w:tcW w:w="129" w:type="dxa"/>
            <w:shd w:val="clear" w:color="auto" w:fill="FFFFFF"/>
            <w:noWrap/>
            <w:tcMar>
              <w:top w:w="15" w:type="dxa"/>
              <w:left w:w="0" w:type="dxa"/>
              <w:bottom w:w="0" w:type="dxa"/>
              <w:right w:w="15" w:type="dxa"/>
            </w:tcMar>
            <w:vAlign w:val="bottom"/>
            <w:hideMark/>
          </w:tcPr>
          <w:p w14:paraId="128E3FB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57C0A933" w14:textId="77777777" w:rsidTr="00AC4931">
        <w:tc>
          <w:tcPr>
            <w:tcW w:w="9604" w:type="dxa"/>
            <w:shd w:val="clear" w:color="auto" w:fill="CFF0FC"/>
            <w:tcMar>
              <w:top w:w="15" w:type="dxa"/>
              <w:left w:w="0" w:type="dxa"/>
              <w:bottom w:w="0" w:type="dxa"/>
              <w:right w:w="15" w:type="dxa"/>
            </w:tcMar>
            <w:hideMark/>
          </w:tcPr>
          <w:p w14:paraId="7F5E5E8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Investments measured at net asset value (NAV):</w:t>
            </w:r>
          </w:p>
        </w:tc>
        <w:tc>
          <w:tcPr>
            <w:tcW w:w="218" w:type="dxa"/>
            <w:shd w:val="clear" w:color="auto" w:fill="CFF0FC"/>
            <w:tcMar>
              <w:top w:w="15" w:type="dxa"/>
              <w:left w:w="0" w:type="dxa"/>
              <w:bottom w:w="0" w:type="dxa"/>
              <w:right w:w="15" w:type="dxa"/>
            </w:tcMar>
            <w:vAlign w:val="bottom"/>
            <w:hideMark/>
          </w:tcPr>
          <w:p w14:paraId="625E3CE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9" w:type="dxa"/>
            <w:shd w:val="clear" w:color="auto" w:fill="CFF0FC"/>
            <w:noWrap/>
            <w:tcMar>
              <w:top w:w="15" w:type="dxa"/>
              <w:left w:w="0" w:type="dxa"/>
              <w:bottom w:w="0" w:type="dxa"/>
              <w:right w:w="15" w:type="dxa"/>
            </w:tcMar>
            <w:vAlign w:val="bottom"/>
            <w:hideMark/>
          </w:tcPr>
          <w:p w14:paraId="5454847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0" w:type="dxa"/>
            <w:shd w:val="clear" w:color="auto" w:fill="CFF0FC"/>
            <w:noWrap/>
            <w:tcMar>
              <w:top w:w="15" w:type="dxa"/>
              <w:left w:w="0" w:type="dxa"/>
              <w:bottom w:w="0" w:type="dxa"/>
              <w:right w:w="15" w:type="dxa"/>
            </w:tcMar>
            <w:vAlign w:val="bottom"/>
            <w:hideMark/>
          </w:tcPr>
          <w:p w14:paraId="496A11A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0533563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8" w:type="dxa"/>
            <w:shd w:val="clear" w:color="auto" w:fill="CFF0FC"/>
            <w:tcMar>
              <w:top w:w="15" w:type="dxa"/>
              <w:left w:w="0" w:type="dxa"/>
              <w:bottom w:w="0" w:type="dxa"/>
              <w:right w:w="15" w:type="dxa"/>
            </w:tcMar>
            <w:vAlign w:val="bottom"/>
            <w:hideMark/>
          </w:tcPr>
          <w:p w14:paraId="1D80023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9" w:type="dxa"/>
            <w:shd w:val="clear" w:color="auto" w:fill="CFF0FC"/>
            <w:noWrap/>
            <w:tcMar>
              <w:top w:w="15" w:type="dxa"/>
              <w:left w:w="0" w:type="dxa"/>
              <w:bottom w:w="0" w:type="dxa"/>
              <w:right w:w="15" w:type="dxa"/>
            </w:tcMar>
            <w:vAlign w:val="bottom"/>
            <w:hideMark/>
          </w:tcPr>
          <w:p w14:paraId="52E2616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840" w:type="dxa"/>
            <w:shd w:val="clear" w:color="auto" w:fill="CFF0FC"/>
            <w:noWrap/>
            <w:tcMar>
              <w:top w:w="15" w:type="dxa"/>
              <w:left w:w="0" w:type="dxa"/>
              <w:bottom w:w="0" w:type="dxa"/>
              <w:right w:w="15" w:type="dxa"/>
            </w:tcMar>
            <w:vAlign w:val="bottom"/>
            <w:hideMark/>
          </w:tcPr>
          <w:p w14:paraId="51BEBF2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1DB8DB4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34D4E022" w14:textId="77777777" w:rsidTr="00AC4931">
        <w:tc>
          <w:tcPr>
            <w:tcW w:w="9604" w:type="dxa"/>
            <w:shd w:val="clear" w:color="auto" w:fill="FFFFFF"/>
            <w:tcMar>
              <w:top w:w="15" w:type="dxa"/>
              <w:left w:w="0" w:type="dxa"/>
              <w:bottom w:w="0" w:type="dxa"/>
              <w:right w:w="15" w:type="dxa"/>
            </w:tcMar>
            <w:hideMark/>
          </w:tcPr>
          <w:p w14:paraId="15280024"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Common collective trusts</w:t>
            </w:r>
          </w:p>
        </w:tc>
        <w:tc>
          <w:tcPr>
            <w:tcW w:w="218" w:type="dxa"/>
            <w:shd w:val="clear" w:color="auto" w:fill="FFFFFF"/>
            <w:tcMar>
              <w:top w:w="15" w:type="dxa"/>
              <w:left w:w="0" w:type="dxa"/>
              <w:bottom w:w="0" w:type="dxa"/>
              <w:right w:w="15" w:type="dxa"/>
            </w:tcMar>
            <w:vAlign w:val="bottom"/>
            <w:hideMark/>
          </w:tcPr>
          <w:p w14:paraId="3A9A2D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tcBorders>
              <w:bottom w:val="single" w:sz="6" w:space="0" w:color="000000"/>
            </w:tcBorders>
            <w:shd w:val="clear" w:color="auto" w:fill="FFFFFF"/>
            <w:noWrap/>
            <w:tcMar>
              <w:top w:w="15" w:type="dxa"/>
              <w:left w:w="0" w:type="dxa"/>
              <w:bottom w:w="0" w:type="dxa"/>
              <w:right w:w="15" w:type="dxa"/>
            </w:tcMar>
            <w:vAlign w:val="bottom"/>
            <w:hideMark/>
          </w:tcPr>
          <w:p w14:paraId="47C34D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0" w:type="dxa"/>
            <w:tcBorders>
              <w:bottom w:val="single" w:sz="6" w:space="0" w:color="000000"/>
            </w:tcBorders>
            <w:shd w:val="clear" w:color="auto" w:fill="FFFFFF"/>
            <w:noWrap/>
            <w:tcMar>
              <w:top w:w="15" w:type="dxa"/>
              <w:left w:w="0" w:type="dxa"/>
              <w:bottom w:w="0" w:type="dxa"/>
              <w:right w:w="15" w:type="dxa"/>
            </w:tcMar>
            <w:vAlign w:val="bottom"/>
            <w:hideMark/>
          </w:tcPr>
          <w:p w14:paraId="2A886A4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350.7</w:t>
            </w:r>
          </w:p>
        </w:tc>
        <w:tc>
          <w:tcPr>
            <w:tcW w:w="129" w:type="dxa"/>
            <w:shd w:val="clear" w:color="auto" w:fill="FFFFFF"/>
            <w:noWrap/>
            <w:tcMar>
              <w:top w:w="15" w:type="dxa"/>
              <w:left w:w="0" w:type="dxa"/>
              <w:bottom w:w="0" w:type="dxa"/>
              <w:right w:w="15" w:type="dxa"/>
            </w:tcMar>
            <w:vAlign w:val="bottom"/>
            <w:hideMark/>
          </w:tcPr>
          <w:p w14:paraId="4E62CE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8" w:type="dxa"/>
            <w:shd w:val="clear" w:color="auto" w:fill="FFFFFF"/>
            <w:tcMar>
              <w:top w:w="15" w:type="dxa"/>
              <w:left w:w="0" w:type="dxa"/>
              <w:bottom w:w="0" w:type="dxa"/>
              <w:right w:w="15" w:type="dxa"/>
            </w:tcMar>
            <w:vAlign w:val="bottom"/>
            <w:hideMark/>
          </w:tcPr>
          <w:p w14:paraId="3F8AD71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tcBorders>
              <w:bottom w:val="single" w:sz="6" w:space="0" w:color="000000"/>
            </w:tcBorders>
            <w:shd w:val="clear" w:color="auto" w:fill="FFFFFF"/>
            <w:noWrap/>
            <w:tcMar>
              <w:top w:w="15" w:type="dxa"/>
              <w:left w:w="0" w:type="dxa"/>
              <w:bottom w:w="0" w:type="dxa"/>
              <w:right w:w="15" w:type="dxa"/>
            </w:tcMar>
            <w:vAlign w:val="bottom"/>
            <w:hideMark/>
          </w:tcPr>
          <w:p w14:paraId="4C6AD7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0" w:type="dxa"/>
            <w:tcBorders>
              <w:bottom w:val="single" w:sz="6" w:space="0" w:color="000000"/>
            </w:tcBorders>
            <w:shd w:val="clear" w:color="auto" w:fill="FFFFFF"/>
            <w:noWrap/>
            <w:tcMar>
              <w:top w:w="15" w:type="dxa"/>
              <w:left w:w="0" w:type="dxa"/>
              <w:bottom w:w="0" w:type="dxa"/>
              <w:right w:w="15" w:type="dxa"/>
            </w:tcMar>
            <w:vAlign w:val="bottom"/>
            <w:hideMark/>
          </w:tcPr>
          <w:p w14:paraId="39E338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321.2</w:t>
            </w:r>
          </w:p>
        </w:tc>
        <w:tc>
          <w:tcPr>
            <w:tcW w:w="129" w:type="dxa"/>
            <w:shd w:val="clear" w:color="auto" w:fill="FFFFFF"/>
            <w:noWrap/>
            <w:tcMar>
              <w:top w:w="15" w:type="dxa"/>
              <w:left w:w="0" w:type="dxa"/>
              <w:bottom w:w="0" w:type="dxa"/>
              <w:right w:w="15" w:type="dxa"/>
            </w:tcMar>
            <w:vAlign w:val="bottom"/>
            <w:hideMark/>
          </w:tcPr>
          <w:p w14:paraId="5CFEC4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FEBC212" w14:textId="77777777" w:rsidTr="00AC4931">
        <w:tc>
          <w:tcPr>
            <w:tcW w:w="9604" w:type="dxa"/>
            <w:shd w:val="clear" w:color="auto" w:fill="CFF0FC"/>
            <w:tcMar>
              <w:top w:w="15" w:type="dxa"/>
              <w:left w:w="0" w:type="dxa"/>
              <w:bottom w:w="0" w:type="dxa"/>
              <w:right w:w="15" w:type="dxa"/>
            </w:tcMar>
            <w:hideMark/>
          </w:tcPr>
          <w:p w14:paraId="65A748B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18" w:type="dxa"/>
            <w:shd w:val="clear" w:color="auto" w:fill="CFF0FC"/>
            <w:tcMar>
              <w:top w:w="15" w:type="dxa"/>
              <w:left w:w="0" w:type="dxa"/>
              <w:bottom w:w="0" w:type="dxa"/>
              <w:right w:w="15" w:type="dxa"/>
            </w:tcMar>
            <w:vAlign w:val="bottom"/>
            <w:hideMark/>
          </w:tcPr>
          <w:p w14:paraId="5D9EC3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EC9242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57BA50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457.4</w:t>
            </w:r>
          </w:p>
        </w:tc>
        <w:tc>
          <w:tcPr>
            <w:tcW w:w="129" w:type="dxa"/>
            <w:shd w:val="clear" w:color="auto" w:fill="CFF0FC"/>
            <w:noWrap/>
            <w:tcMar>
              <w:top w:w="15" w:type="dxa"/>
              <w:left w:w="0" w:type="dxa"/>
              <w:bottom w:w="0" w:type="dxa"/>
              <w:right w:w="15" w:type="dxa"/>
            </w:tcMar>
            <w:vAlign w:val="bottom"/>
            <w:hideMark/>
          </w:tcPr>
          <w:p w14:paraId="23761F3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8" w:type="dxa"/>
            <w:shd w:val="clear" w:color="auto" w:fill="CFF0FC"/>
            <w:tcMar>
              <w:top w:w="15" w:type="dxa"/>
              <w:left w:w="0" w:type="dxa"/>
              <w:bottom w:w="0" w:type="dxa"/>
              <w:right w:w="15" w:type="dxa"/>
            </w:tcMar>
            <w:vAlign w:val="bottom"/>
            <w:hideMark/>
          </w:tcPr>
          <w:p w14:paraId="05981A3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7332B7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116580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412.5</w:t>
            </w:r>
          </w:p>
        </w:tc>
        <w:tc>
          <w:tcPr>
            <w:tcW w:w="129" w:type="dxa"/>
            <w:shd w:val="clear" w:color="auto" w:fill="CFF0FC"/>
            <w:noWrap/>
            <w:tcMar>
              <w:top w:w="15" w:type="dxa"/>
              <w:left w:w="0" w:type="dxa"/>
              <w:bottom w:w="0" w:type="dxa"/>
              <w:right w:w="15" w:type="dxa"/>
            </w:tcMar>
            <w:vAlign w:val="bottom"/>
            <w:hideMark/>
          </w:tcPr>
          <w:p w14:paraId="113B02EC"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3280F811"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18B9819D"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83</w:t>
      </w:r>
    </w:p>
    <w:p w14:paraId="1FAE2AE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7B14CC3"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7DADB6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2202DAD"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86B6B03">
          <v:rect id="_x0000_i1110" style="width:0;height:1.5pt" o:hralign="center" o:hrstd="t" o:hrnoshade="t" o:hr="t" fillcolor="black" stroked="f"/>
        </w:pict>
      </w:r>
    </w:p>
    <w:p w14:paraId="37851A38"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84B9E0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7FB2C0B"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9D57B3C" w14:textId="77777777" w:rsidR="00AC4931" w:rsidRPr="00AC4931" w:rsidRDefault="00AC4931" w:rsidP="00AC4931">
      <w:pPr>
        <w:widowControl/>
        <w:jc w:val="left"/>
        <w:rPr>
          <w:rFonts w:ascii="Times New Roman" w:eastAsia="宋体" w:hAnsi="Times New Roman" w:cs="Times New Roman" w:hint="eastAsia"/>
          <w:kern w:val="0"/>
          <w:sz w:val="22"/>
        </w:rPr>
      </w:pPr>
      <w:r w:rsidRPr="00AC4931">
        <w:rPr>
          <w:rFonts w:ascii="Times New Roman" w:eastAsia="宋体" w:hAnsi="Times New Roman" w:cs="Times New Roman"/>
          <w:kern w:val="0"/>
          <w:sz w:val="22"/>
        </w:rPr>
        <w:t> </w:t>
      </w:r>
    </w:p>
    <w:p w14:paraId="6DE59372"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fair value measurement level within the fair value hierarchy is based on the lowest level of any input that is significant to the fair value measurement. Certain assets that are measured at fair value using the NAV per share (or its equivalent) practical expedient have not been classified in the fair value hierarchy. Plan assets not measured using the NAV are classified as Level 2 in the table above. Plan assets measured using the NAV mainly relate to the U.S. defined benefit pension plans and are separately disclosed as Common collective trusts below the Level 2 assets in the table above.</w:t>
      </w:r>
    </w:p>
    <w:p w14:paraId="1B5676C6"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estimated future benefit payments for the pension benefits reflect expected future service, as appropriate. The amount of benefit payments in a given year may vary from the projected amount, especially for the U.S. plan since historically this plan pays the majority of benefits as a lump sum, where the lump sum amounts vary with market interest rates.</w:t>
      </w:r>
    </w:p>
    <w:p w14:paraId="5F17553B"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4430" w:type="dxa"/>
        <w:tblCellMar>
          <w:left w:w="0" w:type="dxa"/>
          <w:right w:w="0" w:type="dxa"/>
        </w:tblCellMar>
        <w:tblLook w:val="04A0" w:firstRow="1" w:lastRow="0" w:firstColumn="1" w:lastColumn="0" w:noHBand="0" w:noVBand="1"/>
      </w:tblPr>
      <w:tblGrid>
        <w:gridCol w:w="9701"/>
        <w:gridCol w:w="220"/>
        <w:gridCol w:w="138"/>
        <w:gridCol w:w="1868"/>
        <w:gridCol w:w="138"/>
        <w:gridCol w:w="220"/>
        <w:gridCol w:w="138"/>
        <w:gridCol w:w="1868"/>
        <w:gridCol w:w="139"/>
      </w:tblGrid>
      <w:tr w:rsidR="00AC4931" w:rsidRPr="00AC4931" w14:paraId="0AD9FF60" w14:textId="77777777" w:rsidTr="00AC4931">
        <w:tc>
          <w:tcPr>
            <w:tcW w:w="9652" w:type="dxa"/>
            <w:shd w:val="clear" w:color="auto" w:fill="FFFFFF"/>
            <w:tcMar>
              <w:top w:w="15" w:type="dxa"/>
              <w:left w:w="0" w:type="dxa"/>
              <w:bottom w:w="0" w:type="dxa"/>
              <w:right w:w="15" w:type="dxa"/>
            </w:tcMar>
            <w:vAlign w:val="bottom"/>
            <w:hideMark/>
          </w:tcPr>
          <w:p w14:paraId="1D2DA75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PENSION BENEFITS EXPECTED PAYMENTS</w:t>
            </w:r>
            <w:r w:rsidRPr="00AC4931">
              <w:rPr>
                <w:rFonts w:ascii="Arial" w:eastAsia="宋体" w:hAnsi="Arial" w:cs="Arial"/>
                <w:color w:val="000000"/>
                <w:kern w:val="0"/>
                <w:sz w:val="16"/>
                <w:szCs w:val="16"/>
                <w:u w:val="single"/>
              </w:rPr>
              <w:t> (dollars in millions)</w:t>
            </w:r>
          </w:p>
        </w:tc>
        <w:tc>
          <w:tcPr>
            <w:tcW w:w="219" w:type="dxa"/>
            <w:shd w:val="clear" w:color="auto" w:fill="FFFFFF"/>
            <w:tcMar>
              <w:top w:w="15" w:type="dxa"/>
              <w:left w:w="0" w:type="dxa"/>
              <w:bottom w:w="0" w:type="dxa"/>
              <w:right w:w="15" w:type="dxa"/>
            </w:tcMar>
            <w:vAlign w:val="bottom"/>
            <w:hideMark/>
          </w:tcPr>
          <w:p w14:paraId="7B7914C2"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88" w:type="dxa"/>
            <w:gridSpan w:val="2"/>
            <w:tcBorders>
              <w:bottom w:val="single" w:sz="6" w:space="0" w:color="000000"/>
            </w:tcBorders>
            <w:shd w:val="clear" w:color="auto" w:fill="FFFFFF"/>
            <w:tcMar>
              <w:top w:w="15" w:type="dxa"/>
              <w:left w:w="0" w:type="dxa"/>
              <w:bottom w:w="0" w:type="dxa"/>
              <w:right w:w="15" w:type="dxa"/>
            </w:tcMar>
            <w:vAlign w:val="bottom"/>
            <w:hideMark/>
          </w:tcPr>
          <w:p w14:paraId="6F1E4F1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tc>
        <w:tc>
          <w:tcPr>
            <w:tcW w:w="129" w:type="dxa"/>
            <w:shd w:val="clear" w:color="auto" w:fill="FFFFFF"/>
            <w:noWrap/>
            <w:tcMar>
              <w:top w:w="15" w:type="dxa"/>
              <w:left w:w="0" w:type="dxa"/>
              <w:bottom w:w="0" w:type="dxa"/>
              <w:right w:w="15" w:type="dxa"/>
            </w:tcMar>
            <w:vAlign w:val="bottom"/>
            <w:hideMark/>
          </w:tcPr>
          <w:p w14:paraId="78CDD01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9" w:type="dxa"/>
            <w:shd w:val="clear" w:color="auto" w:fill="FFFFFF"/>
            <w:tcMar>
              <w:top w:w="15" w:type="dxa"/>
              <w:left w:w="0" w:type="dxa"/>
              <w:bottom w:w="0" w:type="dxa"/>
              <w:right w:w="15" w:type="dxa"/>
            </w:tcMar>
            <w:vAlign w:val="bottom"/>
            <w:hideMark/>
          </w:tcPr>
          <w:p w14:paraId="0AB50A5B" w14:textId="77777777" w:rsidR="00AC4931" w:rsidRPr="00AC4931" w:rsidRDefault="00AC4931" w:rsidP="00AC4931">
            <w:pPr>
              <w:widowControl/>
              <w:jc w:val="righ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88" w:type="dxa"/>
            <w:gridSpan w:val="2"/>
            <w:tcBorders>
              <w:bottom w:val="single" w:sz="6" w:space="0" w:color="000000"/>
            </w:tcBorders>
            <w:shd w:val="clear" w:color="auto" w:fill="FFFFFF"/>
            <w:tcMar>
              <w:top w:w="15" w:type="dxa"/>
              <w:left w:w="0" w:type="dxa"/>
              <w:bottom w:w="0" w:type="dxa"/>
              <w:right w:w="15" w:type="dxa"/>
            </w:tcMar>
            <w:vAlign w:val="bottom"/>
            <w:hideMark/>
          </w:tcPr>
          <w:p w14:paraId="5E5AEC3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Non-U.S.</w:t>
            </w:r>
          </w:p>
        </w:tc>
        <w:tc>
          <w:tcPr>
            <w:tcW w:w="130" w:type="dxa"/>
            <w:shd w:val="clear" w:color="auto" w:fill="FFFFFF"/>
            <w:noWrap/>
            <w:tcMar>
              <w:top w:w="15" w:type="dxa"/>
              <w:left w:w="0" w:type="dxa"/>
              <w:bottom w:w="0" w:type="dxa"/>
              <w:right w:w="15" w:type="dxa"/>
            </w:tcMar>
            <w:vAlign w:val="bottom"/>
            <w:hideMark/>
          </w:tcPr>
          <w:p w14:paraId="612606A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88468EA" w14:textId="77777777" w:rsidTr="00AC4931">
        <w:tc>
          <w:tcPr>
            <w:tcW w:w="9652" w:type="dxa"/>
            <w:shd w:val="clear" w:color="auto" w:fill="CFF0FC"/>
            <w:tcMar>
              <w:top w:w="15" w:type="dxa"/>
              <w:left w:w="0" w:type="dxa"/>
              <w:bottom w:w="0" w:type="dxa"/>
              <w:right w:w="15" w:type="dxa"/>
            </w:tcMar>
            <w:hideMark/>
          </w:tcPr>
          <w:p w14:paraId="6826BD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2021</w:t>
            </w:r>
          </w:p>
        </w:tc>
        <w:tc>
          <w:tcPr>
            <w:tcW w:w="219" w:type="dxa"/>
            <w:shd w:val="clear" w:color="auto" w:fill="CFF0FC"/>
            <w:tcMar>
              <w:top w:w="15" w:type="dxa"/>
              <w:left w:w="0" w:type="dxa"/>
              <w:bottom w:w="0" w:type="dxa"/>
              <w:right w:w="15" w:type="dxa"/>
            </w:tcMar>
            <w:vAlign w:val="bottom"/>
            <w:hideMark/>
          </w:tcPr>
          <w:p w14:paraId="312E5D0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5AB3CB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3E86844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tc>
        <w:tc>
          <w:tcPr>
            <w:tcW w:w="129" w:type="dxa"/>
            <w:shd w:val="clear" w:color="auto" w:fill="CFF0FC"/>
            <w:noWrap/>
            <w:tcMar>
              <w:top w:w="15" w:type="dxa"/>
              <w:left w:w="0" w:type="dxa"/>
              <w:bottom w:w="0" w:type="dxa"/>
              <w:right w:w="15" w:type="dxa"/>
            </w:tcMar>
            <w:vAlign w:val="bottom"/>
            <w:hideMark/>
          </w:tcPr>
          <w:p w14:paraId="498E10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6A1273B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60EF09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4D5041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w:t>
            </w:r>
          </w:p>
        </w:tc>
        <w:tc>
          <w:tcPr>
            <w:tcW w:w="130" w:type="dxa"/>
            <w:shd w:val="clear" w:color="auto" w:fill="CFF0FC"/>
            <w:noWrap/>
            <w:tcMar>
              <w:top w:w="15" w:type="dxa"/>
              <w:left w:w="0" w:type="dxa"/>
              <w:bottom w:w="0" w:type="dxa"/>
              <w:right w:w="15" w:type="dxa"/>
            </w:tcMar>
            <w:vAlign w:val="bottom"/>
            <w:hideMark/>
          </w:tcPr>
          <w:p w14:paraId="1ADB42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4098B2C" w14:textId="77777777" w:rsidTr="00AC4931">
        <w:tc>
          <w:tcPr>
            <w:tcW w:w="9652" w:type="dxa"/>
            <w:shd w:val="clear" w:color="auto" w:fill="FFFFFF"/>
            <w:tcMar>
              <w:top w:w="15" w:type="dxa"/>
              <w:left w:w="0" w:type="dxa"/>
              <w:bottom w:w="0" w:type="dxa"/>
              <w:right w:w="15" w:type="dxa"/>
            </w:tcMar>
            <w:hideMark/>
          </w:tcPr>
          <w:p w14:paraId="3AB9C8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2022</w:t>
            </w:r>
          </w:p>
        </w:tc>
        <w:tc>
          <w:tcPr>
            <w:tcW w:w="219" w:type="dxa"/>
            <w:shd w:val="clear" w:color="auto" w:fill="FFFFFF"/>
            <w:tcMar>
              <w:top w:w="15" w:type="dxa"/>
              <w:left w:w="0" w:type="dxa"/>
              <w:bottom w:w="0" w:type="dxa"/>
              <w:right w:w="15" w:type="dxa"/>
            </w:tcMar>
            <w:vAlign w:val="bottom"/>
            <w:hideMark/>
          </w:tcPr>
          <w:p w14:paraId="043C7B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1F6A3D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49BEEB3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w:t>
            </w:r>
          </w:p>
        </w:tc>
        <w:tc>
          <w:tcPr>
            <w:tcW w:w="129" w:type="dxa"/>
            <w:shd w:val="clear" w:color="auto" w:fill="FFFFFF"/>
            <w:noWrap/>
            <w:tcMar>
              <w:top w:w="15" w:type="dxa"/>
              <w:left w:w="0" w:type="dxa"/>
              <w:bottom w:w="0" w:type="dxa"/>
              <w:right w:w="15" w:type="dxa"/>
            </w:tcMar>
            <w:vAlign w:val="bottom"/>
            <w:hideMark/>
          </w:tcPr>
          <w:p w14:paraId="3C52B6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4C27DA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2FF33B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2130F97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w:t>
            </w:r>
          </w:p>
        </w:tc>
        <w:tc>
          <w:tcPr>
            <w:tcW w:w="130" w:type="dxa"/>
            <w:shd w:val="clear" w:color="auto" w:fill="FFFFFF"/>
            <w:noWrap/>
            <w:tcMar>
              <w:top w:w="15" w:type="dxa"/>
              <w:left w:w="0" w:type="dxa"/>
              <w:bottom w:w="0" w:type="dxa"/>
              <w:right w:w="15" w:type="dxa"/>
            </w:tcMar>
            <w:vAlign w:val="bottom"/>
            <w:hideMark/>
          </w:tcPr>
          <w:p w14:paraId="6EDE5F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280B82A" w14:textId="77777777" w:rsidTr="00AC4931">
        <w:tc>
          <w:tcPr>
            <w:tcW w:w="9652" w:type="dxa"/>
            <w:shd w:val="clear" w:color="auto" w:fill="CFF0FC"/>
            <w:tcMar>
              <w:top w:w="15" w:type="dxa"/>
              <w:left w:w="0" w:type="dxa"/>
              <w:bottom w:w="0" w:type="dxa"/>
              <w:right w:w="15" w:type="dxa"/>
            </w:tcMar>
            <w:hideMark/>
          </w:tcPr>
          <w:p w14:paraId="5D2D05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2023</w:t>
            </w:r>
          </w:p>
        </w:tc>
        <w:tc>
          <w:tcPr>
            <w:tcW w:w="219" w:type="dxa"/>
            <w:shd w:val="clear" w:color="auto" w:fill="CFF0FC"/>
            <w:tcMar>
              <w:top w:w="15" w:type="dxa"/>
              <w:left w:w="0" w:type="dxa"/>
              <w:bottom w:w="0" w:type="dxa"/>
              <w:right w:w="15" w:type="dxa"/>
            </w:tcMar>
            <w:vAlign w:val="bottom"/>
            <w:hideMark/>
          </w:tcPr>
          <w:p w14:paraId="233EBC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38CD67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3AFAE01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129" w:type="dxa"/>
            <w:shd w:val="clear" w:color="auto" w:fill="CFF0FC"/>
            <w:noWrap/>
            <w:tcMar>
              <w:top w:w="15" w:type="dxa"/>
              <w:left w:w="0" w:type="dxa"/>
              <w:bottom w:w="0" w:type="dxa"/>
              <w:right w:w="15" w:type="dxa"/>
            </w:tcMar>
            <w:vAlign w:val="bottom"/>
            <w:hideMark/>
          </w:tcPr>
          <w:p w14:paraId="4573B0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0248845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3309A7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1476D45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w:t>
            </w:r>
          </w:p>
        </w:tc>
        <w:tc>
          <w:tcPr>
            <w:tcW w:w="130" w:type="dxa"/>
            <w:shd w:val="clear" w:color="auto" w:fill="CFF0FC"/>
            <w:noWrap/>
            <w:tcMar>
              <w:top w:w="15" w:type="dxa"/>
              <w:left w:w="0" w:type="dxa"/>
              <w:bottom w:w="0" w:type="dxa"/>
              <w:right w:w="15" w:type="dxa"/>
            </w:tcMar>
            <w:vAlign w:val="bottom"/>
            <w:hideMark/>
          </w:tcPr>
          <w:p w14:paraId="2DBCE3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F14EEEB" w14:textId="77777777" w:rsidTr="00AC4931">
        <w:tc>
          <w:tcPr>
            <w:tcW w:w="9652" w:type="dxa"/>
            <w:shd w:val="clear" w:color="auto" w:fill="FFFFFF"/>
            <w:tcMar>
              <w:top w:w="15" w:type="dxa"/>
              <w:left w:w="0" w:type="dxa"/>
              <w:bottom w:w="0" w:type="dxa"/>
              <w:right w:w="15" w:type="dxa"/>
            </w:tcMar>
            <w:hideMark/>
          </w:tcPr>
          <w:p w14:paraId="5F25FE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2024</w:t>
            </w:r>
          </w:p>
        </w:tc>
        <w:tc>
          <w:tcPr>
            <w:tcW w:w="219" w:type="dxa"/>
            <w:shd w:val="clear" w:color="auto" w:fill="FFFFFF"/>
            <w:tcMar>
              <w:top w:w="15" w:type="dxa"/>
              <w:left w:w="0" w:type="dxa"/>
              <w:bottom w:w="0" w:type="dxa"/>
              <w:right w:w="15" w:type="dxa"/>
            </w:tcMar>
            <w:vAlign w:val="bottom"/>
            <w:hideMark/>
          </w:tcPr>
          <w:p w14:paraId="4FA217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186496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65EBA8F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w:t>
            </w:r>
          </w:p>
        </w:tc>
        <w:tc>
          <w:tcPr>
            <w:tcW w:w="129" w:type="dxa"/>
            <w:shd w:val="clear" w:color="auto" w:fill="FFFFFF"/>
            <w:noWrap/>
            <w:tcMar>
              <w:top w:w="15" w:type="dxa"/>
              <w:left w:w="0" w:type="dxa"/>
              <w:bottom w:w="0" w:type="dxa"/>
              <w:right w:w="15" w:type="dxa"/>
            </w:tcMar>
            <w:vAlign w:val="bottom"/>
            <w:hideMark/>
          </w:tcPr>
          <w:p w14:paraId="1CBCFB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18FA98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60B452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00D27D0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w:t>
            </w:r>
          </w:p>
        </w:tc>
        <w:tc>
          <w:tcPr>
            <w:tcW w:w="130" w:type="dxa"/>
            <w:shd w:val="clear" w:color="auto" w:fill="FFFFFF"/>
            <w:noWrap/>
            <w:tcMar>
              <w:top w:w="15" w:type="dxa"/>
              <w:left w:w="0" w:type="dxa"/>
              <w:bottom w:w="0" w:type="dxa"/>
              <w:right w:w="15" w:type="dxa"/>
            </w:tcMar>
            <w:vAlign w:val="bottom"/>
            <w:hideMark/>
          </w:tcPr>
          <w:p w14:paraId="261217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EB3AE5A" w14:textId="77777777" w:rsidTr="00AC4931">
        <w:tc>
          <w:tcPr>
            <w:tcW w:w="9652" w:type="dxa"/>
            <w:shd w:val="clear" w:color="auto" w:fill="CFF0FC"/>
            <w:tcMar>
              <w:top w:w="15" w:type="dxa"/>
              <w:left w:w="0" w:type="dxa"/>
              <w:bottom w:w="0" w:type="dxa"/>
              <w:right w:w="15" w:type="dxa"/>
            </w:tcMar>
            <w:hideMark/>
          </w:tcPr>
          <w:p w14:paraId="011E7B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2025</w:t>
            </w:r>
          </w:p>
        </w:tc>
        <w:tc>
          <w:tcPr>
            <w:tcW w:w="219" w:type="dxa"/>
            <w:shd w:val="clear" w:color="auto" w:fill="CFF0FC"/>
            <w:tcMar>
              <w:top w:w="15" w:type="dxa"/>
              <w:left w:w="0" w:type="dxa"/>
              <w:bottom w:w="0" w:type="dxa"/>
              <w:right w:w="15" w:type="dxa"/>
            </w:tcMar>
            <w:vAlign w:val="bottom"/>
            <w:hideMark/>
          </w:tcPr>
          <w:p w14:paraId="097CB82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10B116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74A8040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w:t>
            </w:r>
          </w:p>
        </w:tc>
        <w:tc>
          <w:tcPr>
            <w:tcW w:w="129" w:type="dxa"/>
            <w:shd w:val="clear" w:color="auto" w:fill="CFF0FC"/>
            <w:noWrap/>
            <w:tcMar>
              <w:top w:w="15" w:type="dxa"/>
              <w:left w:w="0" w:type="dxa"/>
              <w:bottom w:w="0" w:type="dxa"/>
              <w:right w:w="15" w:type="dxa"/>
            </w:tcMar>
            <w:vAlign w:val="bottom"/>
            <w:hideMark/>
          </w:tcPr>
          <w:p w14:paraId="6CAF84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24862A2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4A0BDB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43FF2C0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w:t>
            </w:r>
          </w:p>
        </w:tc>
        <w:tc>
          <w:tcPr>
            <w:tcW w:w="130" w:type="dxa"/>
            <w:shd w:val="clear" w:color="auto" w:fill="CFF0FC"/>
            <w:noWrap/>
            <w:tcMar>
              <w:top w:w="15" w:type="dxa"/>
              <w:left w:w="0" w:type="dxa"/>
              <w:bottom w:w="0" w:type="dxa"/>
              <w:right w:w="15" w:type="dxa"/>
            </w:tcMar>
            <w:vAlign w:val="bottom"/>
            <w:hideMark/>
          </w:tcPr>
          <w:p w14:paraId="2F496B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EEC5B56" w14:textId="77777777" w:rsidTr="00AC4931">
        <w:tc>
          <w:tcPr>
            <w:tcW w:w="9652" w:type="dxa"/>
            <w:shd w:val="clear" w:color="auto" w:fill="FFFFFF"/>
            <w:tcMar>
              <w:top w:w="15" w:type="dxa"/>
              <w:left w:w="0" w:type="dxa"/>
              <w:bottom w:w="0" w:type="dxa"/>
              <w:right w:w="15" w:type="dxa"/>
            </w:tcMar>
            <w:hideMark/>
          </w:tcPr>
          <w:p w14:paraId="3E346D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Years 2026-2030</w:t>
            </w:r>
          </w:p>
        </w:tc>
        <w:tc>
          <w:tcPr>
            <w:tcW w:w="219" w:type="dxa"/>
            <w:shd w:val="clear" w:color="auto" w:fill="FFFFFF"/>
            <w:tcMar>
              <w:top w:w="15" w:type="dxa"/>
              <w:left w:w="0" w:type="dxa"/>
              <w:bottom w:w="0" w:type="dxa"/>
              <w:right w:w="15" w:type="dxa"/>
            </w:tcMar>
            <w:vAlign w:val="bottom"/>
            <w:hideMark/>
          </w:tcPr>
          <w:p w14:paraId="7C5A2AF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2A2FCA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06804E6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131</w:t>
            </w:r>
          </w:p>
        </w:tc>
        <w:tc>
          <w:tcPr>
            <w:tcW w:w="129" w:type="dxa"/>
            <w:shd w:val="clear" w:color="auto" w:fill="FFFFFF"/>
            <w:noWrap/>
            <w:tcMar>
              <w:top w:w="15" w:type="dxa"/>
              <w:left w:w="0" w:type="dxa"/>
              <w:bottom w:w="0" w:type="dxa"/>
              <w:right w:w="15" w:type="dxa"/>
            </w:tcMar>
            <w:vAlign w:val="bottom"/>
            <w:hideMark/>
          </w:tcPr>
          <w:p w14:paraId="034CBE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323AE27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180EA1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046543D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76</w:t>
            </w:r>
          </w:p>
        </w:tc>
        <w:tc>
          <w:tcPr>
            <w:tcW w:w="130" w:type="dxa"/>
            <w:shd w:val="clear" w:color="auto" w:fill="FFFFFF"/>
            <w:noWrap/>
            <w:tcMar>
              <w:top w:w="15" w:type="dxa"/>
              <w:left w:w="0" w:type="dxa"/>
              <w:bottom w:w="0" w:type="dxa"/>
              <w:right w:w="15" w:type="dxa"/>
            </w:tcMar>
            <w:vAlign w:val="bottom"/>
            <w:hideMark/>
          </w:tcPr>
          <w:p w14:paraId="3BE8D97D"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7C78E4A8"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44E8E8F5" w14:textId="77777777" w:rsidR="00AC4931" w:rsidRPr="00AC4931" w:rsidRDefault="00AC4931" w:rsidP="00AC4931">
      <w:pPr>
        <w:widowControl/>
        <w:spacing w:before="100"/>
        <w:rPr>
          <w:rFonts w:ascii="Arial" w:eastAsia="宋体" w:hAnsi="Arial" w:cs="Arial"/>
          <w:b/>
          <w:bCs/>
          <w:kern w:val="0"/>
          <w:sz w:val="18"/>
          <w:szCs w:val="18"/>
        </w:rPr>
      </w:pPr>
      <w:r w:rsidRPr="00AC4931">
        <w:rPr>
          <w:rFonts w:ascii="Arial" w:eastAsia="宋体" w:hAnsi="Arial" w:cs="Arial"/>
          <w:b/>
          <w:bCs/>
          <w:kern w:val="0"/>
          <w:sz w:val="18"/>
          <w:szCs w:val="18"/>
        </w:rPr>
        <w:t>POSTRETIREMENT BENEFITS OTHER THAN PENSIONS</w:t>
      </w:r>
    </w:p>
    <w:p w14:paraId="363DD672"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Company currently provides postretirement health care and life insurance benefits to most of its U.S. retirees.</w:t>
      </w:r>
    </w:p>
    <w:p w14:paraId="7D58AC47"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general, the terms of the plans provide that U.S. employees who retire after attaining age 55, with 15 years of service (5 years before December 31, 2006), are reimbursed for qualified medical expenses up to a maximum annual amount. Spouses for certain retirees are also eligible for reimbursement under the plan. Life insurance coverage is available for those who elect coverage under the retiree health plan. During 2014, the plan was amended to move from a self-insured model where employees were charged an estimated premium based on anticipated plan expenses for continued coverage, to a plan where retirees are provided a fixed contribution to a Health Retirement Account (HRA). Retirees can use the HRA funds to purchase insurance through a private exchange. Employees hired on or after January 1, 2004 are not eligible to participate in the plan.</w:t>
      </w:r>
    </w:p>
    <w:p w14:paraId="4DD609F7"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CHANGES IN BENEFIT OBLIGATION FOR POSTRETIREMENT BENEFIT PLANS OTHER THAN PENSIONS AS OF DECEMBER 31</w:t>
      </w:r>
    </w:p>
    <w:p w14:paraId="27493168"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4430" w:type="dxa"/>
        <w:tblCellMar>
          <w:left w:w="0" w:type="dxa"/>
          <w:right w:w="0" w:type="dxa"/>
        </w:tblCellMar>
        <w:tblLook w:val="04A0" w:firstRow="1" w:lastRow="0" w:firstColumn="1" w:lastColumn="0" w:noHBand="0" w:noVBand="1"/>
      </w:tblPr>
      <w:tblGrid>
        <w:gridCol w:w="9701"/>
        <w:gridCol w:w="220"/>
        <w:gridCol w:w="138"/>
        <w:gridCol w:w="1868"/>
        <w:gridCol w:w="138"/>
        <w:gridCol w:w="220"/>
        <w:gridCol w:w="138"/>
        <w:gridCol w:w="1868"/>
        <w:gridCol w:w="139"/>
      </w:tblGrid>
      <w:tr w:rsidR="00AC4931" w:rsidRPr="00AC4931" w14:paraId="62D0854A" w14:textId="77777777" w:rsidTr="00AC4931">
        <w:tc>
          <w:tcPr>
            <w:tcW w:w="9652" w:type="dxa"/>
            <w:shd w:val="clear" w:color="auto" w:fill="FFFFFF"/>
            <w:tcMar>
              <w:top w:w="15" w:type="dxa"/>
              <w:left w:w="0" w:type="dxa"/>
              <w:bottom w:w="0" w:type="dxa"/>
              <w:right w:w="15" w:type="dxa"/>
            </w:tcMar>
            <w:vAlign w:val="bottom"/>
            <w:hideMark/>
          </w:tcPr>
          <w:p w14:paraId="3DF9331B"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(Dollars in millions)</w:t>
            </w:r>
          </w:p>
        </w:tc>
        <w:tc>
          <w:tcPr>
            <w:tcW w:w="219" w:type="dxa"/>
            <w:shd w:val="clear" w:color="auto" w:fill="FFFFFF"/>
            <w:tcMar>
              <w:top w:w="15" w:type="dxa"/>
              <w:left w:w="0" w:type="dxa"/>
              <w:bottom w:w="0" w:type="dxa"/>
              <w:right w:w="15" w:type="dxa"/>
            </w:tcMar>
            <w:vAlign w:val="bottom"/>
            <w:hideMark/>
          </w:tcPr>
          <w:p w14:paraId="1C2A61D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88" w:type="dxa"/>
            <w:gridSpan w:val="2"/>
            <w:tcBorders>
              <w:bottom w:val="single" w:sz="6" w:space="0" w:color="000000"/>
            </w:tcBorders>
            <w:shd w:val="clear" w:color="auto" w:fill="FFFFFF"/>
            <w:tcMar>
              <w:top w:w="15" w:type="dxa"/>
              <w:left w:w="0" w:type="dxa"/>
              <w:bottom w:w="0" w:type="dxa"/>
              <w:right w:w="15" w:type="dxa"/>
            </w:tcMar>
            <w:vAlign w:val="bottom"/>
            <w:hideMark/>
          </w:tcPr>
          <w:p w14:paraId="20F9009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29" w:type="dxa"/>
            <w:shd w:val="clear" w:color="auto" w:fill="FFFFFF"/>
            <w:noWrap/>
            <w:tcMar>
              <w:top w:w="15" w:type="dxa"/>
              <w:left w:w="0" w:type="dxa"/>
              <w:bottom w:w="0" w:type="dxa"/>
              <w:right w:w="15" w:type="dxa"/>
            </w:tcMar>
            <w:vAlign w:val="bottom"/>
            <w:hideMark/>
          </w:tcPr>
          <w:p w14:paraId="0B98D8F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9" w:type="dxa"/>
            <w:shd w:val="clear" w:color="auto" w:fill="FFFFFF"/>
            <w:tcMar>
              <w:top w:w="15" w:type="dxa"/>
              <w:left w:w="0" w:type="dxa"/>
              <w:bottom w:w="0" w:type="dxa"/>
              <w:right w:w="15" w:type="dxa"/>
            </w:tcMar>
            <w:vAlign w:val="bottom"/>
            <w:hideMark/>
          </w:tcPr>
          <w:p w14:paraId="01C7EDA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88" w:type="dxa"/>
            <w:gridSpan w:val="2"/>
            <w:tcBorders>
              <w:bottom w:val="single" w:sz="6" w:space="0" w:color="000000"/>
            </w:tcBorders>
            <w:shd w:val="clear" w:color="auto" w:fill="FFFFFF"/>
            <w:tcMar>
              <w:top w:w="15" w:type="dxa"/>
              <w:left w:w="0" w:type="dxa"/>
              <w:bottom w:w="0" w:type="dxa"/>
              <w:right w:w="15" w:type="dxa"/>
            </w:tcMar>
            <w:vAlign w:val="bottom"/>
            <w:hideMark/>
          </w:tcPr>
          <w:p w14:paraId="6DF4A71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30" w:type="dxa"/>
            <w:shd w:val="clear" w:color="auto" w:fill="FFFFFF"/>
            <w:noWrap/>
            <w:tcMar>
              <w:top w:w="15" w:type="dxa"/>
              <w:left w:w="0" w:type="dxa"/>
              <w:bottom w:w="0" w:type="dxa"/>
              <w:right w:w="15" w:type="dxa"/>
            </w:tcMar>
            <w:vAlign w:val="bottom"/>
            <w:hideMark/>
          </w:tcPr>
          <w:p w14:paraId="5DBAD02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7F142817" w14:textId="77777777" w:rsidTr="00AC4931">
        <w:tc>
          <w:tcPr>
            <w:tcW w:w="9652" w:type="dxa"/>
            <w:shd w:val="clear" w:color="auto" w:fill="CFF0FC"/>
            <w:tcMar>
              <w:top w:w="15" w:type="dxa"/>
              <w:left w:w="0" w:type="dxa"/>
              <w:bottom w:w="0" w:type="dxa"/>
              <w:right w:w="15" w:type="dxa"/>
            </w:tcMar>
            <w:hideMark/>
          </w:tcPr>
          <w:p w14:paraId="7496644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Benefit obligation at beginning of year</w:t>
            </w:r>
          </w:p>
        </w:tc>
        <w:tc>
          <w:tcPr>
            <w:tcW w:w="219" w:type="dxa"/>
            <w:shd w:val="clear" w:color="auto" w:fill="CFF0FC"/>
            <w:tcMar>
              <w:top w:w="15" w:type="dxa"/>
              <w:left w:w="0" w:type="dxa"/>
              <w:bottom w:w="0" w:type="dxa"/>
              <w:right w:w="15" w:type="dxa"/>
            </w:tcMar>
            <w:vAlign w:val="bottom"/>
            <w:hideMark/>
          </w:tcPr>
          <w:p w14:paraId="48914C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09276BC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485F598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18.4</w:t>
            </w:r>
          </w:p>
        </w:tc>
        <w:tc>
          <w:tcPr>
            <w:tcW w:w="129" w:type="dxa"/>
            <w:shd w:val="clear" w:color="auto" w:fill="CFF0FC"/>
            <w:noWrap/>
            <w:tcMar>
              <w:top w:w="15" w:type="dxa"/>
              <w:left w:w="0" w:type="dxa"/>
              <w:bottom w:w="0" w:type="dxa"/>
              <w:right w:w="15" w:type="dxa"/>
            </w:tcMar>
            <w:vAlign w:val="bottom"/>
            <w:hideMark/>
          </w:tcPr>
          <w:p w14:paraId="0CFBA4B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2CEB75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6001A1E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39AC510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15.5</w:t>
            </w:r>
          </w:p>
        </w:tc>
        <w:tc>
          <w:tcPr>
            <w:tcW w:w="130" w:type="dxa"/>
            <w:shd w:val="clear" w:color="auto" w:fill="CFF0FC"/>
            <w:noWrap/>
            <w:tcMar>
              <w:top w:w="15" w:type="dxa"/>
              <w:left w:w="0" w:type="dxa"/>
              <w:bottom w:w="0" w:type="dxa"/>
              <w:right w:w="15" w:type="dxa"/>
            </w:tcMar>
            <w:vAlign w:val="bottom"/>
            <w:hideMark/>
          </w:tcPr>
          <w:p w14:paraId="22ADC2B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62E6BEC" w14:textId="77777777" w:rsidTr="00AC4931">
        <w:tc>
          <w:tcPr>
            <w:tcW w:w="9652" w:type="dxa"/>
            <w:shd w:val="clear" w:color="auto" w:fill="FFFFFF"/>
            <w:tcMar>
              <w:top w:w="15" w:type="dxa"/>
              <w:left w:w="0" w:type="dxa"/>
              <w:bottom w:w="0" w:type="dxa"/>
              <w:right w:w="15" w:type="dxa"/>
            </w:tcMar>
            <w:hideMark/>
          </w:tcPr>
          <w:p w14:paraId="435308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Service cost</w:t>
            </w:r>
          </w:p>
        </w:tc>
        <w:tc>
          <w:tcPr>
            <w:tcW w:w="219" w:type="dxa"/>
            <w:shd w:val="clear" w:color="auto" w:fill="FFFFFF"/>
            <w:tcMar>
              <w:top w:w="15" w:type="dxa"/>
              <w:left w:w="0" w:type="dxa"/>
              <w:bottom w:w="0" w:type="dxa"/>
              <w:right w:w="15" w:type="dxa"/>
            </w:tcMar>
            <w:vAlign w:val="bottom"/>
            <w:hideMark/>
          </w:tcPr>
          <w:p w14:paraId="6373F9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7346D5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7F88E7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29" w:type="dxa"/>
            <w:shd w:val="clear" w:color="auto" w:fill="FFFFFF"/>
            <w:noWrap/>
            <w:tcMar>
              <w:top w:w="15" w:type="dxa"/>
              <w:left w:w="0" w:type="dxa"/>
              <w:bottom w:w="0" w:type="dxa"/>
              <w:right w:w="15" w:type="dxa"/>
            </w:tcMar>
            <w:vAlign w:val="bottom"/>
            <w:hideMark/>
          </w:tcPr>
          <w:p w14:paraId="422982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4D84BD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786659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097CA0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30" w:type="dxa"/>
            <w:shd w:val="clear" w:color="auto" w:fill="FFFFFF"/>
            <w:noWrap/>
            <w:tcMar>
              <w:top w:w="15" w:type="dxa"/>
              <w:left w:w="0" w:type="dxa"/>
              <w:bottom w:w="0" w:type="dxa"/>
              <w:right w:w="15" w:type="dxa"/>
            </w:tcMar>
            <w:vAlign w:val="bottom"/>
            <w:hideMark/>
          </w:tcPr>
          <w:p w14:paraId="0D1BFF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8085AFE" w14:textId="77777777" w:rsidTr="00AC4931">
        <w:tc>
          <w:tcPr>
            <w:tcW w:w="9652" w:type="dxa"/>
            <w:shd w:val="clear" w:color="auto" w:fill="CFF0FC"/>
            <w:tcMar>
              <w:top w:w="15" w:type="dxa"/>
              <w:left w:w="0" w:type="dxa"/>
              <w:bottom w:w="0" w:type="dxa"/>
              <w:right w:w="15" w:type="dxa"/>
            </w:tcMar>
            <w:hideMark/>
          </w:tcPr>
          <w:p w14:paraId="3DEEFF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Interest cost</w:t>
            </w:r>
          </w:p>
        </w:tc>
        <w:tc>
          <w:tcPr>
            <w:tcW w:w="219" w:type="dxa"/>
            <w:shd w:val="clear" w:color="auto" w:fill="CFF0FC"/>
            <w:tcMar>
              <w:top w:w="15" w:type="dxa"/>
              <w:left w:w="0" w:type="dxa"/>
              <w:bottom w:w="0" w:type="dxa"/>
              <w:right w:w="15" w:type="dxa"/>
            </w:tcMar>
            <w:vAlign w:val="bottom"/>
            <w:hideMark/>
          </w:tcPr>
          <w:p w14:paraId="14BB3F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6E86EB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490A24C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29" w:type="dxa"/>
            <w:shd w:val="clear" w:color="auto" w:fill="CFF0FC"/>
            <w:noWrap/>
            <w:tcMar>
              <w:top w:w="15" w:type="dxa"/>
              <w:left w:w="0" w:type="dxa"/>
              <w:bottom w:w="0" w:type="dxa"/>
              <w:right w:w="15" w:type="dxa"/>
            </w:tcMar>
            <w:vAlign w:val="bottom"/>
            <w:hideMark/>
          </w:tcPr>
          <w:p w14:paraId="2532B7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25C97E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3DFBCF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0062EB0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30" w:type="dxa"/>
            <w:shd w:val="clear" w:color="auto" w:fill="CFF0FC"/>
            <w:noWrap/>
            <w:tcMar>
              <w:top w:w="15" w:type="dxa"/>
              <w:left w:w="0" w:type="dxa"/>
              <w:bottom w:w="0" w:type="dxa"/>
              <w:right w:w="15" w:type="dxa"/>
            </w:tcMar>
            <w:vAlign w:val="bottom"/>
            <w:hideMark/>
          </w:tcPr>
          <w:p w14:paraId="6DDED1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E4C5F65" w14:textId="77777777" w:rsidTr="00AC4931">
        <w:tc>
          <w:tcPr>
            <w:tcW w:w="9652" w:type="dxa"/>
            <w:shd w:val="clear" w:color="auto" w:fill="FFFFFF"/>
            <w:tcMar>
              <w:top w:w="15" w:type="dxa"/>
              <w:left w:w="0" w:type="dxa"/>
              <w:bottom w:w="0" w:type="dxa"/>
              <w:right w:w="15" w:type="dxa"/>
            </w:tcMar>
            <w:hideMark/>
          </w:tcPr>
          <w:p w14:paraId="139778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Actuarial loss (gain)</w:t>
            </w:r>
          </w:p>
        </w:tc>
        <w:tc>
          <w:tcPr>
            <w:tcW w:w="219" w:type="dxa"/>
            <w:shd w:val="clear" w:color="auto" w:fill="FFFFFF"/>
            <w:tcMar>
              <w:top w:w="15" w:type="dxa"/>
              <w:left w:w="0" w:type="dxa"/>
              <w:bottom w:w="0" w:type="dxa"/>
              <w:right w:w="15" w:type="dxa"/>
            </w:tcMar>
            <w:vAlign w:val="bottom"/>
            <w:hideMark/>
          </w:tcPr>
          <w:p w14:paraId="3505D2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3B7C20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23E5B0D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tc>
        <w:tc>
          <w:tcPr>
            <w:tcW w:w="129" w:type="dxa"/>
            <w:shd w:val="clear" w:color="auto" w:fill="FFFFFF"/>
            <w:noWrap/>
            <w:tcMar>
              <w:top w:w="15" w:type="dxa"/>
              <w:left w:w="0" w:type="dxa"/>
              <w:bottom w:w="0" w:type="dxa"/>
              <w:right w:w="15" w:type="dxa"/>
            </w:tcMar>
            <w:vAlign w:val="bottom"/>
            <w:hideMark/>
          </w:tcPr>
          <w:p w14:paraId="3DBF05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6453F1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03710E7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FFFFFF"/>
            <w:noWrap/>
            <w:tcMar>
              <w:top w:w="15" w:type="dxa"/>
              <w:left w:w="0" w:type="dxa"/>
              <w:bottom w:w="0" w:type="dxa"/>
              <w:right w:w="15" w:type="dxa"/>
            </w:tcMar>
            <w:vAlign w:val="bottom"/>
            <w:hideMark/>
          </w:tcPr>
          <w:p w14:paraId="234574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w:t>
            </w:r>
          </w:p>
        </w:tc>
        <w:tc>
          <w:tcPr>
            <w:tcW w:w="130" w:type="dxa"/>
            <w:shd w:val="clear" w:color="auto" w:fill="FFFFFF"/>
            <w:noWrap/>
            <w:tcMar>
              <w:top w:w="15" w:type="dxa"/>
              <w:left w:w="0" w:type="dxa"/>
              <w:bottom w:w="0" w:type="dxa"/>
              <w:right w:w="15" w:type="dxa"/>
            </w:tcMar>
            <w:vAlign w:val="bottom"/>
            <w:hideMark/>
          </w:tcPr>
          <w:p w14:paraId="3AA385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FC8CCE6" w14:textId="77777777" w:rsidTr="00AC4931">
        <w:tc>
          <w:tcPr>
            <w:tcW w:w="9652" w:type="dxa"/>
            <w:shd w:val="clear" w:color="auto" w:fill="CFF0FC"/>
            <w:tcMar>
              <w:top w:w="15" w:type="dxa"/>
              <w:left w:w="0" w:type="dxa"/>
              <w:bottom w:w="0" w:type="dxa"/>
              <w:right w:w="15" w:type="dxa"/>
            </w:tcMar>
            <w:hideMark/>
          </w:tcPr>
          <w:p w14:paraId="42F470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Benefits paid</w:t>
            </w:r>
          </w:p>
        </w:tc>
        <w:tc>
          <w:tcPr>
            <w:tcW w:w="219" w:type="dxa"/>
            <w:shd w:val="clear" w:color="auto" w:fill="CFF0FC"/>
            <w:tcMar>
              <w:top w:w="15" w:type="dxa"/>
              <w:left w:w="0" w:type="dxa"/>
              <w:bottom w:w="0" w:type="dxa"/>
              <w:right w:w="15" w:type="dxa"/>
            </w:tcMar>
            <w:vAlign w:val="bottom"/>
            <w:hideMark/>
          </w:tcPr>
          <w:p w14:paraId="3699EF6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4A8304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1F40918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(0.4</w:t>
            </w:r>
          </w:p>
        </w:tc>
        <w:tc>
          <w:tcPr>
            <w:tcW w:w="129" w:type="dxa"/>
            <w:shd w:val="clear" w:color="auto" w:fill="CFF0FC"/>
            <w:noWrap/>
            <w:tcMar>
              <w:top w:w="15" w:type="dxa"/>
              <w:left w:w="0" w:type="dxa"/>
              <w:bottom w:w="0" w:type="dxa"/>
              <w:right w:w="15" w:type="dxa"/>
            </w:tcMar>
            <w:vAlign w:val="bottom"/>
            <w:hideMark/>
          </w:tcPr>
          <w:p w14:paraId="0B1B40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9" w:type="dxa"/>
            <w:shd w:val="clear" w:color="auto" w:fill="CFF0FC"/>
            <w:tcMar>
              <w:top w:w="15" w:type="dxa"/>
              <w:left w:w="0" w:type="dxa"/>
              <w:bottom w:w="0" w:type="dxa"/>
              <w:right w:w="15" w:type="dxa"/>
            </w:tcMar>
            <w:vAlign w:val="bottom"/>
            <w:hideMark/>
          </w:tcPr>
          <w:p w14:paraId="2F82AC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4316DE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shd w:val="clear" w:color="auto" w:fill="CFF0FC"/>
            <w:noWrap/>
            <w:tcMar>
              <w:top w:w="15" w:type="dxa"/>
              <w:left w:w="0" w:type="dxa"/>
              <w:bottom w:w="0" w:type="dxa"/>
              <w:right w:w="15" w:type="dxa"/>
            </w:tcMar>
            <w:vAlign w:val="bottom"/>
            <w:hideMark/>
          </w:tcPr>
          <w:p w14:paraId="5F5936A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30" w:type="dxa"/>
            <w:shd w:val="clear" w:color="auto" w:fill="CFF0FC"/>
            <w:noWrap/>
            <w:tcMar>
              <w:top w:w="15" w:type="dxa"/>
              <w:left w:w="0" w:type="dxa"/>
              <w:bottom w:w="0" w:type="dxa"/>
              <w:right w:w="15" w:type="dxa"/>
            </w:tcMar>
            <w:vAlign w:val="bottom"/>
            <w:hideMark/>
          </w:tcPr>
          <w:p w14:paraId="7C91C8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52CE290" w14:textId="77777777" w:rsidTr="00AC4931">
        <w:tc>
          <w:tcPr>
            <w:tcW w:w="9652" w:type="dxa"/>
            <w:shd w:val="clear" w:color="auto" w:fill="FFFFFF"/>
            <w:tcMar>
              <w:top w:w="15" w:type="dxa"/>
              <w:left w:w="0" w:type="dxa"/>
              <w:bottom w:w="0" w:type="dxa"/>
              <w:right w:w="15" w:type="dxa"/>
            </w:tcMar>
            <w:hideMark/>
          </w:tcPr>
          <w:p w14:paraId="55698C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Other</w:t>
            </w:r>
          </w:p>
        </w:tc>
        <w:tc>
          <w:tcPr>
            <w:tcW w:w="219" w:type="dxa"/>
            <w:shd w:val="clear" w:color="auto" w:fill="FFFFFF"/>
            <w:tcMar>
              <w:top w:w="15" w:type="dxa"/>
              <w:left w:w="0" w:type="dxa"/>
              <w:bottom w:w="0" w:type="dxa"/>
              <w:right w:w="15" w:type="dxa"/>
            </w:tcMar>
            <w:vAlign w:val="bottom"/>
            <w:hideMark/>
          </w:tcPr>
          <w:p w14:paraId="4D4257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FFFFFF"/>
            <w:noWrap/>
            <w:tcMar>
              <w:top w:w="15" w:type="dxa"/>
              <w:left w:w="0" w:type="dxa"/>
              <w:bottom w:w="0" w:type="dxa"/>
              <w:right w:w="15" w:type="dxa"/>
            </w:tcMar>
            <w:vAlign w:val="bottom"/>
            <w:hideMark/>
          </w:tcPr>
          <w:p w14:paraId="0528F4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tcBorders>
              <w:bottom w:val="single" w:sz="6" w:space="0" w:color="000000"/>
            </w:tcBorders>
            <w:shd w:val="clear" w:color="auto" w:fill="FFFFFF"/>
            <w:noWrap/>
            <w:tcMar>
              <w:top w:w="15" w:type="dxa"/>
              <w:left w:w="0" w:type="dxa"/>
              <w:bottom w:w="0" w:type="dxa"/>
              <w:right w:w="15" w:type="dxa"/>
            </w:tcMar>
            <w:vAlign w:val="bottom"/>
            <w:hideMark/>
          </w:tcPr>
          <w:p w14:paraId="0F3B04D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29" w:type="dxa"/>
            <w:shd w:val="clear" w:color="auto" w:fill="FFFFFF"/>
            <w:noWrap/>
            <w:tcMar>
              <w:top w:w="15" w:type="dxa"/>
              <w:left w:w="0" w:type="dxa"/>
              <w:bottom w:w="0" w:type="dxa"/>
              <w:right w:w="15" w:type="dxa"/>
            </w:tcMar>
            <w:vAlign w:val="bottom"/>
            <w:hideMark/>
          </w:tcPr>
          <w:p w14:paraId="66348A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08BFF7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FFFFFF"/>
            <w:noWrap/>
            <w:tcMar>
              <w:top w:w="15" w:type="dxa"/>
              <w:left w:w="0" w:type="dxa"/>
              <w:bottom w:w="0" w:type="dxa"/>
              <w:right w:w="15" w:type="dxa"/>
            </w:tcMar>
            <w:vAlign w:val="bottom"/>
            <w:hideMark/>
          </w:tcPr>
          <w:p w14:paraId="47984A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tcBorders>
              <w:bottom w:val="single" w:sz="6" w:space="0" w:color="000000"/>
            </w:tcBorders>
            <w:shd w:val="clear" w:color="auto" w:fill="FFFFFF"/>
            <w:noWrap/>
            <w:tcMar>
              <w:top w:w="15" w:type="dxa"/>
              <w:left w:w="0" w:type="dxa"/>
              <w:bottom w:w="0" w:type="dxa"/>
              <w:right w:w="15" w:type="dxa"/>
            </w:tcMar>
            <w:vAlign w:val="bottom"/>
            <w:hideMark/>
          </w:tcPr>
          <w:p w14:paraId="386611D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30" w:type="dxa"/>
            <w:shd w:val="clear" w:color="auto" w:fill="FFFFFF"/>
            <w:noWrap/>
            <w:tcMar>
              <w:top w:w="15" w:type="dxa"/>
              <w:left w:w="0" w:type="dxa"/>
              <w:bottom w:w="0" w:type="dxa"/>
              <w:right w:w="15" w:type="dxa"/>
            </w:tcMar>
            <w:vAlign w:val="bottom"/>
            <w:hideMark/>
          </w:tcPr>
          <w:p w14:paraId="3EC7E1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326ADD5" w14:textId="77777777" w:rsidTr="00AC4931">
        <w:tc>
          <w:tcPr>
            <w:tcW w:w="9652" w:type="dxa"/>
            <w:shd w:val="clear" w:color="auto" w:fill="CFF0FC"/>
            <w:tcMar>
              <w:top w:w="15" w:type="dxa"/>
              <w:left w:w="0" w:type="dxa"/>
              <w:bottom w:w="0" w:type="dxa"/>
              <w:right w:w="15" w:type="dxa"/>
            </w:tcMar>
            <w:hideMark/>
          </w:tcPr>
          <w:p w14:paraId="75FC774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Benefit obligation at end of year</w:t>
            </w:r>
          </w:p>
        </w:tc>
        <w:tc>
          <w:tcPr>
            <w:tcW w:w="219" w:type="dxa"/>
            <w:shd w:val="clear" w:color="auto" w:fill="CFF0FC"/>
            <w:tcMar>
              <w:top w:w="15" w:type="dxa"/>
              <w:left w:w="0" w:type="dxa"/>
              <w:bottom w:w="0" w:type="dxa"/>
              <w:right w:w="15" w:type="dxa"/>
            </w:tcMar>
            <w:vAlign w:val="bottom"/>
            <w:hideMark/>
          </w:tcPr>
          <w:p w14:paraId="71794E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55D62D2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148FBEB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21.2</w:t>
            </w:r>
          </w:p>
        </w:tc>
        <w:tc>
          <w:tcPr>
            <w:tcW w:w="129" w:type="dxa"/>
            <w:shd w:val="clear" w:color="auto" w:fill="CFF0FC"/>
            <w:noWrap/>
            <w:tcMar>
              <w:top w:w="15" w:type="dxa"/>
              <w:left w:w="0" w:type="dxa"/>
              <w:bottom w:w="0" w:type="dxa"/>
              <w:right w:w="15" w:type="dxa"/>
            </w:tcMar>
            <w:vAlign w:val="bottom"/>
            <w:hideMark/>
          </w:tcPr>
          <w:p w14:paraId="6993274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4D5691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0D0F48E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1E6B802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18.4</w:t>
            </w:r>
          </w:p>
        </w:tc>
        <w:tc>
          <w:tcPr>
            <w:tcW w:w="130" w:type="dxa"/>
            <w:shd w:val="clear" w:color="auto" w:fill="CFF0FC"/>
            <w:noWrap/>
            <w:tcMar>
              <w:top w:w="15" w:type="dxa"/>
              <w:left w:w="0" w:type="dxa"/>
              <w:bottom w:w="0" w:type="dxa"/>
              <w:right w:w="15" w:type="dxa"/>
            </w:tcMar>
            <w:vAlign w:val="bottom"/>
            <w:hideMark/>
          </w:tcPr>
          <w:p w14:paraId="1D215781"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1DE7802D"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552CEFE0"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liability for postretirement benefits other than pensions is classified as other non-current liabilities in the balance sheet.</w:t>
      </w:r>
    </w:p>
    <w:p w14:paraId="37FB40B0" w14:textId="77777777" w:rsidR="00AC4931" w:rsidRPr="00AC4931" w:rsidRDefault="00AC4931" w:rsidP="00AC4931">
      <w:pPr>
        <w:widowControl/>
        <w:spacing w:before="340"/>
        <w:rPr>
          <w:rFonts w:ascii="Arial" w:eastAsia="宋体" w:hAnsi="Arial" w:cs="Arial"/>
          <w:b/>
          <w:bCs/>
          <w:kern w:val="0"/>
          <w:sz w:val="18"/>
          <w:szCs w:val="18"/>
        </w:rPr>
      </w:pPr>
      <w:r w:rsidRPr="00AC4931">
        <w:rPr>
          <w:rFonts w:ascii="Arial" w:eastAsia="宋体" w:hAnsi="Arial" w:cs="Arial"/>
          <w:b/>
          <w:bCs/>
          <w:kern w:val="0"/>
          <w:sz w:val="18"/>
          <w:szCs w:val="18"/>
        </w:rPr>
        <w:t>COMPONENTS OF NET PERIODIC BENEFIT COST ASSOCIATED WITH THE POST RETIREMENT BENEFIT PLANS OTHER THAN PENSIONS</w:t>
      </w:r>
    </w:p>
    <w:p w14:paraId="3CED7163"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9533"/>
        <w:gridCol w:w="214"/>
        <w:gridCol w:w="159"/>
        <w:gridCol w:w="1787"/>
        <w:gridCol w:w="159"/>
        <w:gridCol w:w="214"/>
        <w:gridCol w:w="159"/>
        <w:gridCol w:w="1787"/>
        <w:gridCol w:w="159"/>
        <w:gridCol w:w="214"/>
        <w:gridCol w:w="159"/>
        <w:gridCol w:w="1787"/>
        <w:gridCol w:w="160"/>
      </w:tblGrid>
      <w:tr w:rsidR="00AC4931" w:rsidRPr="00AC4931" w14:paraId="0D86BDBC" w14:textId="77777777" w:rsidTr="00AC4931">
        <w:tc>
          <w:tcPr>
            <w:tcW w:w="9474" w:type="dxa"/>
            <w:shd w:val="clear" w:color="auto" w:fill="FFFFFF"/>
            <w:tcMar>
              <w:top w:w="15" w:type="dxa"/>
              <w:left w:w="0" w:type="dxa"/>
              <w:bottom w:w="0" w:type="dxa"/>
              <w:right w:w="15" w:type="dxa"/>
            </w:tcMar>
            <w:vAlign w:val="bottom"/>
            <w:hideMark/>
          </w:tcPr>
          <w:p w14:paraId="7C23A77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PERIOD ENDED DECEMBER 31 </w:t>
            </w:r>
            <w:r w:rsidRPr="00AC4931">
              <w:rPr>
                <w:rFonts w:ascii="Arial" w:eastAsia="宋体" w:hAnsi="Arial" w:cs="Arial"/>
                <w:color w:val="000000"/>
                <w:kern w:val="0"/>
                <w:sz w:val="16"/>
                <w:szCs w:val="16"/>
                <w:u w:val="single"/>
              </w:rPr>
              <w:t>(Dollars in millions)</w:t>
            </w:r>
          </w:p>
        </w:tc>
        <w:tc>
          <w:tcPr>
            <w:tcW w:w="213" w:type="dxa"/>
            <w:shd w:val="clear" w:color="auto" w:fill="FFFFFF"/>
            <w:tcMar>
              <w:top w:w="15" w:type="dxa"/>
              <w:left w:w="0" w:type="dxa"/>
              <w:bottom w:w="0" w:type="dxa"/>
              <w:right w:w="15" w:type="dxa"/>
            </w:tcMar>
            <w:vAlign w:val="bottom"/>
            <w:hideMark/>
          </w:tcPr>
          <w:p w14:paraId="7EDBC15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4F95FDD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483871C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shd w:val="clear" w:color="auto" w:fill="FFFFFF"/>
            <w:tcMar>
              <w:top w:w="15" w:type="dxa"/>
              <w:left w:w="0" w:type="dxa"/>
              <w:bottom w:w="0" w:type="dxa"/>
              <w:right w:w="15" w:type="dxa"/>
            </w:tcMar>
            <w:vAlign w:val="bottom"/>
            <w:hideMark/>
          </w:tcPr>
          <w:p w14:paraId="3871DA7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02D7457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179113E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shd w:val="clear" w:color="auto" w:fill="FFFFFF"/>
            <w:tcMar>
              <w:top w:w="15" w:type="dxa"/>
              <w:left w:w="0" w:type="dxa"/>
              <w:bottom w:w="0" w:type="dxa"/>
              <w:right w:w="15" w:type="dxa"/>
            </w:tcMar>
            <w:vAlign w:val="bottom"/>
            <w:hideMark/>
          </w:tcPr>
          <w:p w14:paraId="33B5D38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617F97A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76EA172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1109039" w14:textId="77777777" w:rsidTr="00AC4931">
        <w:tc>
          <w:tcPr>
            <w:tcW w:w="9474" w:type="dxa"/>
            <w:shd w:val="clear" w:color="auto" w:fill="CFF0FC"/>
            <w:tcMar>
              <w:top w:w="15" w:type="dxa"/>
              <w:left w:w="0" w:type="dxa"/>
              <w:bottom w:w="0" w:type="dxa"/>
              <w:right w:w="15" w:type="dxa"/>
            </w:tcMar>
            <w:hideMark/>
          </w:tcPr>
          <w:p w14:paraId="0529A0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Service cost</w:t>
            </w:r>
          </w:p>
        </w:tc>
        <w:tc>
          <w:tcPr>
            <w:tcW w:w="213" w:type="dxa"/>
            <w:shd w:val="clear" w:color="auto" w:fill="CFF0FC"/>
            <w:tcMar>
              <w:top w:w="15" w:type="dxa"/>
              <w:left w:w="0" w:type="dxa"/>
              <w:bottom w:w="0" w:type="dxa"/>
              <w:right w:w="15" w:type="dxa"/>
            </w:tcMar>
            <w:vAlign w:val="bottom"/>
            <w:hideMark/>
          </w:tcPr>
          <w:p w14:paraId="28F77C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98300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71A3F72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50" w:type="dxa"/>
            <w:shd w:val="clear" w:color="auto" w:fill="CFF0FC"/>
            <w:noWrap/>
            <w:tcMar>
              <w:top w:w="15" w:type="dxa"/>
              <w:left w:w="0" w:type="dxa"/>
              <w:bottom w:w="0" w:type="dxa"/>
              <w:right w:w="15" w:type="dxa"/>
            </w:tcMar>
            <w:vAlign w:val="bottom"/>
            <w:hideMark/>
          </w:tcPr>
          <w:p w14:paraId="3A4CCC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2F430D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A56D3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300E036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50" w:type="dxa"/>
            <w:shd w:val="clear" w:color="auto" w:fill="CFF0FC"/>
            <w:noWrap/>
            <w:tcMar>
              <w:top w:w="15" w:type="dxa"/>
              <w:left w:w="0" w:type="dxa"/>
              <w:bottom w:w="0" w:type="dxa"/>
              <w:right w:w="15" w:type="dxa"/>
            </w:tcMar>
            <w:vAlign w:val="bottom"/>
            <w:hideMark/>
          </w:tcPr>
          <w:p w14:paraId="24A505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69D752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471C4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1B9AE7B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51" w:type="dxa"/>
            <w:shd w:val="clear" w:color="auto" w:fill="CFF0FC"/>
            <w:noWrap/>
            <w:tcMar>
              <w:top w:w="15" w:type="dxa"/>
              <w:left w:w="0" w:type="dxa"/>
              <w:bottom w:w="0" w:type="dxa"/>
              <w:right w:w="15" w:type="dxa"/>
            </w:tcMar>
            <w:vAlign w:val="bottom"/>
            <w:hideMark/>
          </w:tcPr>
          <w:p w14:paraId="20B9557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982BC6F" w14:textId="77777777" w:rsidTr="00AC4931">
        <w:tc>
          <w:tcPr>
            <w:tcW w:w="9474" w:type="dxa"/>
            <w:shd w:val="clear" w:color="auto" w:fill="FFFFFF"/>
            <w:tcMar>
              <w:top w:w="15" w:type="dxa"/>
              <w:left w:w="0" w:type="dxa"/>
              <w:bottom w:w="0" w:type="dxa"/>
              <w:right w:w="15" w:type="dxa"/>
            </w:tcMar>
            <w:hideMark/>
          </w:tcPr>
          <w:p w14:paraId="737993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Interest cost</w:t>
            </w:r>
          </w:p>
        </w:tc>
        <w:tc>
          <w:tcPr>
            <w:tcW w:w="213" w:type="dxa"/>
            <w:shd w:val="clear" w:color="auto" w:fill="FFFFFF"/>
            <w:tcMar>
              <w:top w:w="15" w:type="dxa"/>
              <w:left w:w="0" w:type="dxa"/>
              <w:bottom w:w="0" w:type="dxa"/>
              <w:right w:w="15" w:type="dxa"/>
            </w:tcMar>
            <w:vAlign w:val="bottom"/>
            <w:hideMark/>
          </w:tcPr>
          <w:p w14:paraId="1A2DC8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97CC7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7310661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50" w:type="dxa"/>
            <w:shd w:val="clear" w:color="auto" w:fill="FFFFFF"/>
            <w:noWrap/>
            <w:tcMar>
              <w:top w:w="15" w:type="dxa"/>
              <w:left w:w="0" w:type="dxa"/>
              <w:bottom w:w="0" w:type="dxa"/>
              <w:right w:w="15" w:type="dxa"/>
            </w:tcMar>
            <w:vAlign w:val="bottom"/>
            <w:hideMark/>
          </w:tcPr>
          <w:p w14:paraId="572930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6237C9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1462C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4C3147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50" w:type="dxa"/>
            <w:shd w:val="clear" w:color="auto" w:fill="FFFFFF"/>
            <w:noWrap/>
            <w:tcMar>
              <w:top w:w="15" w:type="dxa"/>
              <w:left w:w="0" w:type="dxa"/>
              <w:bottom w:w="0" w:type="dxa"/>
              <w:right w:w="15" w:type="dxa"/>
            </w:tcMar>
            <w:vAlign w:val="bottom"/>
            <w:hideMark/>
          </w:tcPr>
          <w:p w14:paraId="19999E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3564B4A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37464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5333306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51" w:type="dxa"/>
            <w:shd w:val="clear" w:color="auto" w:fill="FFFFFF"/>
            <w:noWrap/>
            <w:tcMar>
              <w:top w:w="15" w:type="dxa"/>
              <w:left w:w="0" w:type="dxa"/>
              <w:bottom w:w="0" w:type="dxa"/>
              <w:right w:w="15" w:type="dxa"/>
            </w:tcMar>
            <w:vAlign w:val="bottom"/>
            <w:hideMark/>
          </w:tcPr>
          <w:p w14:paraId="6DD543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7F4E0E2" w14:textId="77777777" w:rsidTr="00AC4931">
        <w:tc>
          <w:tcPr>
            <w:tcW w:w="9474" w:type="dxa"/>
            <w:shd w:val="clear" w:color="auto" w:fill="CFF0FC"/>
            <w:tcMar>
              <w:top w:w="15" w:type="dxa"/>
              <w:left w:w="0" w:type="dxa"/>
              <w:bottom w:w="0" w:type="dxa"/>
              <w:right w:w="15" w:type="dxa"/>
            </w:tcMar>
            <w:hideMark/>
          </w:tcPr>
          <w:p w14:paraId="1783A6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Amortization of prior service cost</w:t>
            </w:r>
          </w:p>
        </w:tc>
        <w:tc>
          <w:tcPr>
            <w:tcW w:w="213" w:type="dxa"/>
            <w:shd w:val="clear" w:color="auto" w:fill="CFF0FC"/>
            <w:tcMar>
              <w:top w:w="15" w:type="dxa"/>
              <w:left w:w="0" w:type="dxa"/>
              <w:bottom w:w="0" w:type="dxa"/>
              <w:right w:w="15" w:type="dxa"/>
            </w:tcMar>
            <w:vAlign w:val="bottom"/>
            <w:hideMark/>
          </w:tcPr>
          <w:p w14:paraId="308F7F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C16C1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600158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tc>
        <w:tc>
          <w:tcPr>
            <w:tcW w:w="150" w:type="dxa"/>
            <w:shd w:val="clear" w:color="auto" w:fill="CFF0FC"/>
            <w:noWrap/>
            <w:tcMar>
              <w:top w:w="15" w:type="dxa"/>
              <w:left w:w="0" w:type="dxa"/>
              <w:bottom w:w="0" w:type="dxa"/>
              <w:right w:w="15" w:type="dxa"/>
            </w:tcMar>
            <w:vAlign w:val="bottom"/>
            <w:hideMark/>
          </w:tcPr>
          <w:p w14:paraId="2EB75C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3" w:type="dxa"/>
            <w:shd w:val="clear" w:color="auto" w:fill="CFF0FC"/>
            <w:tcMar>
              <w:top w:w="15" w:type="dxa"/>
              <w:left w:w="0" w:type="dxa"/>
              <w:bottom w:w="0" w:type="dxa"/>
              <w:right w:w="15" w:type="dxa"/>
            </w:tcMar>
            <w:vAlign w:val="bottom"/>
            <w:hideMark/>
          </w:tcPr>
          <w:p w14:paraId="4B58FA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F826E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39D73D9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w:t>
            </w:r>
          </w:p>
        </w:tc>
        <w:tc>
          <w:tcPr>
            <w:tcW w:w="150" w:type="dxa"/>
            <w:shd w:val="clear" w:color="auto" w:fill="CFF0FC"/>
            <w:noWrap/>
            <w:tcMar>
              <w:top w:w="15" w:type="dxa"/>
              <w:left w:w="0" w:type="dxa"/>
              <w:bottom w:w="0" w:type="dxa"/>
              <w:right w:w="15" w:type="dxa"/>
            </w:tcMar>
            <w:vAlign w:val="bottom"/>
            <w:hideMark/>
          </w:tcPr>
          <w:p w14:paraId="11635A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3" w:type="dxa"/>
            <w:shd w:val="clear" w:color="auto" w:fill="CFF0FC"/>
            <w:tcMar>
              <w:top w:w="15" w:type="dxa"/>
              <w:left w:w="0" w:type="dxa"/>
              <w:bottom w:w="0" w:type="dxa"/>
              <w:right w:w="15" w:type="dxa"/>
            </w:tcMar>
            <w:vAlign w:val="bottom"/>
            <w:hideMark/>
          </w:tcPr>
          <w:p w14:paraId="2B88FA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0F71B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62DEAC0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(2.2</w:t>
            </w:r>
          </w:p>
        </w:tc>
        <w:tc>
          <w:tcPr>
            <w:tcW w:w="151" w:type="dxa"/>
            <w:shd w:val="clear" w:color="auto" w:fill="CFF0FC"/>
            <w:noWrap/>
            <w:tcMar>
              <w:top w:w="15" w:type="dxa"/>
              <w:left w:w="0" w:type="dxa"/>
              <w:bottom w:w="0" w:type="dxa"/>
              <w:right w:w="15" w:type="dxa"/>
            </w:tcMar>
            <w:vAlign w:val="bottom"/>
            <w:hideMark/>
          </w:tcPr>
          <w:p w14:paraId="1379EF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92B4AEB" w14:textId="77777777" w:rsidTr="00AC4931">
        <w:tc>
          <w:tcPr>
            <w:tcW w:w="9474" w:type="dxa"/>
            <w:shd w:val="clear" w:color="auto" w:fill="FFFFFF"/>
            <w:tcMar>
              <w:top w:w="15" w:type="dxa"/>
              <w:left w:w="0" w:type="dxa"/>
              <w:bottom w:w="0" w:type="dxa"/>
              <w:right w:w="15" w:type="dxa"/>
            </w:tcMar>
            <w:hideMark/>
          </w:tcPr>
          <w:p w14:paraId="18641C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Amortization of actuarial loss</w:t>
            </w:r>
          </w:p>
        </w:tc>
        <w:tc>
          <w:tcPr>
            <w:tcW w:w="213" w:type="dxa"/>
            <w:shd w:val="clear" w:color="auto" w:fill="FFFFFF"/>
            <w:tcMar>
              <w:top w:w="15" w:type="dxa"/>
              <w:left w:w="0" w:type="dxa"/>
              <w:bottom w:w="0" w:type="dxa"/>
              <w:right w:w="15" w:type="dxa"/>
            </w:tcMar>
            <w:vAlign w:val="bottom"/>
            <w:hideMark/>
          </w:tcPr>
          <w:p w14:paraId="53B501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620E92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6425A8B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50" w:type="dxa"/>
            <w:shd w:val="clear" w:color="auto" w:fill="FFFFFF"/>
            <w:noWrap/>
            <w:tcMar>
              <w:top w:w="15" w:type="dxa"/>
              <w:left w:w="0" w:type="dxa"/>
              <w:bottom w:w="0" w:type="dxa"/>
              <w:right w:w="15" w:type="dxa"/>
            </w:tcMar>
            <w:vAlign w:val="bottom"/>
            <w:hideMark/>
          </w:tcPr>
          <w:p w14:paraId="13C557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3" w:type="dxa"/>
            <w:shd w:val="clear" w:color="auto" w:fill="FFFFFF"/>
            <w:tcMar>
              <w:top w:w="15" w:type="dxa"/>
              <w:left w:w="0" w:type="dxa"/>
              <w:bottom w:w="0" w:type="dxa"/>
              <w:right w:w="15" w:type="dxa"/>
            </w:tcMar>
            <w:vAlign w:val="bottom"/>
            <w:hideMark/>
          </w:tcPr>
          <w:p w14:paraId="14C65A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189BB8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2914181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50" w:type="dxa"/>
            <w:shd w:val="clear" w:color="auto" w:fill="FFFFFF"/>
            <w:noWrap/>
            <w:tcMar>
              <w:top w:w="15" w:type="dxa"/>
              <w:left w:w="0" w:type="dxa"/>
              <w:bottom w:w="0" w:type="dxa"/>
              <w:right w:w="15" w:type="dxa"/>
            </w:tcMar>
            <w:vAlign w:val="bottom"/>
            <w:hideMark/>
          </w:tcPr>
          <w:p w14:paraId="02ED69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3" w:type="dxa"/>
            <w:shd w:val="clear" w:color="auto" w:fill="FFFFFF"/>
            <w:tcMar>
              <w:top w:w="15" w:type="dxa"/>
              <w:left w:w="0" w:type="dxa"/>
              <w:bottom w:w="0" w:type="dxa"/>
              <w:right w:w="15" w:type="dxa"/>
            </w:tcMar>
            <w:vAlign w:val="bottom"/>
            <w:hideMark/>
          </w:tcPr>
          <w:p w14:paraId="68FAD4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79BFD21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4EEBAA2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w:t>
            </w:r>
          </w:p>
        </w:tc>
        <w:tc>
          <w:tcPr>
            <w:tcW w:w="151" w:type="dxa"/>
            <w:shd w:val="clear" w:color="auto" w:fill="FFFFFF"/>
            <w:noWrap/>
            <w:tcMar>
              <w:top w:w="15" w:type="dxa"/>
              <w:left w:w="0" w:type="dxa"/>
              <w:bottom w:w="0" w:type="dxa"/>
              <w:right w:w="15" w:type="dxa"/>
            </w:tcMar>
            <w:vAlign w:val="bottom"/>
            <w:hideMark/>
          </w:tcPr>
          <w:p w14:paraId="41EA6B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664F4510" w14:textId="77777777" w:rsidTr="00AC4931">
        <w:tc>
          <w:tcPr>
            <w:tcW w:w="9474" w:type="dxa"/>
            <w:shd w:val="clear" w:color="auto" w:fill="CFF0FC"/>
            <w:tcMar>
              <w:top w:w="15" w:type="dxa"/>
              <w:left w:w="0" w:type="dxa"/>
              <w:bottom w:w="0" w:type="dxa"/>
              <w:right w:w="15" w:type="dxa"/>
            </w:tcMar>
            <w:hideMark/>
          </w:tcPr>
          <w:p w14:paraId="6CE5FA6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periodic benefit (credit)</w:t>
            </w:r>
          </w:p>
        </w:tc>
        <w:tc>
          <w:tcPr>
            <w:tcW w:w="213" w:type="dxa"/>
            <w:shd w:val="clear" w:color="auto" w:fill="CFF0FC"/>
            <w:tcMar>
              <w:top w:w="15" w:type="dxa"/>
              <w:left w:w="0" w:type="dxa"/>
              <w:bottom w:w="0" w:type="dxa"/>
              <w:right w:w="15" w:type="dxa"/>
            </w:tcMar>
            <w:vAlign w:val="bottom"/>
            <w:hideMark/>
          </w:tcPr>
          <w:p w14:paraId="4DC423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78A115E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56D2FED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(1.3</w:t>
            </w:r>
          </w:p>
        </w:tc>
        <w:tc>
          <w:tcPr>
            <w:tcW w:w="150" w:type="dxa"/>
            <w:shd w:val="clear" w:color="auto" w:fill="CFF0FC"/>
            <w:noWrap/>
            <w:tcMar>
              <w:top w:w="15" w:type="dxa"/>
              <w:left w:w="0" w:type="dxa"/>
              <w:bottom w:w="0" w:type="dxa"/>
              <w:right w:w="15" w:type="dxa"/>
            </w:tcMar>
            <w:vAlign w:val="bottom"/>
            <w:hideMark/>
          </w:tcPr>
          <w:p w14:paraId="77882F2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13" w:type="dxa"/>
            <w:shd w:val="clear" w:color="auto" w:fill="CFF0FC"/>
            <w:tcMar>
              <w:top w:w="15" w:type="dxa"/>
              <w:left w:w="0" w:type="dxa"/>
              <w:bottom w:w="0" w:type="dxa"/>
              <w:right w:w="15" w:type="dxa"/>
            </w:tcMar>
            <w:vAlign w:val="bottom"/>
            <w:hideMark/>
          </w:tcPr>
          <w:p w14:paraId="3E853D2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8883A0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3D26896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(1.7</w:t>
            </w:r>
          </w:p>
        </w:tc>
        <w:tc>
          <w:tcPr>
            <w:tcW w:w="150" w:type="dxa"/>
            <w:shd w:val="clear" w:color="auto" w:fill="CFF0FC"/>
            <w:noWrap/>
            <w:tcMar>
              <w:top w:w="15" w:type="dxa"/>
              <w:left w:w="0" w:type="dxa"/>
              <w:bottom w:w="0" w:type="dxa"/>
              <w:right w:w="15" w:type="dxa"/>
            </w:tcMar>
            <w:vAlign w:val="bottom"/>
            <w:hideMark/>
          </w:tcPr>
          <w:p w14:paraId="0A7278C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213" w:type="dxa"/>
            <w:shd w:val="clear" w:color="auto" w:fill="CFF0FC"/>
            <w:tcMar>
              <w:top w:w="15" w:type="dxa"/>
              <w:left w:w="0" w:type="dxa"/>
              <w:bottom w:w="0" w:type="dxa"/>
              <w:right w:w="15" w:type="dxa"/>
            </w:tcMar>
            <w:vAlign w:val="bottom"/>
            <w:hideMark/>
          </w:tcPr>
          <w:p w14:paraId="649153B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646A93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4FD6933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(1.6</w:t>
            </w:r>
          </w:p>
        </w:tc>
        <w:tc>
          <w:tcPr>
            <w:tcW w:w="151" w:type="dxa"/>
            <w:shd w:val="clear" w:color="auto" w:fill="CFF0FC"/>
            <w:noWrap/>
            <w:tcMar>
              <w:top w:w="15" w:type="dxa"/>
              <w:left w:w="0" w:type="dxa"/>
              <w:bottom w:w="0" w:type="dxa"/>
              <w:right w:w="15" w:type="dxa"/>
            </w:tcMar>
            <w:vAlign w:val="bottom"/>
            <w:hideMark/>
          </w:tcPr>
          <w:p w14:paraId="75DACF4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r>
    </w:tbl>
    <w:p w14:paraId="0A196855"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0BC43F7A" w14:textId="77777777" w:rsidR="00AC4931" w:rsidRPr="00AC4931" w:rsidRDefault="00AC4931" w:rsidP="00AC4931">
      <w:pPr>
        <w:widowControl/>
        <w:spacing w:before="100"/>
        <w:rPr>
          <w:rFonts w:ascii="Arial" w:eastAsia="宋体" w:hAnsi="Arial" w:cs="Arial"/>
          <w:b/>
          <w:bCs/>
          <w:kern w:val="0"/>
          <w:sz w:val="18"/>
          <w:szCs w:val="18"/>
        </w:rPr>
      </w:pPr>
      <w:r w:rsidRPr="00AC4931">
        <w:rPr>
          <w:rFonts w:ascii="Arial" w:eastAsia="宋体" w:hAnsi="Arial" w:cs="Arial"/>
          <w:b/>
          <w:bCs/>
          <w:kern w:val="0"/>
          <w:sz w:val="18"/>
          <w:szCs w:val="18"/>
        </w:rPr>
        <w:t>COMPONENTS OF ACCUMULATED OTHER COMPREHENSIVE INCOME BEFORE TAX ASSOCIATED WITH POSTRETIREMENT BENEFIT PLANS OTHER THAN PENSIONS AS OF DECEMBER 31</w:t>
      </w:r>
    </w:p>
    <w:p w14:paraId="02C3E073"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4430" w:type="dxa"/>
        <w:tblCellMar>
          <w:left w:w="0" w:type="dxa"/>
          <w:right w:w="0" w:type="dxa"/>
        </w:tblCellMar>
        <w:tblLook w:val="04A0" w:firstRow="1" w:lastRow="0" w:firstColumn="1" w:lastColumn="0" w:noHBand="0" w:noVBand="1"/>
      </w:tblPr>
      <w:tblGrid>
        <w:gridCol w:w="9672"/>
        <w:gridCol w:w="219"/>
        <w:gridCol w:w="137"/>
        <w:gridCol w:w="1863"/>
        <w:gridCol w:w="137"/>
        <w:gridCol w:w="219"/>
        <w:gridCol w:w="137"/>
        <w:gridCol w:w="1908"/>
        <w:gridCol w:w="138"/>
      </w:tblGrid>
      <w:tr w:rsidR="00AC4931" w:rsidRPr="00AC4931" w14:paraId="7631C43C" w14:textId="77777777" w:rsidTr="00AC4931">
        <w:tc>
          <w:tcPr>
            <w:tcW w:w="9652" w:type="dxa"/>
            <w:shd w:val="clear" w:color="auto" w:fill="FFFFFF"/>
            <w:tcMar>
              <w:top w:w="15" w:type="dxa"/>
              <w:left w:w="0" w:type="dxa"/>
              <w:bottom w:w="0" w:type="dxa"/>
              <w:right w:w="15" w:type="dxa"/>
            </w:tcMar>
            <w:vAlign w:val="bottom"/>
            <w:hideMark/>
          </w:tcPr>
          <w:p w14:paraId="2F8646F0"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19" w:type="dxa"/>
            <w:shd w:val="clear" w:color="auto" w:fill="FFFFFF"/>
            <w:tcMar>
              <w:top w:w="15" w:type="dxa"/>
              <w:left w:w="0" w:type="dxa"/>
              <w:bottom w:w="0" w:type="dxa"/>
              <w:right w:w="15" w:type="dxa"/>
            </w:tcMar>
            <w:vAlign w:val="bottom"/>
            <w:hideMark/>
          </w:tcPr>
          <w:p w14:paraId="4D5C30A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4369" w:type="dxa"/>
            <w:gridSpan w:val="6"/>
            <w:tcBorders>
              <w:bottom w:val="single" w:sz="6" w:space="0" w:color="000000"/>
            </w:tcBorders>
            <w:shd w:val="clear" w:color="auto" w:fill="FFFFFF"/>
            <w:tcMar>
              <w:top w:w="15" w:type="dxa"/>
              <w:left w:w="0" w:type="dxa"/>
              <w:bottom w:w="0" w:type="dxa"/>
              <w:right w:w="15" w:type="dxa"/>
            </w:tcMar>
            <w:vAlign w:val="bottom"/>
            <w:hideMark/>
          </w:tcPr>
          <w:p w14:paraId="64C2F10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U.S.</w:t>
            </w:r>
          </w:p>
        </w:tc>
        <w:tc>
          <w:tcPr>
            <w:tcW w:w="130" w:type="dxa"/>
            <w:shd w:val="clear" w:color="auto" w:fill="FFFFFF"/>
            <w:noWrap/>
            <w:tcMar>
              <w:top w:w="15" w:type="dxa"/>
              <w:left w:w="0" w:type="dxa"/>
              <w:bottom w:w="0" w:type="dxa"/>
              <w:right w:w="15" w:type="dxa"/>
            </w:tcMar>
            <w:vAlign w:val="bottom"/>
            <w:hideMark/>
          </w:tcPr>
          <w:p w14:paraId="25A641A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DB9C53E" w14:textId="77777777" w:rsidTr="00AC4931">
        <w:tc>
          <w:tcPr>
            <w:tcW w:w="9652" w:type="dxa"/>
            <w:shd w:val="clear" w:color="auto" w:fill="FFFFFF"/>
            <w:tcMar>
              <w:top w:w="15" w:type="dxa"/>
              <w:left w:w="0" w:type="dxa"/>
              <w:bottom w:w="0" w:type="dxa"/>
              <w:right w:w="15" w:type="dxa"/>
            </w:tcMar>
            <w:vAlign w:val="bottom"/>
            <w:hideMark/>
          </w:tcPr>
          <w:p w14:paraId="6E423BD0" w14:textId="77777777" w:rsidR="00AC4931" w:rsidRPr="00AC4931" w:rsidRDefault="00AC4931" w:rsidP="00AC4931">
            <w:pPr>
              <w:widowControl/>
              <w:jc w:val="left"/>
              <w:rPr>
                <w:rFonts w:ascii="Arial" w:eastAsia="宋体" w:hAnsi="Arial" w:cs="Arial"/>
                <w:color w:val="000000"/>
                <w:kern w:val="0"/>
                <w:sz w:val="16"/>
                <w:szCs w:val="16"/>
              </w:rPr>
            </w:pPr>
            <w:r w:rsidRPr="00AC4931">
              <w:rPr>
                <w:rFonts w:ascii="Arial" w:eastAsia="宋体" w:hAnsi="Arial" w:cs="Arial"/>
                <w:color w:val="000000"/>
                <w:kern w:val="0"/>
                <w:sz w:val="16"/>
                <w:szCs w:val="16"/>
              </w:rPr>
              <w:t>(Dollars in millions)</w:t>
            </w:r>
          </w:p>
        </w:tc>
        <w:tc>
          <w:tcPr>
            <w:tcW w:w="219" w:type="dxa"/>
            <w:shd w:val="clear" w:color="auto" w:fill="FFFFFF"/>
            <w:tcMar>
              <w:top w:w="15" w:type="dxa"/>
              <w:left w:w="0" w:type="dxa"/>
              <w:bottom w:w="0" w:type="dxa"/>
              <w:right w:w="15" w:type="dxa"/>
            </w:tcMar>
            <w:vAlign w:val="bottom"/>
            <w:hideMark/>
          </w:tcPr>
          <w:p w14:paraId="7DFD8AE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8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C5BE5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29" w:type="dxa"/>
            <w:shd w:val="clear" w:color="auto" w:fill="FFFFFF"/>
            <w:noWrap/>
            <w:tcMar>
              <w:top w:w="15" w:type="dxa"/>
              <w:left w:w="0" w:type="dxa"/>
              <w:bottom w:w="0" w:type="dxa"/>
              <w:right w:w="15" w:type="dxa"/>
            </w:tcMar>
            <w:vAlign w:val="bottom"/>
            <w:hideMark/>
          </w:tcPr>
          <w:p w14:paraId="7724F3E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9" w:type="dxa"/>
            <w:tcBorders>
              <w:top w:val="single" w:sz="6" w:space="0" w:color="000000"/>
            </w:tcBorders>
            <w:shd w:val="clear" w:color="auto" w:fill="FFFFFF"/>
            <w:tcMar>
              <w:top w:w="15" w:type="dxa"/>
              <w:left w:w="0" w:type="dxa"/>
              <w:bottom w:w="0" w:type="dxa"/>
              <w:right w:w="15" w:type="dxa"/>
            </w:tcMar>
            <w:vAlign w:val="bottom"/>
            <w:hideMark/>
          </w:tcPr>
          <w:p w14:paraId="5FAD403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8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484FBA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30" w:type="dxa"/>
            <w:shd w:val="clear" w:color="auto" w:fill="FFFFFF"/>
            <w:noWrap/>
            <w:tcMar>
              <w:top w:w="15" w:type="dxa"/>
              <w:left w:w="0" w:type="dxa"/>
              <w:bottom w:w="0" w:type="dxa"/>
              <w:right w:w="15" w:type="dxa"/>
            </w:tcMar>
            <w:vAlign w:val="bottom"/>
            <w:hideMark/>
          </w:tcPr>
          <w:p w14:paraId="4CB7440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29FC573" w14:textId="77777777" w:rsidTr="00AC4931">
        <w:tc>
          <w:tcPr>
            <w:tcW w:w="9652" w:type="dxa"/>
            <w:shd w:val="clear" w:color="auto" w:fill="CFF0FC"/>
            <w:tcMar>
              <w:top w:w="15" w:type="dxa"/>
              <w:left w:w="0" w:type="dxa"/>
              <w:bottom w:w="0" w:type="dxa"/>
              <w:right w:w="15" w:type="dxa"/>
            </w:tcMar>
            <w:hideMark/>
          </w:tcPr>
          <w:p w14:paraId="4AD0A9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actuarial loss (gain)</w:t>
            </w:r>
          </w:p>
        </w:tc>
        <w:tc>
          <w:tcPr>
            <w:tcW w:w="219" w:type="dxa"/>
            <w:shd w:val="clear" w:color="auto" w:fill="CFF0FC"/>
            <w:tcMar>
              <w:top w:w="15" w:type="dxa"/>
              <w:left w:w="0" w:type="dxa"/>
              <w:bottom w:w="0" w:type="dxa"/>
              <w:right w:w="15" w:type="dxa"/>
            </w:tcMar>
            <w:vAlign w:val="bottom"/>
            <w:hideMark/>
          </w:tcPr>
          <w:p w14:paraId="41FBB7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70B303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1E99FDC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w:t>
            </w:r>
          </w:p>
        </w:tc>
        <w:tc>
          <w:tcPr>
            <w:tcW w:w="129" w:type="dxa"/>
            <w:shd w:val="clear" w:color="auto" w:fill="CFF0FC"/>
            <w:noWrap/>
            <w:tcMar>
              <w:top w:w="15" w:type="dxa"/>
              <w:left w:w="0" w:type="dxa"/>
              <w:bottom w:w="0" w:type="dxa"/>
              <w:right w:w="15" w:type="dxa"/>
            </w:tcMar>
            <w:vAlign w:val="bottom"/>
            <w:hideMark/>
          </w:tcPr>
          <w:p w14:paraId="14A958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19" w:type="dxa"/>
            <w:shd w:val="clear" w:color="auto" w:fill="CFF0FC"/>
            <w:tcMar>
              <w:top w:w="15" w:type="dxa"/>
              <w:left w:w="0" w:type="dxa"/>
              <w:bottom w:w="0" w:type="dxa"/>
              <w:right w:w="15" w:type="dxa"/>
            </w:tcMar>
            <w:vAlign w:val="bottom"/>
            <w:hideMark/>
          </w:tcPr>
          <w:p w14:paraId="3FACF4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691ADF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46F7509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30" w:type="dxa"/>
            <w:shd w:val="clear" w:color="auto" w:fill="CFF0FC"/>
            <w:noWrap/>
            <w:tcMar>
              <w:top w:w="15" w:type="dxa"/>
              <w:left w:w="0" w:type="dxa"/>
              <w:bottom w:w="0" w:type="dxa"/>
              <w:right w:w="15" w:type="dxa"/>
            </w:tcMar>
            <w:vAlign w:val="bottom"/>
            <w:hideMark/>
          </w:tcPr>
          <w:p w14:paraId="18DC9D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FB65A17" w14:textId="77777777" w:rsidTr="00AC4931">
        <w:tc>
          <w:tcPr>
            <w:tcW w:w="9652" w:type="dxa"/>
            <w:shd w:val="clear" w:color="auto" w:fill="FFFFFF"/>
            <w:tcMar>
              <w:top w:w="15" w:type="dxa"/>
              <w:left w:w="0" w:type="dxa"/>
              <w:bottom w:w="0" w:type="dxa"/>
              <w:right w:w="15" w:type="dxa"/>
            </w:tcMar>
            <w:hideMark/>
          </w:tcPr>
          <w:p w14:paraId="2666BB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Prior service cost (credit)</w:t>
            </w:r>
          </w:p>
        </w:tc>
        <w:tc>
          <w:tcPr>
            <w:tcW w:w="219" w:type="dxa"/>
            <w:shd w:val="clear" w:color="auto" w:fill="FFFFFF"/>
            <w:tcMar>
              <w:top w:w="15" w:type="dxa"/>
              <w:left w:w="0" w:type="dxa"/>
              <w:bottom w:w="0" w:type="dxa"/>
              <w:right w:w="15" w:type="dxa"/>
            </w:tcMar>
            <w:vAlign w:val="bottom"/>
            <w:hideMark/>
          </w:tcPr>
          <w:p w14:paraId="4E2669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FFFFFF"/>
            <w:noWrap/>
            <w:tcMar>
              <w:top w:w="15" w:type="dxa"/>
              <w:left w:w="0" w:type="dxa"/>
              <w:bottom w:w="0" w:type="dxa"/>
              <w:right w:w="15" w:type="dxa"/>
            </w:tcMar>
            <w:vAlign w:val="bottom"/>
            <w:hideMark/>
          </w:tcPr>
          <w:p w14:paraId="32AF5A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tcBorders>
              <w:bottom w:val="single" w:sz="6" w:space="0" w:color="000000"/>
            </w:tcBorders>
            <w:shd w:val="clear" w:color="auto" w:fill="FFFFFF"/>
            <w:noWrap/>
            <w:tcMar>
              <w:top w:w="15" w:type="dxa"/>
              <w:left w:w="0" w:type="dxa"/>
              <w:bottom w:w="0" w:type="dxa"/>
              <w:right w:w="15" w:type="dxa"/>
            </w:tcMar>
            <w:vAlign w:val="bottom"/>
            <w:hideMark/>
          </w:tcPr>
          <w:p w14:paraId="0C41C43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4.0</w:t>
            </w:r>
          </w:p>
        </w:tc>
        <w:tc>
          <w:tcPr>
            <w:tcW w:w="129" w:type="dxa"/>
            <w:shd w:val="clear" w:color="auto" w:fill="FFFFFF"/>
            <w:noWrap/>
            <w:tcMar>
              <w:top w:w="15" w:type="dxa"/>
              <w:left w:w="0" w:type="dxa"/>
              <w:bottom w:w="0" w:type="dxa"/>
              <w:right w:w="15" w:type="dxa"/>
            </w:tcMar>
            <w:vAlign w:val="bottom"/>
            <w:hideMark/>
          </w:tcPr>
          <w:p w14:paraId="52126A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2797D9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FFFFFF"/>
            <w:noWrap/>
            <w:tcMar>
              <w:top w:w="15" w:type="dxa"/>
              <w:left w:w="0" w:type="dxa"/>
              <w:bottom w:w="0" w:type="dxa"/>
              <w:right w:w="15" w:type="dxa"/>
            </w:tcMar>
            <w:vAlign w:val="bottom"/>
            <w:hideMark/>
          </w:tcPr>
          <w:p w14:paraId="078558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4" w:type="dxa"/>
            <w:tcBorders>
              <w:bottom w:val="single" w:sz="6" w:space="0" w:color="000000"/>
            </w:tcBorders>
            <w:shd w:val="clear" w:color="auto" w:fill="FFFFFF"/>
            <w:noWrap/>
            <w:tcMar>
              <w:top w:w="15" w:type="dxa"/>
              <w:left w:w="0" w:type="dxa"/>
              <w:bottom w:w="0" w:type="dxa"/>
              <w:right w:w="15" w:type="dxa"/>
            </w:tcMar>
            <w:vAlign w:val="bottom"/>
            <w:hideMark/>
          </w:tcPr>
          <w:p w14:paraId="218DAF4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6.1</w:t>
            </w:r>
          </w:p>
        </w:tc>
        <w:tc>
          <w:tcPr>
            <w:tcW w:w="130" w:type="dxa"/>
            <w:shd w:val="clear" w:color="auto" w:fill="FFFFFF"/>
            <w:noWrap/>
            <w:tcMar>
              <w:top w:w="15" w:type="dxa"/>
              <w:left w:w="0" w:type="dxa"/>
              <w:bottom w:w="0" w:type="dxa"/>
              <w:right w:w="15" w:type="dxa"/>
            </w:tcMar>
            <w:vAlign w:val="bottom"/>
            <w:hideMark/>
          </w:tcPr>
          <w:p w14:paraId="538AD2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974BB81" w14:textId="77777777" w:rsidTr="00AC4931">
        <w:tc>
          <w:tcPr>
            <w:tcW w:w="9652" w:type="dxa"/>
            <w:shd w:val="clear" w:color="auto" w:fill="CFF0FC"/>
            <w:tcMar>
              <w:top w:w="15" w:type="dxa"/>
              <w:left w:w="0" w:type="dxa"/>
              <w:bottom w:w="0" w:type="dxa"/>
              <w:right w:w="15" w:type="dxa"/>
            </w:tcMar>
            <w:hideMark/>
          </w:tcPr>
          <w:p w14:paraId="61AADF5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accumulated other comprehensive loss (income)</w:t>
            </w:r>
          </w:p>
          <w:p w14:paraId="73464B1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recognized in the balance sheet</w:t>
            </w:r>
          </w:p>
        </w:tc>
        <w:tc>
          <w:tcPr>
            <w:tcW w:w="219" w:type="dxa"/>
            <w:shd w:val="clear" w:color="auto" w:fill="CFF0FC"/>
            <w:tcMar>
              <w:top w:w="15" w:type="dxa"/>
              <w:left w:w="0" w:type="dxa"/>
              <w:bottom w:w="0" w:type="dxa"/>
              <w:right w:w="15" w:type="dxa"/>
            </w:tcMar>
            <w:vAlign w:val="bottom"/>
            <w:hideMark/>
          </w:tcPr>
          <w:p w14:paraId="6ABCA1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61802F1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0D9C375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3.9</w:t>
            </w:r>
          </w:p>
        </w:tc>
        <w:tc>
          <w:tcPr>
            <w:tcW w:w="129" w:type="dxa"/>
            <w:shd w:val="clear" w:color="auto" w:fill="CFF0FC"/>
            <w:noWrap/>
            <w:tcMar>
              <w:top w:w="15" w:type="dxa"/>
              <w:left w:w="0" w:type="dxa"/>
              <w:bottom w:w="0" w:type="dxa"/>
              <w:right w:w="15" w:type="dxa"/>
            </w:tcMar>
            <w:vAlign w:val="bottom"/>
            <w:hideMark/>
          </w:tcPr>
          <w:p w14:paraId="3D04BDB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79EF8B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75CF008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4" w:type="dxa"/>
            <w:tcBorders>
              <w:top w:val="single" w:sz="6" w:space="0" w:color="000000"/>
            </w:tcBorders>
            <w:shd w:val="clear" w:color="auto" w:fill="CFF0FC"/>
            <w:noWrap/>
            <w:tcMar>
              <w:top w:w="15" w:type="dxa"/>
              <w:left w:w="0" w:type="dxa"/>
              <w:bottom w:w="0" w:type="dxa"/>
              <w:right w:w="15" w:type="dxa"/>
            </w:tcMar>
            <w:vAlign w:val="bottom"/>
            <w:hideMark/>
          </w:tcPr>
          <w:p w14:paraId="2155402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8.1</w:t>
            </w:r>
          </w:p>
        </w:tc>
        <w:tc>
          <w:tcPr>
            <w:tcW w:w="130" w:type="dxa"/>
            <w:shd w:val="clear" w:color="auto" w:fill="CFF0FC"/>
            <w:noWrap/>
            <w:tcMar>
              <w:top w:w="15" w:type="dxa"/>
              <w:left w:w="0" w:type="dxa"/>
              <w:bottom w:w="0" w:type="dxa"/>
              <w:right w:w="15" w:type="dxa"/>
            </w:tcMar>
            <w:vAlign w:val="bottom"/>
            <w:hideMark/>
          </w:tcPr>
          <w:p w14:paraId="5E8AAF52"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5E49E7C1"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544CB12D"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84</w:t>
      </w:r>
    </w:p>
    <w:p w14:paraId="1D35F1E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98EDE20"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8EC40F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A857802"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BF52603">
          <v:rect id="_x0000_i1111" style="width:0;height:1.5pt" o:hralign="center" o:hrstd="t" o:hrnoshade="t" o:hr="t" fillcolor="black" stroked="f"/>
        </w:pict>
      </w:r>
    </w:p>
    <w:p w14:paraId="4D59BF9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718D08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E05043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17E9F46" w14:textId="77777777" w:rsidR="00AC4931" w:rsidRPr="00AC4931" w:rsidRDefault="00AC4931" w:rsidP="00AC4931">
      <w:pPr>
        <w:widowControl/>
        <w:jc w:val="left"/>
        <w:rPr>
          <w:rFonts w:ascii="Times New Roman" w:eastAsia="宋体" w:hAnsi="Times New Roman" w:cs="Times New Roman" w:hint="eastAsia"/>
          <w:kern w:val="0"/>
          <w:sz w:val="22"/>
        </w:rPr>
      </w:pPr>
      <w:r w:rsidRPr="00AC4931">
        <w:rPr>
          <w:rFonts w:ascii="Times New Roman" w:eastAsia="宋体" w:hAnsi="Times New Roman" w:cs="Times New Roman"/>
          <w:kern w:val="0"/>
          <w:sz w:val="22"/>
        </w:rPr>
        <w:t> </w:t>
      </w:r>
    </w:p>
    <w:p w14:paraId="71B1013D"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average discount rate used to determine the U.S. postretirement benefit obligation was 2.6% in 2020 and 3.5% in 2019. The average discount rate used in determining the postretirement benefit cost was 3.5% in 2020, 4.45% in 2019 and 3.75% in 2018.</w:t>
      </w:r>
    </w:p>
    <w:p w14:paraId="2E8985F0"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estimated future benefit payments for the postretirement benefits set forth below reflect expected future service as appropriate (dollars in millions).</w:t>
      </w:r>
    </w:p>
    <w:p w14:paraId="6CE4021B"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2369" w:type="dxa"/>
        <w:tblCellMar>
          <w:left w:w="0" w:type="dxa"/>
          <w:right w:w="0" w:type="dxa"/>
        </w:tblCellMar>
        <w:tblLook w:val="04A0" w:firstRow="1" w:lastRow="0" w:firstColumn="1" w:lastColumn="0" w:noHBand="0" w:noVBand="1"/>
      </w:tblPr>
      <w:tblGrid>
        <w:gridCol w:w="9945"/>
        <w:gridCol w:w="226"/>
        <w:gridCol w:w="117"/>
        <w:gridCol w:w="1964"/>
        <w:gridCol w:w="117"/>
      </w:tblGrid>
      <w:tr w:rsidR="00AC4931" w:rsidRPr="00AC4931" w14:paraId="594C4590" w14:textId="77777777" w:rsidTr="00AC4931">
        <w:tc>
          <w:tcPr>
            <w:tcW w:w="9909" w:type="dxa"/>
            <w:shd w:val="clear" w:color="auto" w:fill="FFFFFF"/>
            <w:tcMar>
              <w:top w:w="15" w:type="dxa"/>
              <w:left w:w="0" w:type="dxa"/>
              <w:bottom w:w="0" w:type="dxa"/>
              <w:right w:w="15" w:type="dxa"/>
            </w:tcMar>
            <w:vAlign w:val="bottom"/>
            <w:hideMark/>
          </w:tcPr>
          <w:p w14:paraId="0231AF5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POSTRETIREMENT BENEFITS</w:t>
            </w:r>
            <w:r w:rsidRPr="00AC4931">
              <w:rPr>
                <w:rFonts w:ascii="Arial" w:eastAsia="宋体" w:hAnsi="Arial" w:cs="Arial"/>
                <w:color w:val="000000"/>
                <w:kern w:val="0"/>
                <w:sz w:val="16"/>
                <w:szCs w:val="16"/>
                <w:u w:val="single"/>
              </w:rPr>
              <w:t> (Dollars in millions)</w:t>
            </w:r>
          </w:p>
        </w:tc>
        <w:tc>
          <w:tcPr>
            <w:tcW w:w="225" w:type="dxa"/>
            <w:shd w:val="clear" w:color="auto" w:fill="FFFFFF"/>
            <w:tcMar>
              <w:top w:w="15" w:type="dxa"/>
              <w:left w:w="0" w:type="dxa"/>
              <w:bottom w:w="0" w:type="dxa"/>
              <w:right w:w="15" w:type="dxa"/>
            </w:tcMar>
            <w:vAlign w:val="bottom"/>
            <w:hideMark/>
          </w:tcPr>
          <w:p w14:paraId="471F39F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066" w:type="dxa"/>
            <w:gridSpan w:val="2"/>
            <w:tcBorders>
              <w:bottom w:val="single" w:sz="6" w:space="0" w:color="000000"/>
            </w:tcBorders>
            <w:shd w:val="clear" w:color="auto" w:fill="FFFFFF"/>
            <w:tcMar>
              <w:top w:w="15" w:type="dxa"/>
              <w:left w:w="0" w:type="dxa"/>
              <w:bottom w:w="0" w:type="dxa"/>
              <w:right w:w="15" w:type="dxa"/>
            </w:tcMar>
            <w:vAlign w:val="bottom"/>
            <w:hideMark/>
          </w:tcPr>
          <w:p w14:paraId="13FEE75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EXPECTED</w:t>
            </w:r>
          </w:p>
          <w:p w14:paraId="34FE9B3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PAYMENTS</w:t>
            </w:r>
          </w:p>
        </w:tc>
        <w:tc>
          <w:tcPr>
            <w:tcW w:w="109" w:type="dxa"/>
            <w:shd w:val="clear" w:color="auto" w:fill="FFFFFF"/>
            <w:noWrap/>
            <w:tcMar>
              <w:top w:w="15" w:type="dxa"/>
              <w:left w:w="0" w:type="dxa"/>
              <w:bottom w:w="0" w:type="dxa"/>
              <w:right w:w="15" w:type="dxa"/>
            </w:tcMar>
            <w:vAlign w:val="bottom"/>
            <w:hideMark/>
          </w:tcPr>
          <w:p w14:paraId="2695BBA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186595A" w14:textId="77777777" w:rsidTr="00AC4931">
        <w:tc>
          <w:tcPr>
            <w:tcW w:w="9909" w:type="dxa"/>
            <w:shd w:val="clear" w:color="auto" w:fill="CFF0FC"/>
            <w:tcMar>
              <w:top w:w="15" w:type="dxa"/>
              <w:left w:w="0" w:type="dxa"/>
              <w:bottom w:w="0" w:type="dxa"/>
              <w:right w:w="15" w:type="dxa"/>
            </w:tcMar>
            <w:hideMark/>
          </w:tcPr>
          <w:p w14:paraId="5E158D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2021</w:t>
            </w:r>
          </w:p>
        </w:tc>
        <w:tc>
          <w:tcPr>
            <w:tcW w:w="225" w:type="dxa"/>
            <w:shd w:val="clear" w:color="auto" w:fill="CFF0FC"/>
            <w:tcMar>
              <w:top w:w="15" w:type="dxa"/>
              <w:left w:w="0" w:type="dxa"/>
              <w:bottom w:w="0" w:type="dxa"/>
              <w:right w:w="15" w:type="dxa"/>
            </w:tcMar>
            <w:hideMark/>
          </w:tcPr>
          <w:p w14:paraId="7BF4F3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tcBorders>
              <w:top w:val="single" w:sz="6" w:space="0" w:color="000000"/>
            </w:tcBorders>
            <w:shd w:val="clear" w:color="auto" w:fill="CFF0FC"/>
            <w:noWrap/>
            <w:tcMar>
              <w:top w:w="15" w:type="dxa"/>
              <w:left w:w="0" w:type="dxa"/>
              <w:bottom w:w="0" w:type="dxa"/>
              <w:right w:w="15" w:type="dxa"/>
            </w:tcMar>
            <w:vAlign w:val="bottom"/>
            <w:hideMark/>
          </w:tcPr>
          <w:p w14:paraId="7F2413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2" w:type="dxa"/>
            <w:tcBorders>
              <w:top w:val="single" w:sz="6" w:space="0" w:color="000000"/>
            </w:tcBorders>
            <w:shd w:val="clear" w:color="auto" w:fill="CFF0FC"/>
            <w:noWrap/>
            <w:tcMar>
              <w:top w:w="15" w:type="dxa"/>
              <w:left w:w="0" w:type="dxa"/>
              <w:bottom w:w="0" w:type="dxa"/>
              <w:right w:w="15" w:type="dxa"/>
            </w:tcMar>
            <w:vAlign w:val="bottom"/>
            <w:hideMark/>
          </w:tcPr>
          <w:p w14:paraId="261A379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0.5</w:t>
            </w:r>
          </w:p>
        </w:tc>
        <w:tc>
          <w:tcPr>
            <w:tcW w:w="109" w:type="dxa"/>
            <w:shd w:val="clear" w:color="auto" w:fill="CFF0FC"/>
            <w:noWrap/>
            <w:tcMar>
              <w:top w:w="15" w:type="dxa"/>
              <w:left w:w="0" w:type="dxa"/>
              <w:bottom w:w="0" w:type="dxa"/>
              <w:right w:w="15" w:type="dxa"/>
            </w:tcMar>
            <w:vAlign w:val="bottom"/>
            <w:hideMark/>
          </w:tcPr>
          <w:p w14:paraId="56D341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D3D47B8" w14:textId="77777777" w:rsidTr="00AC4931">
        <w:tc>
          <w:tcPr>
            <w:tcW w:w="9909" w:type="dxa"/>
            <w:shd w:val="clear" w:color="auto" w:fill="FFFFFF"/>
            <w:tcMar>
              <w:top w:w="15" w:type="dxa"/>
              <w:left w:w="0" w:type="dxa"/>
              <w:bottom w:w="0" w:type="dxa"/>
              <w:right w:w="15" w:type="dxa"/>
            </w:tcMar>
            <w:hideMark/>
          </w:tcPr>
          <w:p w14:paraId="1A1E7B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2022</w:t>
            </w:r>
          </w:p>
        </w:tc>
        <w:tc>
          <w:tcPr>
            <w:tcW w:w="225" w:type="dxa"/>
            <w:shd w:val="clear" w:color="auto" w:fill="FFFFFF"/>
            <w:tcMar>
              <w:top w:w="15" w:type="dxa"/>
              <w:left w:w="0" w:type="dxa"/>
              <w:bottom w:w="0" w:type="dxa"/>
              <w:right w:w="15" w:type="dxa"/>
            </w:tcMar>
            <w:hideMark/>
          </w:tcPr>
          <w:p w14:paraId="1E7D8AF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shd w:val="clear" w:color="auto" w:fill="FFFFFF"/>
            <w:noWrap/>
            <w:tcMar>
              <w:top w:w="15" w:type="dxa"/>
              <w:left w:w="0" w:type="dxa"/>
              <w:bottom w:w="0" w:type="dxa"/>
              <w:right w:w="15" w:type="dxa"/>
            </w:tcMar>
            <w:vAlign w:val="bottom"/>
            <w:hideMark/>
          </w:tcPr>
          <w:p w14:paraId="514885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2" w:type="dxa"/>
            <w:shd w:val="clear" w:color="auto" w:fill="FFFFFF"/>
            <w:noWrap/>
            <w:tcMar>
              <w:top w:w="15" w:type="dxa"/>
              <w:left w:w="0" w:type="dxa"/>
              <w:bottom w:w="0" w:type="dxa"/>
              <w:right w:w="15" w:type="dxa"/>
            </w:tcMar>
            <w:vAlign w:val="bottom"/>
            <w:hideMark/>
          </w:tcPr>
          <w:p w14:paraId="663DF80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09" w:type="dxa"/>
            <w:shd w:val="clear" w:color="auto" w:fill="FFFFFF"/>
            <w:noWrap/>
            <w:tcMar>
              <w:top w:w="15" w:type="dxa"/>
              <w:left w:w="0" w:type="dxa"/>
              <w:bottom w:w="0" w:type="dxa"/>
              <w:right w:w="15" w:type="dxa"/>
            </w:tcMar>
            <w:vAlign w:val="bottom"/>
            <w:hideMark/>
          </w:tcPr>
          <w:p w14:paraId="726239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02D57F9" w14:textId="77777777" w:rsidTr="00AC4931">
        <w:tc>
          <w:tcPr>
            <w:tcW w:w="9909" w:type="dxa"/>
            <w:shd w:val="clear" w:color="auto" w:fill="CFF0FC"/>
            <w:tcMar>
              <w:top w:w="15" w:type="dxa"/>
              <w:left w:w="0" w:type="dxa"/>
              <w:bottom w:w="0" w:type="dxa"/>
              <w:right w:w="15" w:type="dxa"/>
            </w:tcMar>
            <w:hideMark/>
          </w:tcPr>
          <w:p w14:paraId="72F524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2023</w:t>
            </w:r>
          </w:p>
        </w:tc>
        <w:tc>
          <w:tcPr>
            <w:tcW w:w="225" w:type="dxa"/>
            <w:shd w:val="clear" w:color="auto" w:fill="CFF0FC"/>
            <w:tcMar>
              <w:top w:w="15" w:type="dxa"/>
              <w:left w:w="0" w:type="dxa"/>
              <w:bottom w:w="0" w:type="dxa"/>
              <w:right w:w="15" w:type="dxa"/>
            </w:tcMar>
            <w:hideMark/>
          </w:tcPr>
          <w:p w14:paraId="418067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shd w:val="clear" w:color="auto" w:fill="CFF0FC"/>
            <w:noWrap/>
            <w:tcMar>
              <w:top w:w="15" w:type="dxa"/>
              <w:left w:w="0" w:type="dxa"/>
              <w:bottom w:w="0" w:type="dxa"/>
              <w:right w:w="15" w:type="dxa"/>
            </w:tcMar>
            <w:vAlign w:val="bottom"/>
            <w:hideMark/>
          </w:tcPr>
          <w:p w14:paraId="7613C0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2" w:type="dxa"/>
            <w:shd w:val="clear" w:color="auto" w:fill="CFF0FC"/>
            <w:noWrap/>
            <w:tcMar>
              <w:top w:w="15" w:type="dxa"/>
              <w:left w:w="0" w:type="dxa"/>
              <w:bottom w:w="0" w:type="dxa"/>
              <w:right w:w="15" w:type="dxa"/>
            </w:tcMar>
            <w:vAlign w:val="bottom"/>
            <w:hideMark/>
          </w:tcPr>
          <w:p w14:paraId="6ECC35B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w:t>
            </w:r>
          </w:p>
        </w:tc>
        <w:tc>
          <w:tcPr>
            <w:tcW w:w="109" w:type="dxa"/>
            <w:shd w:val="clear" w:color="auto" w:fill="CFF0FC"/>
            <w:noWrap/>
            <w:tcMar>
              <w:top w:w="15" w:type="dxa"/>
              <w:left w:w="0" w:type="dxa"/>
              <w:bottom w:w="0" w:type="dxa"/>
              <w:right w:w="15" w:type="dxa"/>
            </w:tcMar>
            <w:vAlign w:val="bottom"/>
            <w:hideMark/>
          </w:tcPr>
          <w:p w14:paraId="2B3520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82892F0" w14:textId="77777777" w:rsidTr="00AC4931">
        <w:tc>
          <w:tcPr>
            <w:tcW w:w="9909" w:type="dxa"/>
            <w:shd w:val="clear" w:color="auto" w:fill="FFFFFF"/>
            <w:tcMar>
              <w:top w:w="15" w:type="dxa"/>
              <w:left w:w="0" w:type="dxa"/>
              <w:bottom w:w="0" w:type="dxa"/>
              <w:right w:w="15" w:type="dxa"/>
            </w:tcMar>
            <w:hideMark/>
          </w:tcPr>
          <w:p w14:paraId="5694B4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2024</w:t>
            </w:r>
          </w:p>
        </w:tc>
        <w:tc>
          <w:tcPr>
            <w:tcW w:w="225" w:type="dxa"/>
            <w:shd w:val="clear" w:color="auto" w:fill="FFFFFF"/>
            <w:tcMar>
              <w:top w:w="15" w:type="dxa"/>
              <w:left w:w="0" w:type="dxa"/>
              <w:bottom w:w="0" w:type="dxa"/>
              <w:right w:w="15" w:type="dxa"/>
            </w:tcMar>
            <w:hideMark/>
          </w:tcPr>
          <w:p w14:paraId="21CF83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shd w:val="clear" w:color="auto" w:fill="FFFFFF"/>
            <w:noWrap/>
            <w:tcMar>
              <w:top w:w="15" w:type="dxa"/>
              <w:left w:w="0" w:type="dxa"/>
              <w:bottom w:w="0" w:type="dxa"/>
              <w:right w:w="15" w:type="dxa"/>
            </w:tcMar>
            <w:vAlign w:val="bottom"/>
            <w:hideMark/>
          </w:tcPr>
          <w:p w14:paraId="3103D8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2" w:type="dxa"/>
            <w:shd w:val="clear" w:color="auto" w:fill="FFFFFF"/>
            <w:noWrap/>
            <w:tcMar>
              <w:top w:w="15" w:type="dxa"/>
              <w:left w:w="0" w:type="dxa"/>
              <w:bottom w:w="0" w:type="dxa"/>
              <w:right w:w="15" w:type="dxa"/>
            </w:tcMar>
            <w:vAlign w:val="bottom"/>
            <w:hideMark/>
          </w:tcPr>
          <w:p w14:paraId="7B98B7A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0.7</w:t>
            </w:r>
          </w:p>
        </w:tc>
        <w:tc>
          <w:tcPr>
            <w:tcW w:w="109" w:type="dxa"/>
            <w:shd w:val="clear" w:color="auto" w:fill="FFFFFF"/>
            <w:noWrap/>
            <w:tcMar>
              <w:top w:w="15" w:type="dxa"/>
              <w:left w:w="0" w:type="dxa"/>
              <w:bottom w:w="0" w:type="dxa"/>
              <w:right w:w="15" w:type="dxa"/>
            </w:tcMar>
            <w:vAlign w:val="bottom"/>
            <w:hideMark/>
          </w:tcPr>
          <w:p w14:paraId="2CCA4E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F660E32" w14:textId="77777777" w:rsidTr="00AC4931">
        <w:tc>
          <w:tcPr>
            <w:tcW w:w="9909" w:type="dxa"/>
            <w:shd w:val="clear" w:color="auto" w:fill="CFF0FC"/>
            <w:tcMar>
              <w:top w:w="15" w:type="dxa"/>
              <w:left w:w="0" w:type="dxa"/>
              <w:bottom w:w="0" w:type="dxa"/>
              <w:right w:w="15" w:type="dxa"/>
            </w:tcMar>
            <w:hideMark/>
          </w:tcPr>
          <w:p w14:paraId="7799E9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2025</w:t>
            </w:r>
          </w:p>
        </w:tc>
        <w:tc>
          <w:tcPr>
            <w:tcW w:w="225" w:type="dxa"/>
            <w:shd w:val="clear" w:color="auto" w:fill="CFF0FC"/>
            <w:tcMar>
              <w:top w:w="15" w:type="dxa"/>
              <w:left w:w="0" w:type="dxa"/>
              <w:bottom w:w="0" w:type="dxa"/>
              <w:right w:w="15" w:type="dxa"/>
            </w:tcMar>
            <w:hideMark/>
          </w:tcPr>
          <w:p w14:paraId="668DF5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shd w:val="clear" w:color="auto" w:fill="CFF0FC"/>
            <w:noWrap/>
            <w:tcMar>
              <w:top w:w="15" w:type="dxa"/>
              <w:left w:w="0" w:type="dxa"/>
              <w:bottom w:w="0" w:type="dxa"/>
              <w:right w:w="15" w:type="dxa"/>
            </w:tcMar>
            <w:vAlign w:val="bottom"/>
            <w:hideMark/>
          </w:tcPr>
          <w:p w14:paraId="6EFE09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2" w:type="dxa"/>
            <w:shd w:val="clear" w:color="auto" w:fill="CFF0FC"/>
            <w:noWrap/>
            <w:tcMar>
              <w:top w:w="15" w:type="dxa"/>
              <w:left w:w="0" w:type="dxa"/>
              <w:bottom w:w="0" w:type="dxa"/>
              <w:right w:w="15" w:type="dxa"/>
            </w:tcMar>
            <w:vAlign w:val="bottom"/>
            <w:hideMark/>
          </w:tcPr>
          <w:p w14:paraId="22D2708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0.7</w:t>
            </w:r>
          </w:p>
        </w:tc>
        <w:tc>
          <w:tcPr>
            <w:tcW w:w="109" w:type="dxa"/>
            <w:shd w:val="clear" w:color="auto" w:fill="CFF0FC"/>
            <w:noWrap/>
            <w:tcMar>
              <w:top w:w="15" w:type="dxa"/>
              <w:left w:w="0" w:type="dxa"/>
              <w:bottom w:w="0" w:type="dxa"/>
              <w:right w:w="15" w:type="dxa"/>
            </w:tcMar>
            <w:vAlign w:val="bottom"/>
            <w:hideMark/>
          </w:tcPr>
          <w:p w14:paraId="7E33AC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5A808FB" w14:textId="77777777" w:rsidTr="00AC4931">
        <w:tc>
          <w:tcPr>
            <w:tcW w:w="9909" w:type="dxa"/>
            <w:shd w:val="clear" w:color="auto" w:fill="FFFFFF"/>
            <w:tcMar>
              <w:top w:w="15" w:type="dxa"/>
              <w:left w:w="0" w:type="dxa"/>
              <w:bottom w:w="0" w:type="dxa"/>
              <w:right w:w="15" w:type="dxa"/>
            </w:tcMar>
            <w:hideMark/>
          </w:tcPr>
          <w:p w14:paraId="293B50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Years 2026–2030</w:t>
            </w:r>
          </w:p>
        </w:tc>
        <w:tc>
          <w:tcPr>
            <w:tcW w:w="225" w:type="dxa"/>
            <w:shd w:val="clear" w:color="auto" w:fill="FFFFFF"/>
            <w:tcMar>
              <w:top w:w="15" w:type="dxa"/>
              <w:left w:w="0" w:type="dxa"/>
              <w:bottom w:w="0" w:type="dxa"/>
              <w:right w:w="15" w:type="dxa"/>
            </w:tcMar>
            <w:hideMark/>
          </w:tcPr>
          <w:p w14:paraId="6385A1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9" w:type="dxa"/>
            <w:shd w:val="clear" w:color="auto" w:fill="FFFFFF"/>
            <w:noWrap/>
            <w:tcMar>
              <w:top w:w="15" w:type="dxa"/>
              <w:left w:w="0" w:type="dxa"/>
              <w:bottom w:w="0" w:type="dxa"/>
              <w:right w:w="15" w:type="dxa"/>
            </w:tcMar>
            <w:vAlign w:val="bottom"/>
            <w:hideMark/>
          </w:tcPr>
          <w:p w14:paraId="1887DB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42" w:type="dxa"/>
            <w:shd w:val="clear" w:color="auto" w:fill="FFFFFF"/>
            <w:noWrap/>
            <w:tcMar>
              <w:top w:w="15" w:type="dxa"/>
              <w:left w:w="0" w:type="dxa"/>
              <w:bottom w:w="0" w:type="dxa"/>
              <w:right w:w="15" w:type="dxa"/>
            </w:tcMar>
            <w:vAlign w:val="bottom"/>
            <w:hideMark/>
          </w:tcPr>
          <w:p w14:paraId="2F0E19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w:t>
            </w:r>
          </w:p>
        </w:tc>
        <w:tc>
          <w:tcPr>
            <w:tcW w:w="109" w:type="dxa"/>
            <w:shd w:val="clear" w:color="auto" w:fill="FFFFFF"/>
            <w:noWrap/>
            <w:tcMar>
              <w:top w:w="15" w:type="dxa"/>
              <w:left w:w="0" w:type="dxa"/>
              <w:bottom w:w="0" w:type="dxa"/>
              <w:right w:w="15" w:type="dxa"/>
            </w:tcMar>
            <w:vAlign w:val="bottom"/>
            <w:hideMark/>
          </w:tcPr>
          <w:p w14:paraId="4AEE5E64"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0A6D592F"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200304F1" w14:textId="77777777" w:rsidR="00AC4931" w:rsidRPr="00AC4931" w:rsidRDefault="00AC4931" w:rsidP="00AC4931">
      <w:pPr>
        <w:widowControl/>
        <w:spacing w:before="100"/>
        <w:rPr>
          <w:rFonts w:ascii="Arial" w:eastAsia="宋体" w:hAnsi="Arial" w:cs="Arial"/>
          <w:b/>
          <w:bCs/>
          <w:kern w:val="0"/>
          <w:sz w:val="22"/>
        </w:rPr>
      </w:pPr>
      <w:r w:rsidRPr="00AC4931">
        <w:rPr>
          <w:rFonts w:ascii="Arial" w:eastAsia="宋体" w:hAnsi="Arial" w:cs="Arial"/>
          <w:b/>
          <w:bCs/>
          <w:kern w:val="0"/>
          <w:sz w:val="22"/>
        </w:rPr>
        <w:t>20. Related Party Transactions</w:t>
      </w:r>
    </w:p>
    <w:p w14:paraId="2EE1531D" w14:textId="77777777" w:rsidR="00AC4931" w:rsidRPr="00AC4931" w:rsidRDefault="00AC4931" w:rsidP="00AC4931">
      <w:pPr>
        <w:widowControl/>
        <w:shd w:val="clear" w:color="auto" w:fill="FFFFFF"/>
        <w:spacing w:before="120"/>
        <w:rPr>
          <w:rFonts w:ascii="Arial" w:eastAsia="宋体" w:hAnsi="Arial" w:cs="Arial"/>
          <w:kern w:val="0"/>
          <w:sz w:val="18"/>
          <w:szCs w:val="18"/>
        </w:rPr>
      </w:pPr>
      <w:r w:rsidRPr="00AC4931">
        <w:rPr>
          <w:rFonts w:ascii="Arial" w:eastAsia="宋体" w:hAnsi="Arial" w:cs="Arial"/>
          <w:kern w:val="0"/>
          <w:sz w:val="18"/>
          <w:szCs w:val="18"/>
        </w:rPr>
        <w:lastRenderedPageBreak/>
        <w:t>Throughout the periods covered by consolidated financial statements, Autoliv purchased finished goods from Veoneer. Related party purchases from Veoneer amounted to approximately $70 million and $73 million for the full year 2020 and 2019, respectively.</w:t>
      </w:r>
    </w:p>
    <w:p w14:paraId="153E56E8" w14:textId="77777777" w:rsidR="00AC4931" w:rsidRPr="00AC4931" w:rsidRDefault="00AC4931" w:rsidP="00AC4931">
      <w:pPr>
        <w:widowControl/>
        <w:shd w:val="clear" w:color="auto" w:fill="FFFFFF"/>
        <w:spacing w:before="240"/>
        <w:rPr>
          <w:rFonts w:ascii="Arial" w:eastAsia="宋体" w:hAnsi="Arial" w:cs="Arial"/>
          <w:kern w:val="0"/>
          <w:sz w:val="18"/>
          <w:szCs w:val="18"/>
        </w:rPr>
      </w:pPr>
      <w:r w:rsidRPr="00AC4931">
        <w:rPr>
          <w:rFonts w:ascii="Arial" w:eastAsia="宋体" w:hAnsi="Arial" w:cs="Arial"/>
          <w:kern w:val="0"/>
          <w:sz w:val="18"/>
          <w:szCs w:val="18"/>
        </w:rPr>
        <w:t>Autoliv also subleases certain office space to Veoneer. However, related party sublease income from Veoneer is not material for 2020 and 2019.</w:t>
      </w:r>
    </w:p>
    <w:p w14:paraId="1398ADD1"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Amounts due to and due from related parties as of December 31, 2020 and December 31, 2019 are summarized in the below table:</w:t>
      </w:r>
    </w:p>
    <w:p w14:paraId="6350F2DB"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4430" w:type="dxa"/>
        <w:tblCellMar>
          <w:left w:w="0" w:type="dxa"/>
          <w:right w:w="0" w:type="dxa"/>
        </w:tblCellMar>
        <w:tblLook w:val="04A0" w:firstRow="1" w:lastRow="0" w:firstColumn="1" w:lastColumn="0" w:noHBand="0" w:noVBand="1"/>
      </w:tblPr>
      <w:tblGrid>
        <w:gridCol w:w="9172"/>
        <w:gridCol w:w="243"/>
        <w:gridCol w:w="137"/>
        <w:gridCol w:w="2088"/>
        <w:gridCol w:w="137"/>
        <w:gridCol w:w="242"/>
        <w:gridCol w:w="141"/>
        <w:gridCol w:w="2133"/>
        <w:gridCol w:w="137"/>
      </w:tblGrid>
      <w:tr w:rsidR="00AC4931" w:rsidRPr="00AC4931" w14:paraId="389CD7D2" w14:textId="77777777" w:rsidTr="00AC4931">
        <w:tc>
          <w:tcPr>
            <w:tcW w:w="9153" w:type="dxa"/>
            <w:shd w:val="clear" w:color="auto" w:fill="FFFFFF"/>
            <w:tcMar>
              <w:top w:w="15" w:type="dxa"/>
              <w:left w:w="0" w:type="dxa"/>
              <w:bottom w:w="0" w:type="dxa"/>
              <w:right w:w="15" w:type="dxa"/>
            </w:tcMar>
            <w:vAlign w:val="bottom"/>
            <w:hideMark/>
          </w:tcPr>
          <w:p w14:paraId="3381A3C9" w14:textId="77777777" w:rsidR="00AC4931" w:rsidRPr="00AC4931" w:rsidRDefault="00AC4931" w:rsidP="00AC4931">
            <w:pPr>
              <w:widowControl/>
              <w:jc w:val="left"/>
              <w:rPr>
                <w:rFonts w:ascii="Arial" w:eastAsia="宋体" w:hAnsi="Arial" w:cs="Arial"/>
                <w:kern w:val="0"/>
                <w:sz w:val="20"/>
                <w:szCs w:val="20"/>
              </w:rPr>
            </w:pPr>
            <w:r w:rsidRPr="00AC4931">
              <w:rPr>
                <w:rFonts w:ascii="Arial" w:eastAsia="宋体" w:hAnsi="Arial" w:cs="Arial"/>
                <w:kern w:val="0"/>
                <w:sz w:val="20"/>
                <w:szCs w:val="20"/>
              </w:rPr>
              <w:t> </w:t>
            </w:r>
          </w:p>
        </w:tc>
        <w:tc>
          <w:tcPr>
            <w:tcW w:w="242" w:type="dxa"/>
            <w:shd w:val="clear" w:color="auto" w:fill="FFFFFF"/>
            <w:tcMar>
              <w:top w:w="15" w:type="dxa"/>
              <w:left w:w="0" w:type="dxa"/>
              <w:bottom w:w="0" w:type="dxa"/>
              <w:right w:w="15" w:type="dxa"/>
            </w:tcMar>
            <w:vAlign w:val="bottom"/>
            <w:hideMark/>
          </w:tcPr>
          <w:p w14:paraId="0F7522E6" w14:textId="77777777" w:rsidR="00AC4931" w:rsidRPr="00AC4931" w:rsidRDefault="00AC4931" w:rsidP="00AC4931">
            <w:pPr>
              <w:widowControl/>
              <w:jc w:val="left"/>
              <w:rPr>
                <w:rFonts w:ascii="Arial" w:eastAsia="宋体" w:hAnsi="Arial" w:cs="Arial"/>
                <w:color w:val="000000"/>
                <w:kern w:val="0"/>
                <w:sz w:val="22"/>
              </w:rPr>
            </w:pPr>
            <w:r w:rsidRPr="00AC4931">
              <w:rPr>
                <w:rFonts w:ascii="Arial" w:eastAsia="宋体" w:hAnsi="Arial" w:cs="Arial"/>
                <w:color w:val="000000"/>
                <w:kern w:val="0"/>
                <w:sz w:val="22"/>
              </w:rPr>
              <w:t> </w:t>
            </w:r>
          </w:p>
        </w:tc>
        <w:tc>
          <w:tcPr>
            <w:tcW w:w="4846" w:type="dxa"/>
            <w:gridSpan w:val="6"/>
            <w:tcBorders>
              <w:bottom w:val="single" w:sz="6" w:space="0" w:color="000000"/>
            </w:tcBorders>
            <w:shd w:val="clear" w:color="auto" w:fill="FFFFFF"/>
            <w:tcMar>
              <w:top w:w="15" w:type="dxa"/>
              <w:left w:w="0" w:type="dxa"/>
              <w:bottom w:w="0" w:type="dxa"/>
              <w:right w:w="15" w:type="dxa"/>
            </w:tcMar>
            <w:vAlign w:val="bottom"/>
            <w:hideMark/>
          </w:tcPr>
          <w:p w14:paraId="1BC892F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As of</w:t>
            </w:r>
          </w:p>
        </w:tc>
        <w:tc>
          <w:tcPr>
            <w:tcW w:w="129" w:type="dxa"/>
            <w:shd w:val="clear" w:color="auto" w:fill="FFFFFF"/>
            <w:noWrap/>
            <w:tcMar>
              <w:top w:w="15" w:type="dxa"/>
              <w:left w:w="0" w:type="dxa"/>
              <w:bottom w:w="0" w:type="dxa"/>
              <w:right w:w="15" w:type="dxa"/>
            </w:tcMar>
            <w:vAlign w:val="bottom"/>
            <w:hideMark/>
          </w:tcPr>
          <w:p w14:paraId="78BAFD8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564B79BC" w14:textId="77777777" w:rsidTr="00AC4931">
        <w:tc>
          <w:tcPr>
            <w:tcW w:w="9153" w:type="dxa"/>
            <w:shd w:val="clear" w:color="auto" w:fill="FFFFFF"/>
            <w:tcMar>
              <w:top w:w="15" w:type="dxa"/>
              <w:left w:w="0" w:type="dxa"/>
              <w:bottom w:w="0" w:type="dxa"/>
              <w:right w:w="15" w:type="dxa"/>
            </w:tcMar>
            <w:vAlign w:val="bottom"/>
            <w:hideMark/>
          </w:tcPr>
          <w:p w14:paraId="74105A8B" w14:textId="77777777" w:rsidR="00AC4931" w:rsidRPr="00AC4931" w:rsidRDefault="00AC4931" w:rsidP="00AC4931">
            <w:pPr>
              <w:widowControl/>
              <w:jc w:val="left"/>
              <w:rPr>
                <w:rFonts w:ascii="Arial" w:eastAsia="宋体" w:hAnsi="Arial" w:cs="Arial"/>
                <w:i/>
                <w:iCs/>
                <w:color w:val="000000"/>
                <w:kern w:val="0"/>
                <w:sz w:val="16"/>
                <w:szCs w:val="16"/>
              </w:rPr>
            </w:pPr>
            <w:r w:rsidRPr="00AC4931">
              <w:rPr>
                <w:rFonts w:ascii="Arial" w:eastAsia="宋体" w:hAnsi="Arial" w:cs="Arial"/>
                <w:i/>
                <w:iCs/>
                <w:color w:val="000000"/>
                <w:kern w:val="0"/>
                <w:sz w:val="16"/>
                <w:szCs w:val="16"/>
                <w:u w:val="single"/>
              </w:rPr>
              <w:t>(Dollars in millions)</w:t>
            </w:r>
          </w:p>
        </w:tc>
        <w:tc>
          <w:tcPr>
            <w:tcW w:w="242" w:type="dxa"/>
            <w:shd w:val="clear" w:color="auto" w:fill="FFFFFF"/>
            <w:tcMar>
              <w:top w:w="15" w:type="dxa"/>
              <w:left w:w="0" w:type="dxa"/>
              <w:bottom w:w="0" w:type="dxa"/>
              <w:right w:w="15" w:type="dxa"/>
            </w:tcMar>
            <w:vAlign w:val="bottom"/>
            <w:hideMark/>
          </w:tcPr>
          <w:p w14:paraId="326E7CB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21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B4040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w:t>
            </w:r>
          </w:p>
          <w:p w14:paraId="3C0C32B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29" w:type="dxa"/>
            <w:shd w:val="clear" w:color="auto" w:fill="FFFFFF"/>
            <w:noWrap/>
            <w:tcMar>
              <w:top w:w="15" w:type="dxa"/>
              <w:left w:w="0" w:type="dxa"/>
              <w:bottom w:w="0" w:type="dxa"/>
              <w:right w:w="15" w:type="dxa"/>
            </w:tcMar>
            <w:vAlign w:val="bottom"/>
            <w:hideMark/>
          </w:tcPr>
          <w:p w14:paraId="3B01DDE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42" w:type="dxa"/>
            <w:tcBorders>
              <w:top w:val="single" w:sz="6" w:space="0" w:color="000000"/>
            </w:tcBorders>
            <w:shd w:val="clear" w:color="auto" w:fill="FFFFFF"/>
            <w:tcMar>
              <w:top w:w="15" w:type="dxa"/>
              <w:left w:w="0" w:type="dxa"/>
              <w:bottom w:w="0" w:type="dxa"/>
              <w:right w:w="15" w:type="dxa"/>
            </w:tcMar>
            <w:vAlign w:val="bottom"/>
            <w:hideMark/>
          </w:tcPr>
          <w:p w14:paraId="51AB082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217"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96508E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December 31,</w:t>
            </w:r>
          </w:p>
          <w:p w14:paraId="2413510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29" w:type="dxa"/>
            <w:shd w:val="clear" w:color="auto" w:fill="FFFFFF"/>
            <w:noWrap/>
            <w:tcMar>
              <w:top w:w="15" w:type="dxa"/>
              <w:left w:w="0" w:type="dxa"/>
              <w:bottom w:w="0" w:type="dxa"/>
              <w:right w:w="15" w:type="dxa"/>
            </w:tcMar>
            <w:vAlign w:val="bottom"/>
            <w:hideMark/>
          </w:tcPr>
          <w:p w14:paraId="141720A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0BA22011" w14:textId="77777777" w:rsidTr="00AC4931">
        <w:tc>
          <w:tcPr>
            <w:tcW w:w="9153" w:type="dxa"/>
            <w:shd w:val="clear" w:color="auto" w:fill="CFF0FC"/>
            <w:tcMar>
              <w:top w:w="15" w:type="dxa"/>
              <w:left w:w="0" w:type="dxa"/>
              <w:bottom w:w="0" w:type="dxa"/>
              <w:right w:w="15" w:type="dxa"/>
            </w:tcMar>
            <w:hideMark/>
          </w:tcPr>
          <w:p w14:paraId="2889F2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Related party receivables</w:t>
            </w:r>
          </w:p>
        </w:tc>
        <w:tc>
          <w:tcPr>
            <w:tcW w:w="242" w:type="dxa"/>
            <w:shd w:val="clear" w:color="auto" w:fill="CFF0FC"/>
            <w:tcMar>
              <w:top w:w="15" w:type="dxa"/>
              <w:left w:w="0" w:type="dxa"/>
              <w:bottom w:w="0" w:type="dxa"/>
              <w:right w:w="15" w:type="dxa"/>
            </w:tcMar>
            <w:vAlign w:val="bottom"/>
            <w:hideMark/>
          </w:tcPr>
          <w:p w14:paraId="4F26CE63"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1EC897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69" w:type="dxa"/>
            <w:tcBorders>
              <w:top w:val="single" w:sz="6" w:space="0" w:color="000000"/>
            </w:tcBorders>
            <w:shd w:val="clear" w:color="auto" w:fill="CFF0FC"/>
            <w:noWrap/>
            <w:tcMar>
              <w:top w:w="15" w:type="dxa"/>
              <w:left w:w="0" w:type="dxa"/>
              <w:bottom w:w="0" w:type="dxa"/>
              <w:right w:w="15" w:type="dxa"/>
            </w:tcMar>
            <w:vAlign w:val="bottom"/>
            <w:hideMark/>
          </w:tcPr>
          <w:p w14:paraId="105723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w:t>
            </w:r>
          </w:p>
        </w:tc>
        <w:tc>
          <w:tcPr>
            <w:tcW w:w="129" w:type="dxa"/>
            <w:shd w:val="clear" w:color="auto" w:fill="CFF0FC"/>
            <w:noWrap/>
            <w:tcMar>
              <w:top w:w="15" w:type="dxa"/>
              <w:left w:w="0" w:type="dxa"/>
              <w:bottom w:w="0" w:type="dxa"/>
              <w:right w:w="15" w:type="dxa"/>
            </w:tcMar>
            <w:vAlign w:val="bottom"/>
            <w:hideMark/>
          </w:tcPr>
          <w:p w14:paraId="7A03D4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7FFAD742"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3" w:type="dxa"/>
            <w:tcBorders>
              <w:top w:val="single" w:sz="6" w:space="0" w:color="000000"/>
            </w:tcBorders>
            <w:shd w:val="clear" w:color="auto" w:fill="CFF0FC"/>
            <w:noWrap/>
            <w:tcMar>
              <w:top w:w="15" w:type="dxa"/>
              <w:left w:w="0" w:type="dxa"/>
              <w:bottom w:w="0" w:type="dxa"/>
              <w:right w:w="15" w:type="dxa"/>
            </w:tcMar>
            <w:vAlign w:val="bottom"/>
            <w:hideMark/>
          </w:tcPr>
          <w:p w14:paraId="5520EC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069" w:type="dxa"/>
            <w:tcBorders>
              <w:top w:val="single" w:sz="6" w:space="0" w:color="000000"/>
            </w:tcBorders>
            <w:shd w:val="clear" w:color="auto" w:fill="CFF0FC"/>
            <w:noWrap/>
            <w:tcMar>
              <w:top w:w="15" w:type="dxa"/>
              <w:left w:w="0" w:type="dxa"/>
              <w:bottom w:w="0" w:type="dxa"/>
              <w:right w:w="15" w:type="dxa"/>
            </w:tcMar>
            <w:vAlign w:val="bottom"/>
            <w:hideMark/>
          </w:tcPr>
          <w:p w14:paraId="6B2CF90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w:t>
            </w:r>
          </w:p>
        </w:tc>
        <w:tc>
          <w:tcPr>
            <w:tcW w:w="129" w:type="dxa"/>
            <w:shd w:val="clear" w:color="auto" w:fill="CFF0FC"/>
            <w:noWrap/>
            <w:tcMar>
              <w:top w:w="15" w:type="dxa"/>
              <w:left w:w="0" w:type="dxa"/>
              <w:bottom w:w="0" w:type="dxa"/>
              <w:right w:w="15" w:type="dxa"/>
            </w:tcMar>
            <w:vAlign w:val="bottom"/>
            <w:hideMark/>
          </w:tcPr>
          <w:p w14:paraId="3759D0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0A3B65E" w14:textId="77777777" w:rsidTr="00AC4931">
        <w:tc>
          <w:tcPr>
            <w:tcW w:w="9153" w:type="dxa"/>
            <w:shd w:val="clear" w:color="auto" w:fill="FFFFFF"/>
            <w:tcMar>
              <w:top w:w="15" w:type="dxa"/>
              <w:left w:w="0" w:type="dxa"/>
              <w:bottom w:w="0" w:type="dxa"/>
              <w:right w:w="15" w:type="dxa"/>
            </w:tcMar>
            <w:hideMark/>
          </w:tcPr>
          <w:p w14:paraId="65B4EF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Related party payables</w:t>
            </w:r>
            <w:r w:rsidRPr="00AC4931">
              <w:rPr>
                <w:rFonts w:ascii="Arial" w:eastAsia="宋体" w:hAnsi="Arial" w:cs="Arial"/>
                <w:color w:val="000000"/>
                <w:kern w:val="0"/>
                <w:sz w:val="18"/>
                <w:szCs w:val="18"/>
                <w:vertAlign w:val="superscript"/>
              </w:rPr>
              <w:t>1)</w:t>
            </w:r>
          </w:p>
        </w:tc>
        <w:tc>
          <w:tcPr>
            <w:tcW w:w="242" w:type="dxa"/>
            <w:shd w:val="clear" w:color="auto" w:fill="FFFFFF"/>
            <w:tcMar>
              <w:top w:w="15" w:type="dxa"/>
              <w:left w:w="0" w:type="dxa"/>
              <w:bottom w:w="0" w:type="dxa"/>
              <w:right w:w="15" w:type="dxa"/>
            </w:tcMar>
            <w:vAlign w:val="bottom"/>
            <w:hideMark/>
          </w:tcPr>
          <w:p w14:paraId="6947E091"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057F11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69" w:type="dxa"/>
            <w:shd w:val="clear" w:color="auto" w:fill="FFFFFF"/>
            <w:noWrap/>
            <w:tcMar>
              <w:top w:w="15" w:type="dxa"/>
              <w:left w:w="0" w:type="dxa"/>
              <w:bottom w:w="0" w:type="dxa"/>
              <w:right w:w="15" w:type="dxa"/>
            </w:tcMar>
            <w:vAlign w:val="bottom"/>
            <w:hideMark/>
          </w:tcPr>
          <w:p w14:paraId="76C9EBD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27.2</w:t>
            </w:r>
          </w:p>
        </w:tc>
        <w:tc>
          <w:tcPr>
            <w:tcW w:w="129" w:type="dxa"/>
            <w:shd w:val="clear" w:color="auto" w:fill="FFFFFF"/>
            <w:noWrap/>
            <w:tcMar>
              <w:top w:w="15" w:type="dxa"/>
              <w:left w:w="0" w:type="dxa"/>
              <w:bottom w:w="0" w:type="dxa"/>
              <w:right w:w="15" w:type="dxa"/>
            </w:tcMar>
            <w:vAlign w:val="bottom"/>
            <w:hideMark/>
          </w:tcPr>
          <w:p w14:paraId="3B693C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FFFFFF"/>
            <w:tcMar>
              <w:top w:w="15" w:type="dxa"/>
              <w:left w:w="0" w:type="dxa"/>
              <w:bottom w:w="0" w:type="dxa"/>
              <w:right w:w="15" w:type="dxa"/>
            </w:tcMar>
            <w:vAlign w:val="bottom"/>
            <w:hideMark/>
          </w:tcPr>
          <w:p w14:paraId="4F3FC065"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3" w:type="dxa"/>
            <w:shd w:val="clear" w:color="auto" w:fill="FFFFFF"/>
            <w:noWrap/>
            <w:tcMar>
              <w:top w:w="15" w:type="dxa"/>
              <w:left w:w="0" w:type="dxa"/>
              <w:bottom w:w="0" w:type="dxa"/>
              <w:right w:w="15" w:type="dxa"/>
            </w:tcMar>
            <w:vAlign w:val="bottom"/>
            <w:hideMark/>
          </w:tcPr>
          <w:p w14:paraId="5BC4AF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69" w:type="dxa"/>
            <w:shd w:val="clear" w:color="auto" w:fill="FFFFFF"/>
            <w:noWrap/>
            <w:tcMar>
              <w:top w:w="15" w:type="dxa"/>
              <w:left w:w="0" w:type="dxa"/>
              <w:bottom w:w="0" w:type="dxa"/>
              <w:right w:w="15" w:type="dxa"/>
            </w:tcMar>
            <w:vAlign w:val="bottom"/>
            <w:hideMark/>
          </w:tcPr>
          <w:p w14:paraId="2384B5F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9.7</w:t>
            </w:r>
          </w:p>
        </w:tc>
        <w:tc>
          <w:tcPr>
            <w:tcW w:w="129" w:type="dxa"/>
            <w:shd w:val="clear" w:color="auto" w:fill="FFFFFF"/>
            <w:noWrap/>
            <w:tcMar>
              <w:top w:w="15" w:type="dxa"/>
              <w:left w:w="0" w:type="dxa"/>
              <w:bottom w:w="0" w:type="dxa"/>
              <w:right w:w="15" w:type="dxa"/>
            </w:tcMar>
            <w:vAlign w:val="bottom"/>
            <w:hideMark/>
          </w:tcPr>
          <w:p w14:paraId="3545C5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8EAA837" w14:textId="77777777" w:rsidTr="00AC4931">
        <w:tc>
          <w:tcPr>
            <w:tcW w:w="9153" w:type="dxa"/>
            <w:shd w:val="clear" w:color="auto" w:fill="CFF0FC"/>
            <w:tcMar>
              <w:top w:w="15" w:type="dxa"/>
              <w:left w:w="0" w:type="dxa"/>
              <w:bottom w:w="0" w:type="dxa"/>
              <w:right w:w="15" w:type="dxa"/>
            </w:tcMar>
            <w:hideMark/>
          </w:tcPr>
          <w:p w14:paraId="339809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Related party accrued expenses</w:t>
            </w:r>
            <w:r w:rsidRPr="00AC4931">
              <w:rPr>
                <w:rFonts w:ascii="Arial" w:eastAsia="宋体" w:hAnsi="Arial" w:cs="Arial"/>
                <w:color w:val="000000"/>
                <w:kern w:val="0"/>
                <w:sz w:val="18"/>
                <w:szCs w:val="18"/>
                <w:vertAlign w:val="superscript"/>
              </w:rPr>
              <w:t>1)</w:t>
            </w:r>
          </w:p>
        </w:tc>
        <w:tc>
          <w:tcPr>
            <w:tcW w:w="242" w:type="dxa"/>
            <w:shd w:val="clear" w:color="auto" w:fill="CFF0FC"/>
            <w:tcMar>
              <w:top w:w="15" w:type="dxa"/>
              <w:left w:w="0" w:type="dxa"/>
              <w:bottom w:w="0" w:type="dxa"/>
              <w:right w:w="15" w:type="dxa"/>
            </w:tcMar>
            <w:vAlign w:val="bottom"/>
            <w:hideMark/>
          </w:tcPr>
          <w:p w14:paraId="6AAE1C78"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348716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69" w:type="dxa"/>
            <w:shd w:val="clear" w:color="auto" w:fill="CFF0FC"/>
            <w:noWrap/>
            <w:tcMar>
              <w:top w:w="15" w:type="dxa"/>
              <w:left w:w="0" w:type="dxa"/>
              <w:bottom w:w="0" w:type="dxa"/>
              <w:right w:w="15" w:type="dxa"/>
            </w:tcMar>
            <w:vAlign w:val="bottom"/>
            <w:hideMark/>
          </w:tcPr>
          <w:p w14:paraId="3D6B0D2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10.3</w:t>
            </w:r>
          </w:p>
        </w:tc>
        <w:tc>
          <w:tcPr>
            <w:tcW w:w="129" w:type="dxa"/>
            <w:shd w:val="clear" w:color="auto" w:fill="CFF0FC"/>
            <w:noWrap/>
            <w:tcMar>
              <w:top w:w="15" w:type="dxa"/>
              <w:left w:w="0" w:type="dxa"/>
              <w:bottom w:w="0" w:type="dxa"/>
              <w:right w:w="15" w:type="dxa"/>
            </w:tcMar>
            <w:vAlign w:val="bottom"/>
            <w:hideMark/>
          </w:tcPr>
          <w:p w14:paraId="4EE533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42" w:type="dxa"/>
            <w:shd w:val="clear" w:color="auto" w:fill="CFF0FC"/>
            <w:tcMar>
              <w:top w:w="15" w:type="dxa"/>
              <w:left w:w="0" w:type="dxa"/>
              <w:bottom w:w="0" w:type="dxa"/>
              <w:right w:w="15" w:type="dxa"/>
            </w:tcMar>
            <w:vAlign w:val="bottom"/>
            <w:hideMark/>
          </w:tcPr>
          <w:p w14:paraId="49FEC2EF" w14:textId="77777777" w:rsidR="00AC4931" w:rsidRPr="00AC4931" w:rsidRDefault="00AC4931" w:rsidP="00AC4931">
            <w:pPr>
              <w:widowControl/>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33" w:type="dxa"/>
            <w:shd w:val="clear" w:color="auto" w:fill="CFF0FC"/>
            <w:noWrap/>
            <w:tcMar>
              <w:top w:w="15" w:type="dxa"/>
              <w:left w:w="0" w:type="dxa"/>
              <w:bottom w:w="0" w:type="dxa"/>
              <w:right w:w="15" w:type="dxa"/>
            </w:tcMar>
            <w:vAlign w:val="bottom"/>
            <w:hideMark/>
          </w:tcPr>
          <w:p w14:paraId="4D892C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069" w:type="dxa"/>
            <w:shd w:val="clear" w:color="auto" w:fill="CFF0FC"/>
            <w:noWrap/>
            <w:tcMar>
              <w:top w:w="15" w:type="dxa"/>
              <w:left w:w="0" w:type="dxa"/>
              <w:bottom w:w="0" w:type="dxa"/>
              <w:right w:w="15" w:type="dxa"/>
            </w:tcMar>
            <w:vAlign w:val="bottom"/>
            <w:hideMark/>
          </w:tcPr>
          <w:p w14:paraId="227E31D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7.7</w:t>
            </w:r>
          </w:p>
        </w:tc>
        <w:tc>
          <w:tcPr>
            <w:tcW w:w="129" w:type="dxa"/>
            <w:shd w:val="clear" w:color="auto" w:fill="CFF0FC"/>
            <w:noWrap/>
            <w:tcMar>
              <w:top w:w="15" w:type="dxa"/>
              <w:left w:w="0" w:type="dxa"/>
              <w:bottom w:w="0" w:type="dxa"/>
              <w:right w:w="15" w:type="dxa"/>
            </w:tcMar>
            <w:vAlign w:val="bottom"/>
            <w:hideMark/>
          </w:tcPr>
          <w:p w14:paraId="5E4B46DE"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2D43F93C"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60EE9246" w14:textId="77777777" w:rsidTr="00AC4931">
        <w:tc>
          <w:tcPr>
            <w:tcW w:w="919" w:type="dxa"/>
            <w:noWrap/>
            <w:hideMark/>
          </w:tcPr>
          <w:p w14:paraId="23BD2F91"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1)</w:t>
            </w:r>
          </w:p>
        </w:tc>
        <w:tc>
          <w:tcPr>
            <w:tcW w:w="0" w:type="auto"/>
            <w:hideMark/>
          </w:tcPr>
          <w:p w14:paraId="2BD68D11"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6"/>
                <w:szCs w:val="16"/>
              </w:rPr>
              <w:t>Included in Related party liabilities in the Consolidated Balance Sheet</w:t>
            </w:r>
            <w:r w:rsidRPr="00AC4931">
              <w:rPr>
                <w:rFonts w:ascii="Arial" w:eastAsia="宋体" w:hAnsi="Arial" w:cs="Arial"/>
                <w:color w:val="000000"/>
                <w:kern w:val="0"/>
                <w:sz w:val="18"/>
                <w:szCs w:val="18"/>
              </w:rPr>
              <w:t>.</w:t>
            </w:r>
          </w:p>
        </w:tc>
      </w:tr>
    </w:tbl>
    <w:p w14:paraId="3B6E841C" w14:textId="77777777" w:rsidR="00AC4931" w:rsidRPr="00AC4931" w:rsidRDefault="00AC4931" w:rsidP="00AC4931">
      <w:pPr>
        <w:widowControl/>
        <w:rPr>
          <w:rFonts w:ascii="Times New Roman" w:eastAsia="宋体" w:hAnsi="Times New Roman" w:cs="Times New Roman"/>
          <w:kern w:val="0"/>
          <w:sz w:val="22"/>
        </w:rPr>
      </w:pPr>
      <w:r w:rsidRPr="00AC4931">
        <w:rPr>
          <w:rFonts w:ascii="Times New Roman" w:eastAsia="宋体" w:hAnsi="Times New Roman" w:cs="Times New Roman"/>
          <w:kern w:val="0"/>
          <w:sz w:val="22"/>
        </w:rPr>
        <w:t> </w:t>
      </w:r>
    </w:p>
    <w:p w14:paraId="19CF099B" w14:textId="77777777" w:rsidR="00AC4931" w:rsidRPr="00AC4931" w:rsidRDefault="00AC4931" w:rsidP="00AC4931">
      <w:pPr>
        <w:widowControl/>
        <w:spacing w:before="40"/>
        <w:rPr>
          <w:rFonts w:ascii="Arial" w:eastAsia="宋体" w:hAnsi="Arial" w:cs="Arial"/>
          <w:kern w:val="0"/>
          <w:sz w:val="18"/>
          <w:szCs w:val="18"/>
        </w:rPr>
      </w:pPr>
      <w:r w:rsidRPr="00AC4931">
        <w:rPr>
          <w:rFonts w:ascii="Arial" w:eastAsia="宋体" w:hAnsi="Arial" w:cs="Arial"/>
          <w:kern w:val="0"/>
          <w:sz w:val="18"/>
          <w:szCs w:val="18"/>
        </w:rPr>
        <w:t>Related party receivables primarily relate to an agreement between Autoliv and Veoneer.</w:t>
      </w:r>
    </w:p>
    <w:p w14:paraId="36B03435"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related party payables are mainly driven by Reseller Agreements entered into in connection with the spin-off. The Reseller Agreements are between Autoliv and Veoneer to facilitate the temporary arrangement of the sale of Veoneer products in the interim period post spin-off. For further information, see Note 3. Discontinued Operations above.</w:t>
      </w:r>
    </w:p>
    <w:p w14:paraId="20CFB83D"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related party accrued expenses consists of indemnification liabilities where Autoliv is required to indemnify Veoneer for certain warranty and recall related claims in connection with the Spin-off.</w:t>
      </w:r>
    </w:p>
    <w:p w14:paraId="5BDBAD9D"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5A03562" w14:textId="77777777" w:rsidR="00AC4931" w:rsidRPr="00AC4931" w:rsidRDefault="00AC4931" w:rsidP="00AC4931">
      <w:pPr>
        <w:widowControl/>
        <w:rPr>
          <w:rFonts w:ascii="微软雅黑" w:eastAsia="微软雅黑" w:hAnsi="微软雅黑" w:cs="宋体" w:hint="eastAsia"/>
          <w:color w:val="000000"/>
          <w:kern w:val="0"/>
          <w:sz w:val="18"/>
          <w:szCs w:val="18"/>
        </w:rPr>
      </w:pPr>
      <w:r w:rsidRPr="00AC4931">
        <w:rPr>
          <w:rFonts w:ascii="微软雅黑" w:eastAsia="微软雅黑" w:hAnsi="微软雅黑" w:cs="宋体" w:hint="eastAsia"/>
          <w:color w:val="000000"/>
          <w:kern w:val="0"/>
          <w:sz w:val="18"/>
          <w:szCs w:val="18"/>
        </w:rPr>
        <w:t> </w:t>
      </w:r>
    </w:p>
    <w:p w14:paraId="3E2C9FCF" w14:textId="77777777" w:rsidR="00AC4931" w:rsidRPr="00AC4931" w:rsidRDefault="00AC4931" w:rsidP="00AC4931">
      <w:pPr>
        <w:widowControl/>
        <w:jc w:val="left"/>
        <w:rPr>
          <w:rFonts w:ascii="Arial" w:eastAsia="宋体" w:hAnsi="Arial" w:cs="Arial" w:hint="eastAsia"/>
          <w:color w:val="000000"/>
          <w:kern w:val="0"/>
          <w:sz w:val="18"/>
          <w:szCs w:val="18"/>
        </w:rPr>
      </w:pPr>
    </w:p>
    <w:p w14:paraId="50FB8C4F"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85</w:t>
      </w:r>
    </w:p>
    <w:p w14:paraId="5D4290C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DBA346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B7A5AFE"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001A5DB"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76C00559">
          <v:rect id="_x0000_i1112" style="width:0;height:1.5pt" o:hralign="center" o:hrstd="t" o:hrnoshade="t" o:hr="t" fillcolor="black" stroked="f"/>
        </w:pict>
      </w:r>
    </w:p>
    <w:p w14:paraId="4A44856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1BE4E6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CD3AA87"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F41CB58" w14:textId="77777777" w:rsidR="00AC4931" w:rsidRPr="00AC4931" w:rsidRDefault="00AC4931" w:rsidP="00AC4931">
      <w:pPr>
        <w:widowControl/>
        <w:spacing w:before="160"/>
        <w:rPr>
          <w:rFonts w:ascii="Arial" w:eastAsia="宋体" w:hAnsi="Arial" w:cs="Arial" w:hint="eastAsia"/>
          <w:b/>
          <w:bCs/>
          <w:kern w:val="0"/>
          <w:sz w:val="22"/>
        </w:rPr>
      </w:pPr>
      <w:r w:rsidRPr="00AC4931">
        <w:rPr>
          <w:rFonts w:ascii="Arial" w:eastAsia="宋体" w:hAnsi="Arial" w:cs="Arial"/>
          <w:b/>
          <w:bCs/>
          <w:kern w:val="0"/>
          <w:sz w:val="22"/>
        </w:rPr>
        <w:t>21. Segment Information</w:t>
      </w:r>
    </w:p>
    <w:p w14:paraId="3A22C1B1"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xml:space="preserve">The Company has one operating segment which includes Autoliv’s airbag and seatbelt products and components. The operating results of the operating segment are regularly reviewed by the Company’s </w:t>
      </w:r>
      <w:r w:rsidRPr="00AC4931">
        <w:rPr>
          <w:rFonts w:ascii="Arial" w:eastAsia="宋体" w:hAnsi="Arial" w:cs="Arial"/>
          <w:kern w:val="0"/>
          <w:sz w:val="18"/>
          <w:szCs w:val="18"/>
        </w:rPr>
        <w:lastRenderedPageBreak/>
        <w:t>chief operating decision maker to assess the performance of the individual operating segment and make decisions about resources to be allocated to the operating segment.</w:t>
      </w:r>
    </w:p>
    <w:p w14:paraId="626D6B28"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The Company’s customers consist of all major European, U.S. and Asian automobile manufacturers. Sales to individual customers representing 10% or more of net sales were:</w:t>
      </w:r>
    </w:p>
    <w:p w14:paraId="1AB4BECA"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2020: Renault 13% (including Nissan and Mitsubishi), VW 11%, Stellantis 11% and Honda 10%.</w:t>
      </w:r>
    </w:p>
    <w:p w14:paraId="23081C62"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2019: Renault 16% (including Nissan and Mitsubishi) and VW 10% and Honda 10%.</w:t>
      </w:r>
    </w:p>
    <w:p w14:paraId="09359CA5"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In 2018: Renault 15% (including Nissan and Mitsubishi) and VW 10%.</w:t>
      </w:r>
    </w:p>
    <w:p w14:paraId="68C70C87"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9525"/>
        <w:gridCol w:w="217"/>
        <w:gridCol w:w="159"/>
        <w:gridCol w:w="1787"/>
        <w:gridCol w:w="159"/>
        <w:gridCol w:w="217"/>
        <w:gridCol w:w="159"/>
        <w:gridCol w:w="1787"/>
        <w:gridCol w:w="159"/>
        <w:gridCol w:w="217"/>
        <w:gridCol w:w="159"/>
        <w:gridCol w:w="1787"/>
        <w:gridCol w:w="159"/>
      </w:tblGrid>
      <w:tr w:rsidR="00AC4931" w:rsidRPr="00AC4931" w14:paraId="63161E52" w14:textId="77777777" w:rsidTr="00AC4931">
        <w:tc>
          <w:tcPr>
            <w:tcW w:w="9466" w:type="dxa"/>
            <w:shd w:val="clear" w:color="auto" w:fill="FFFFFF"/>
            <w:tcMar>
              <w:top w:w="15" w:type="dxa"/>
              <w:left w:w="0" w:type="dxa"/>
              <w:bottom w:w="0" w:type="dxa"/>
              <w:right w:w="15" w:type="dxa"/>
            </w:tcMar>
            <w:vAlign w:val="bottom"/>
            <w:hideMark/>
          </w:tcPr>
          <w:p w14:paraId="373885C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NET SALES BY REGION</w:t>
            </w:r>
          </w:p>
        </w:tc>
        <w:tc>
          <w:tcPr>
            <w:tcW w:w="216" w:type="dxa"/>
            <w:shd w:val="clear" w:color="auto" w:fill="FFFFFF"/>
            <w:tcMar>
              <w:top w:w="15" w:type="dxa"/>
              <w:left w:w="0" w:type="dxa"/>
              <w:bottom w:w="0" w:type="dxa"/>
              <w:right w:w="15" w:type="dxa"/>
            </w:tcMar>
            <w:vAlign w:val="bottom"/>
            <w:hideMark/>
          </w:tcPr>
          <w:p w14:paraId="0E715BB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2DD76FD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3CE9689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6" w:type="dxa"/>
            <w:shd w:val="clear" w:color="auto" w:fill="FFFFFF"/>
            <w:tcMar>
              <w:top w:w="15" w:type="dxa"/>
              <w:left w:w="0" w:type="dxa"/>
              <w:bottom w:w="0" w:type="dxa"/>
              <w:right w:w="15" w:type="dxa"/>
            </w:tcMar>
            <w:vAlign w:val="bottom"/>
            <w:hideMark/>
          </w:tcPr>
          <w:p w14:paraId="615E1D2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7291592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4D15196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6" w:type="dxa"/>
            <w:shd w:val="clear" w:color="auto" w:fill="FFFFFF"/>
            <w:tcMar>
              <w:top w:w="15" w:type="dxa"/>
              <w:left w:w="0" w:type="dxa"/>
              <w:bottom w:w="0" w:type="dxa"/>
              <w:right w:w="15" w:type="dxa"/>
            </w:tcMar>
            <w:vAlign w:val="bottom"/>
            <w:hideMark/>
          </w:tcPr>
          <w:p w14:paraId="3D7CA37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7198E42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0" w:type="dxa"/>
            <w:shd w:val="clear" w:color="auto" w:fill="FFFFFF"/>
            <w:noWrap/>
            <w:tcMar>
              <w:top w:w="15" w:type="dxa"/>
              <w:left w:w="0" w:type="dxa"/>
              <w:bottom w:w="0" w:type="dxa"/>
              <w:right w:w="15" w:type="dxa"/>
            </w:tcMar>
            <w:vAlign w:val="bottom"/>
            <w:hideMark/>
          </w:tcPr>
          <w:p w14:paraId="11757BA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0906672" w14:textId="77777777" w:rsidTr="00AC4931">
        <w:tc>
          <w:tcPr>
            <w:tcW w:w="9466" w:type="dxa"/>
            <w:shd w:val="clear" w:color="auto" w:fill="CFF0FC"/>
            <w:tcMar>
              <w:top w:w="15" w:type="dxa"/>
              <w:left w:w="0" w:type="dxa"/>
              <w:bottom w:w="0" w:type="dxa"/>
              <w:right w:w="15" w:type="dxa"/>
            </w:tcMar>
            <w:hideMark/>
          </w:tcPr>
          <w:p w14:paraId="629609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Asia</w:t>
            </w:r>
          </w:p>
        </w:tc>
        <w:tc>
          <w:tcPr>
            <w:tcW w:w="216" w:type="dxa"/>
            <w:shd w:val="clear" w:color="auto" w:fill="CFF0FC"/>
            <w:tcMar>
              <w:top w:w="15" w:type="dxa"/>
              <w:left w:w="0" w:type="dxa"/>
              <w:bottom w:w="0" w:type="dxa"/>
              <w:right w:w="15" w:type="dxa"/>
            </w:tcMar>
            <w:vAlign w:val="bottom"/>
            <w:hideMark/>
          </w:tcPr>
          <w:p w14:paraId="30F397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C09BB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6C6F432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3,043.0</w:t>
            </w:r>
          </w:p>
        </w:tc>
        <w:tc>
          <w:tcPr>
            <w:tcW w:w="150" w:type="dxa"/>
            <w:shd w:val="clear" w:color="auto" w:fill="CFF0FC"/>
            <w:noWrap/>
            <w:tcMar>
              <w:top w:w="15" w:type="dxa"/>
              <w:left w:w="0" w:type="dxa"/>
              <w:bottom w:w="0" w:type="dxa"/>
              <w:right w:w="15" w:type="dxa"/>
            </w:tcMar>
            <w:vAlign w:val="bottom"/>
            <w:hideMark/>
          </w:tcPr>
          <w:p w14:paraId="036F6C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649052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FB388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75889FD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3,176.6</w:t>
            </w:r>
          </w:p>
        </w:tc>
        <w:tc>
          <w:tcPr>
            <w:tcW w:w="150" w:type="dxa"/>
            <w:shd w:val="clear" w:color="auto" w:fill="CFF0FC"/>
            <w:noWrap/>
            <w:tcMar>
              <w:top w:w="15" w:type="dxa"/>
              <w:left w:w="0" w:type="dxa"/>
              <w:bottom w:w="0" w:type="dxa"/>
              <w:right w:w="15" w:type="dxa"/>
            </w:tcMar>
            <w:vAlign w:val="bottom"/>
            <w:hideMark/>
          </w:tcPr>
          <w:p w14:paraId="1568F9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77303A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04F05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42A066D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3,194.9</w:t>
            </w:r>
          </w:p>
        </w:tc>
        <w:tc>
          <w:tcPr>
            <w:tcW w:w="150" w:type="dxa"/>
            <w:shd w:val="clear" w:color="auto" w:fill="CFF0FC"/>
            <w:noWrap/>
            <w:tcMar>
              <w:top w:w="15" w:type="dxa"/>
              <w:left w:w="0" w:type="dxa"/>
              <w:bottom w:w="0" w:type="dxa"/>
              <w:right w:w="15" w:type="dxa"/>
            </w:tcMar>
            <w:vAlign w:val="bottom"/>
            <w:hideMark/>
          </w:tcPr>
          <w:p w14:paraId="1E954B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62CE15B" w14:textId="77777777" w:rsidTr="00AC4931">
        <w:tc>
          <w:tcPr>
            <w:tcW w:w="9466" w:type="dxa"/>
            <w:shd w:val="clear" w:color="auto" w:fill="FFFFFF"/>
            <w:tcMar>
              <w:top w:w="15" w:type="dxa"/>
              <w:left w:w="0" w:type="dxa"/>
              <w:bottom w:w="0" w:type="dxa"/>
              <w:right w:w="15" w:type="dxa"/>
            </w:tcMar>
            <w:hideMark/>
          </w:tcPr>
          <w:p w14:paraId="1EB71F3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Whereof:  China</w:t>
            </w:r>
          </w:p>
        </w:tc>
        <w:tc>
          <w:tcPr>
            <w:tcW w:w="216" w:type="dxa"/>
            <w:shd w:val="clear" w:color="auto" w:fill="FFFFFF"/>
            <w:tcMar>
              <w:top w:w="15" w:type="dxa"/>
              <w:left w:w="0" w:type="dxa"/>
              <w:bottom w:w="0" w:type="dxa"/>
              <w:right w:w="15" w:type="dxa"/>
            </w:tcMar>
            <w:vAlign w:val="bottom"/>
            <w:hideMark/>
          </w:tcPr>
          <w:p w14:paraId="72349DB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792C26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0437E1E0"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1,540.8</w:t>
            </w:r>
          </w:p>
        </w:tc>
        <w:tc>
          <w:tcPr>
            <w:tcW w:w="150" w:type="dxa"/>
            <w:shd w:val="clear" w:color="auto" w:fill="FFFFFF"/>
            <w:noWrap/>
            <w:tcMar>
              <w:top w:w="15" w:type="dxa"/>
              <w:left w:w="0" w:type="dxa"/>
              <w:bottom w:w="0" w:type="dxa"/>
              <w:right w:w="15" w:type="dxa"/>
            </w:tcMar>
            <w:vAlign w:val="bottom"/>
            <w:hideMark/>
          </w:tcPr>
          <w:p w14:paraId="6EE111A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4B6F5E9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A8C3A0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409B8F83"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1,525.3</w:t>
            </w:r>
          </w:p>
        </w:tc>
        <w:tc>
          <w:tcPr>
            <w:tcW w:w="150" w:type="dxa"/>
            <w:shd w:val="clear" w:color="auto" w:fill="FFFFFF"/>
            <w:noWrap/>
            <w:tcMar>
              <w:top w:w="15" w:type="dxa"/>
              <w:left w:w="0" w:type="dxa"/>
              <w:bottom w:w="0" w:type="dxa"/>
              <w:right w:w="15" w:type="dxa"/>
            </w:tcMar>
            <w:vAlign w:val="bottom"/>
            <w:hideMark/>
          </w:tcPr>
          <w:p w14:paraId="2ADD746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0CC8394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84A8E7E"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5F4963F8"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1,522.2</w:t>
            </w:r>
          </w:p>
        </w:tc>
        <w:tc>
          <w:tcPr>
            <w:tcW w:w="150" w:type="dxa"/>
            <w:shd w:val="clear" w:color="auto" w:fill="FFFFFF"/>
            <w:noWrap/>
            <w:tcMar>
              <w:top w:w="15" w:type="dxa"/>
              <w:left w:w="0" w:type="dxa"/>
              <w:bottom w:w="0" w:type="dxa"/>
              <w:right w:w="15" w:type="dxa"/>
            </w:tcMar>
            <w:vAlign w:val="bottom"/>
            <w:hideMark/>
          </w:tcPr>
          <w:p w14:paraId="1D8D060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r>
      <w:tr w:rsidR="00AC4931" w:rsidRPr="00AC4931" w14:paraId="64529262" w14:textId="77777777" w:rsidTr="00AC4931">
        <w:tc>
          <w:tcPr>
            <w:tcW w:w="9466" w:type="dxa"/>
            <w:shd w:val="clear" w:color="auto" w:fill="CFF0FC"/>
            <w:tcMar>
              <w:top w:w="15" w:type="dxa"/>
              <w:left w:w="0" w:type="dxa"/>
              <w:bottom w:w="0" w:type="dxa"/>
              <w:right w:w="15" w:type="dxa"/>
            </w:tcMar>
            <w:hideMark/>
          </w:tcPr>
          <w:p w14:paraId="42CE3D5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Japan</w:t>
            </w:r>
          </w:p>
        </w:tc>
        <w:tc>
          <w:tcPr>
            <w:tcW w:w="216" w:type="dxa"/>
            <w:shd w:val="clear" w:color="auto" w:fill="CFF0FC"/>
            <w:tcMar>
              <w:top w:w="15" w:type="dxa"/>
              <w:left w:w="0" w:type="dxa"/>
              <w:bottom w:w="0" w:type="dxa"/>
              <w:right w:w="15" w:type="dxa"/>
            </w:tcMar>
            <w:vAlign w:val="bottom"/>
            <w:hideMark/>
          </w:tcPr>
          <w:p w14:paraId="7D14384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BBFD76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59B8767E"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732.9</w:t>
            </w:r>
          </w:p>
        </w:tc>
        <w:tc>
          <w:tcPr>
            <w:tcW w:w="150" w:type="dxa"/>
            <w:shd w:val="clear" w:color="auto" w:fill="CFF0FC"/>
            <w:noWrap/>
            <w:tcMar>
              <w:top w:w="15" w:type="dxa"/>
              <w:left w:w="0" w:type="dxa"/>
              <w:bottom w:w="0" w:type="dxa"/>
              <w:right w:w="15" w:type="dxa"/>
            </w:tcMar>
            <w:vAlign w:val="bottom"/>
            <w:hideMark/>
          </w:tcPr>
          <w:p w14:paraId="14A6B05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59C6E685"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E86670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452AD11B"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810.3</w:t>
            </w:r>
          </w:p>
        </w:tc>
        <w:tc>
          <w:tcPr>
            <w:tcW w:w="150" w:type="dxa"/>
            <w:shd w:val="clear" w:color="auto" w:fill="CFF0FC"/>
            <w:noWrap/>
            <w:tcMar>
              <w:top w:w="15" w:type="dxa"/>
              <w:left w:w="0" w:type="dxa"/>
              <w:bottom w:w="0" w:type="dxa"/>
              <w:right w:w="15" w:type="dxa"/>
            </w:tcMar>
            <w:vAlign w:val="bottom"/>
            <w:hideMark/>
          </w:tcPr>
          <w:p w14:paraId="16A4CBAF"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4B26A80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508076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400FE5FC"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827.9</w:t>
            </w:r>
          </w:p>
        </w:tc>
        <w:tc>
          <w:tcPr>
            <w:tcW w:w="150" w:type="dxa"/>
            <w:shd w:val="clear" w:color="auto" w:fill="CFF0FC"/>
            <w:noWrap/>
            <w:tcMar>
              <w:top w:w="15" w:type="dxa"/>
              <w:left w:w="0" w:type="dxa"/>
              <w:bottom w:w="0" w:type="dxa"/>
              <w:right w:w="15" w:type="dxa"/>
            </w:tcMar>
            <w:vAlign w:val="bottom"/>
            <w:hideMark/>
          </w:tcPr>
          <w:p w14:paraId="3CF6D4E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r>
      <w:tr w:rsidR="00AC4931" w:rsidRPr="00AC4931" w14:paraId="079030DE" w14:textId="77777777" w:rsidTr="00AC4931">
        <w:tc>
          <w:tcPr>
            <w:tcW w:w="9466" w:type="dxa"/>
            <w:shd w:val="clear" w:color="auto" w:fill="FFFFFF"/>
            <w:tcMar>
              <w:top w:w="15" w:type="dxa"/>
              <w:left w:w="0" w:type="dxa"/>
              <w:bottom w:w="0" w:type="dxa"/>
              <w:right w:w="15" w:type="dxa"/>
            </w:tcMar>
            <w:hideMark/>
          </w:tcPr>
          <w:p w14:paraId="4EC6AC1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Rest of Asia</w:t>
            </w:r>
          </w:p>
        </w:tc>
        <w:tc>
          <w:tcPr>
            <w:tcW w:w="216" w:type="dxa"/>
            <w:shd w:val="clear" w:color="auto" w:fill="FFFFFF"/>
            <w:tcMar>
              <w:top w:w="15" w:type="dxa"/>
              <w:left w:w="0" w:type="dxa"/>
              <w:bottom w:w="0" w:type="dxa"/>
              <w:right w:w="15" w:type="dxa"/>
            </w:tcMar>
            <w:vAlign w:val="bottom"/>
            <w:hideMark/>
          </w:tcPr>
          <w:p w14:paraId="36C4DD2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965D3A0"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2747785"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769.3</w:t>
            </w:r>
          </w:p>
        </w:tc>
        <w:tc>
          <w:tcPr>
            <w:tcW w:w="150" w:type="dxa"/>
            <w:shd w:val="clear" w:color="auto" w:fill="FFFFFF"/>
            <w:noWrap/>
            <w:tcMar>
              <w:top w:w="15" w:type="dxa"/>
              <w:left w:w="0" w:type="dxa"/>
              <w:bottom w:w="0" w:type="dxa"/>
              <w:right w:w="15" w:type="dxa"/>
            </w:tcMar>
            <w:vAlign w:val="bottom"/>
            <w:hideMark/>
          </w:tcPr>
          <w:p w14:paraId="1919ED5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12B36CD7"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863311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605F6060"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841.0</w:t>
            </w:r>
          </w:p>
        </w:tc>
        <w:tc>
          <w:tcPr>
            <w:tcW w:w="150" w:type="dxa"/>
            <w:shd w:val="clear" w:color="auto" w:fill="FFFFFF"/>
            <w:noWrap/>
            <w:tcMar>
              <w:top w:w="15" w:type="dxa"/>
              <w:left w:w="0" w:type="dxa"/>
              <w:bottom w:w="0" w:type="dxa"/>
              <w:right w:w="15" w:type="dxa"/>
            </w:tcMar>
            <w:vAlign w:val="bottom"/>
            <w:hideMark/>
          </w:tcPr>
          <w:p w14:paraId="460129F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35B4334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D1F6A3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93A3711"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844.8</w:t>
            </w:r>
          </w:p>
        </w:tc>
        <w:tc>
          <w:tcPr>
            <w:tcW w:w="150" w:type="dxa"/>
            <w:shd w:val="clear" w:color="auto" w:fill="FFFFFF"/>
            <w:noWrap/>
            <w:tcMar>
              <w:top w:w="15" w:type="dxa"/>
              <w:left w:w="0" w:type="dxa"/>
              <w:bottom w:w="0" w:type="dxa"/>
              <w:right w:w="15" w:type="dxa"/>
            </w:tcMar>
            <w:vAlign w:val="bottom"/>
            <w:hideMark/>
          </w:tcPr>
          <w:p w14:paraId="695F496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r>
      <w:tr w:rsidR="00AC4931" w:rsidRPr="00AC4931" w14:paraId="4D167B4E" w14:textId="77777777" w:rsidTr="00AC4931">
        <w:tc>
          <w:tcPr>
            <w:tcW w:w="9466" w:type="dxa"/>
            <w:shd w:val="clear" w:color="auto" w:fill="CFF0FC"/>
            <w:tcMar>
              <w:top w:w="15" w:type="dxa"/>
              <w:left w:w="0" w:type="dxa"/>
              <w:bottom w:w="0" w:type="dxa"/>
              <w:right w:w="15" w:type="dxa"/>
            </w:tcMar>
            <w:hideMark/>
          </w:tcPr>
          <w:p w14:paraId="41AF61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Americas</w:t>
            </w:r>
          </w:p>
        </w:tc>
        <w:tc>
          <w:tcPr>
            <w:tcW w:w="216" w:type="dxa"/>
            <w:shd w:val="clear" w:color="auto" w:fill="CFF0FC"/>
            <w:tcMar>
              <w:top w:w="15" w:type="dxa"/>
              <w:left w:w="0" w:type="dxa"/>
              <w:bottom w:w="0" w:type="dxa"/>
              <w:right w:w="15" w:type="dxa"/>
            </w:tcMar>
            <w:vAlign w:val="bottom"/>
            <w:hideMark/>
          </w:tcPr>
          <w:p w14:paraId="003A90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1D21D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54CB622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2,337.1</w:t>
            </w:r>
          </w:p>
        </w:tc>
        <w:tc>
          <w:tcPr>
            <w:tcW w:w="150" w:type="dxa"/>
            <w:shd w:val="clear" w:color="auto" w:fill="CFF0FC"/>
            <w:noWrap/>
            <w:tcMar>
              <w:top w:w="15" w:type="dxa"/>
              <w:left w:w="0" w:type="dxa"/>
              <w:bottom w:w="0" w:type="dxa"/>
              <w:right w:w="15" w:type="dxa"/>
            </w:tcMar>
            <w:vAlign w:val="bottom"/>
            <w:hideMark/>
          </w:tcPr>
          <w:p w14:paraId="19825F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39917F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DC6D0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6F3EA0C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2,907.2</w:t>
            </w:r>
          </w:p>
        </w:tc>
        <w:tc>
          <w:tcPr>
            <w:tcW w:w="150" w:type="dxa"/>
            <w:shd w:val="clear" w:color="auto" w:fill="CFF0FC"/>
            <w:noWrap/>
            <w:tcMar>
              <w:top w:w="15" w:type="dxa"/>
              <w:left w:w="0" w:type="dxa"/>
              <w:bottom w:w="0" w:type="dxa"/>
              <w:right w:w="15" w:type="dxa"/>
            </w:tcMar>
            <w:vAlign w:val="bottom"/>
            <w:hideMark/>
          </w:tcPr>
          <w:p w14:paraId="50ABE3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6D3F44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F274B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11943F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2,735.1</w:t>
            </w:r>
          </w:p>
        </w:tc>
        <w:tc>
          <w:tcPr>
            <w:tcW w:w="150" w:type="dxa"/>
            <w:shd w:val="clear" w:color="auto" w:fill="CFF0FC"/>
            <w:noWrap/>
            <w:tcMar>
              <w:top w:w="15" w:type="dxa"/>
              <w:left w:w="0" w:type="dxa"/>
              <w:bottom w:w="0" w:type="dxa"/>
              <w:right w:w="15" w:type="dxa"/>
            </w:tcMar>
            <w:vAlign w:val="bottom"/>
            <w:hideMark/>
          </w:tcPr>
          <w:p w14:paraId="7F647C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ADC2C14" w14:textId="77777777" w:rsidTr="00AC4931">
        <w:tc>
          <w:tcPr>
            <w:tcW w:w="9466" w:type="dxa"/>
            <w:shd w:val="clear" w:color="auto" w:fill="FFFFFF"/>
            <w:tcMar>
              <w:top w:w="15" w:type="dxa"/>
              <w:left w:w="0" w:type="dxa"/>
              <w:bottom w:w="0" w:type="dxa"/>
              <w:right w:w="15" w:type="dxa"/>
            </w:tcMar>
            <w:hideMark/>
          </w:tcPr>
          <w:p w14:paraId="72853D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Europe</w:t>
            </w:r>
          </w:p>
        </w:tc>
        <w:tc>
          <w:tcPr>
            <w:tcW w:w="216" w:type="dxa"/>
            <w:shd w:val="clear" w:color="auto" w:fill="FFFFFF"/>
            <w:tcMar>
              <w:top w:w="15" w:type="dxa"/>
              <w:left w:w="0" w:type="dxa"/>
              <w:bottom w:w="0" w:type="dxa"/>
              <w:right w:w="15" w:type="dxa"/>
            </w:tcMar>
            <w:vAlign w:val="bottom"/>
            <w:hideMark/>
          </w:tcPr>
          <w:p w14:paraId="7C95FD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212BA7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22D3AD5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2,067.3</w:t>
            </w:r>
          </w:p>
        </w:tc>
        <w:tc>
          <w:tcPr>
            <w:tcW w:w="150" w:type="dxa"/>
            <w:shd w:val="clear" w:color="auto" w:fill="FFFFFF"/>
            <w:noWrap/>
            <w:tcMar>
              <w:top w:w="15" w:type="dxa"/>
              <w:left w:w="0" w:type="dxa"/>
              <w:bottom w:w="0" w:type="dxa"/>
              <w:right w:w="15" w:type="dxa"/>
            </w:tcMar>
            <w:vAlign w:val="bottom"/>
            <w:hideMark/>
          </w:tcPr>
          <w:p w14:paraId="2DACC2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57B682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0FAB06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2F30C60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2,463.8</w:t>
            </w:r>
          </w:p>
        </w:tc>
        <w:tc>
          <w:tcPr>
            <w:tcW w:w="150" w:type="dxa"/>
            <w:shd w:val="clear" w:color="auto" w:fill="FFFFFF"/>
            <w:noWrap/>
            <w:tcMar>
              <w:top w:w="15" w:type="dxa"/>
              <w:left w:w="0" w:type="dxa"/>
              <w:bottom w:w="0" w:type="dxa"/>
              <w:right w:w="15" w:type="dxa"/>
            </w:tcMar>
            <w:vAlign w:val="bottom"/>
            <w:hideMark/>
          </w:tcPr>
          <w:p w14:paraId="7D2904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29AE0B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14F74C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6E444FE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2,748.2</w:t>
            </w:r>
          </w:p>
        </w:tc>
        <w:tc>
          <w:tcPr>
            <w:tcW w:w="150" w:type="dxa"/>
            <w:shd w:val="clear" w:color="auto" w:fill="FFFFFF"/>
            <w:noWrap/>
            <w:tcMar>
              <w:top w:w="15" w:type="dxa"/>
              <w:left w:w="0" w:type="dxa"/>
              <w:bottom w:w="0" w:type="dxa"/>
              <w:right w:w="15" w:type="dxa"/>
            </w:tcMar>
            <w:vAlign w:val="bottom"/>
            <w:hideMark/>
          </w:tcPr>
          <w:p w14:paraId="4DBB05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FE7509B" w14:textId="77777777" w:rsidTr="00AC4931">
        <w:tc>
          <w:tcPr>
            <w:tcW w:w="9466" w:type="dxa"/>
            <w:shd w:val="clear" w:color="auto" w:fill="CFF0FC"/>
            <w:tcMar>
              <w:top w:w="15" w:type="dxa"/>
              <w:left w:w="0" w:type="dxa"/>
              <w:bottom w:w="0" w:type="dxa"/>
              <w:right w:w="15" w:type="dxa"/>
            </w:tcMar>
            <w:hideMark/>
          </w:tcPr>
          <w:p w14:paraId="0B93B15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16" w:type="dxa"/>
            <w:shd w:val="clear" w:color="auto" w:fill="CFF0FC"/>
            <w:tcMar>
              <w:top w:w="15" w:type="dxa"/>
              <w:left w:w="0" w:type="dxa"/>
              <w:bottom w:w="0" w:type="dxa"/>
              <w:right w:w="15" w:type="dxa"/>
            </w:tcMar>
            <w:vAlign w:val="bottom"/>
            <w:hideMark/>
          </w:tcPr>
          <w:p w14:paraId="3C081C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E2D803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529D0C6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7,447.4</w:t>
            </w:r>
          </w:p>
        </w:tc>
        <w:tc>
          <w:tcPr>
            <w:tcW w:w="150" w:type="dxa"/>
            <w:shd w:val="clear" w:color="auto" w:fill="CFF0FC"/>
            <w:noWrap/>
            <w:tcMar>
              <w:top w:w="15" w:type="dxa"/>
              <w:left w:w="0" w:type="dxa"/>
              <w:bottom w:w="0" w:type="dxa"/>
              <w:right w:w="15" w:type="dxa"/>
            </w:tcMar>
            <w:vAlign w:val="bottom"/>
            <w:hideMark/>
          </w:tcPr>
          <w:p w14:paraId="6DF1DBB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728768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FC5BE4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7021A93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8,547.6</w:t>
            </w:r>
          </w:p>
        </w:tc>
        <w:tc>
          <w:tcPr>
            <w:tcW w:w="150" w:type="dxa"/>
            <w:shd w:val="clear" w:color="auto" w:fill="CFF0FC"/>
            <w:noWrap/>
            <w:tcMar>
              <w:top w:w="15" w:type="dxa"/>
              <w:left w:w="0" w:type="dxa"/>
              <w:bottom w:w="0" w:type="dxa"/>
              <w:right w:w="15" w:type="dxa"/>
            </w:tcMar>
            <w:vAlign w:val="bottom"/>
            <w:hideMark/>
          </w:tcPr>
          <w:p w14:paraId="5666AE9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3C4526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3D6A38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1C4D4732"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8,678.2</w:t>
            </w:r>
          </w:p>
        </w:tc>
        <w:tc>
          <w:tcPr>
            <w:tcW w:w="150" w:type="dxa"/>
            <w:shd w:val="clear" w:color="auto" w:fill="CFF0FC"/>
            <w:noWrap/>
            <w:tcMar>
              <w:top w:w="15" w:type="dxa"/>
              <w:left w:w="0" w:type="dxa"/>
              <w:bottom w:w="0" w:type="dxa"/>
              <w:right w:w="15" w:type="dxa"/>
            </w:tcMar>
            <w:vAlign w:val="bottom"/>
            <w:hideMark/>
          </w:tcPr>
          <w:p w14:paraId="5BB0FD03"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580C0F17"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61ABDBD1"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The Company has attributed net sales to the geographic area based on the location of the entity selling the final product.</w:t>
      </w:r>
    </w:p>
    <w:p w14:paraId="191CC170" w14:textId="77777777" w:rsidR="00AC4931" w:rsidRPr="00AC4931" w:rsidRDefault="00AC4931" w:rsidP="00AC4931">
      <w:pPr>
        <w:widowControl/>
        <w:spacing w:before="240"/>
        <w:rPr>
          <w:rFonts w:ascii="Arial" w:eastAsia="宋体" w:hAnsi="Arial" w:cs="Arial"/>
          <w:kern w:val="0"/>
          <w:sz w:val="18"/>
          <w:szCs w:val="18"/>
        </w:rPr>
      </w:pPr>
      <w:r w:rsidRPr="00AC4931">
        <w:rPr>
          <w:rFonts w:ascii="Arial" w:eastAsia="宋体" w:hAnsi="Arial" w:cs="Arial"/>
          <w:kern w:val="0"/>
          <w:sz w:val="18"/>
          <w:szCs w:val="18"/>
        </w:rPr>
        <w:t>External sales in the U.S. amounted to $1,647 million, $2,090 million and $1,943 million in 2020, 2019 and 2018, respectively. Of the external sales, exports from the U.S. to other regions amounted to approximately $348 million, $463 million and $384 million in 2020, 2019 and 2018, respectively.</w:t>
      </w:r>
    </w:p>
    <w:p w14:paraId="7F35975D"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9525"/>
        <w:gridCol w:w="217"/>
        <w:gridCol w:w="159"/>
        <w:gridCol w:w="1787"/>
        <w:gridCol w:w="159"/>
        <w:gridCol w:w="217"/>
        <w:gridCol w:w="159"/>
        <w:gridCol w:w="1787"/>
        <w:gridCol w:w="159"/>
        <w:gridCol w:w="217"/>
        <w:gridCol w:w="159"/>
        <w:gridCol w:w="1787"/>
        <w:gridCol w:w="159"/>
      </w:tblGrid>
      <w:tr w:rsidR="00AC4931" w:rsidRPr="00AC4931" w14:paraId="71AB3B2A" w14:textId="77777777" w:rsidTr="00AC4931">
        <w:tc>
          <w:tcPr>
            <w:tcW w:w="9466" w:type="dxa"/>
            <w:shd w:val="clear" w:color="auto" w:fill="FFFFFF"/>
            <w:tcMar>
              <w:top w:w="15" w:type="dxa"/>
              <w:left w:w="0" w:type="dxa"/>
              <w:bottom w:w="0" w:type="dxa"/>
              <w:right w:w="15" w:type="dxa"/>
            </w:tcMar>
            <w:vAlign w:val="bottom"/>
            <w:hideMark/>
          </w:tcPr>
          <w:p w14:paraId="45FCB50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NET SALES BY PRODUCT</w:t>
            </w:r>
          </w:p>
        </w:tc>
        <w:tc>
          <w:tcPr>
            <w:tcW w:w="216" w:type="dxa"/>
            <w:shd w:val="clear" w:color="auto" w:fill="FFFFFF"/>
            <w:tcMar>
              <w:top w:w="15" w:type="dxa"/>
              <w:left w:w="0" w:type="dxa"/>
              <w:bottom w:w="0" w:type="dxa"/>
              <w:right w:w="15" w:type="dxa"/>
            </w:tcMar>
            <w:vAlign w:val="bottom"/>
            <w:hideMark/>
          </w:tcPr>
          <w:p w14:paraId="0AB9E3A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185E444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736EE2E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6" w:type="dxa"/>
            <w:shd w:val="clear" w:color="auto" w:fill="FFFFFF"/>
            <w:tcMar>
              <w:top w:w="15" w:type="dxa"/>
              <w:left w:w="0" w:type="dxa"/>
              <w:bottom w:w="0" w:type="dxa"/>
              <w:right w:w="15" w:type="dxa"/>
            </w:tcMar>
            <w:vAlign w:val="bottom"/>
            <w:hideMark/>
          </w:tcPr>
          <w:p w14:paraId="0003F38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32A2C86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29EE038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6" w:type="dxa"/>
            <w:shd w:val="clear" w:color="auto" w:fill="FFFFFF"/>
            <w:tcMar>
              <w:top w:w="15" w:type="dxa"/>
              <w:left w:w="0" w:type="dxa"/>
              <w:bottom w:w="0" w:type="dxa"/>
              <w:right w:w="15" w:type="dxa"/>
            </w:tcMar>
            <w:vAlign w:val="bottom"/>
            <w:hideMark/>
          </w:tcPr>
          <w:p w14:paraId="2B098AD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281F94C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0" w:type="dxa"/>
            <w:shd w:val="clear" w:color="auto" w:fill="FFFFFF"/>
            <w:noWrap/>
            <w:tcMar>
              <w:top w:w="15" w:type="dxa"/>
              <w:left w:w="0" w:type="dxa"/>
              <w:bottom w:w="0" w:type="dxa"/>
              <w:right w:w="15" w:type="dxa"/>
            </w:tcMar>
            <w:vAlign w:val="bottom"/>
            <w:hideMark/>
          </w:tcPr>
          <w:p w14:paraId="5E9ABF5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2935806" w14:textId="77777777" w:rsidTr="00AC4931">
        <w:tc>
          <w:tcPr>
            <w:tcW w:w="9466" w:type="dxa"/>
            <w:shd w:val="clear" w:color="auto" w:fill="CFF0FC"/>
            <w:tcMar>
              <w:top w:w="15" w:type="dxa"/>
              <w:left w:w="0" w:type="dxa"/>
              <w:bottom w:w="0" w:type="dxa"/>
              <w:right w:w="15" w:type="dxa"/>
            </w:tcMar>
            <w:hideMark/>
          </w:tcPr>
          <w:p w14:paraId="5109B8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Airbag Products</w:t>
            </w:r>
            <w:r w:rsidRPr="00AC4931">
              <w:rPr>
                <w:rFonts w:ascii="Arial" w:eastAsia="宋体" w:hAnsi="Arial" w:cs="Arial"/>
                <w:color w:val="000000"/>
                <w:kern w:val="0"/>
                <w:sz w:val="18"/>
                <w:szCs w:val="18"/>
                <w:vertAlign w:val="superscript"/>
              </w:rPr>
              <w:t>1)</w:t>
            </w:r>
          </w:p>
        </w:tc>
        <w:tc>
          <w:tcPr>
            <w:tcW w:w="216" w:type="dxa"/>
            <w:shd w:val="clear" w:color="auto" w:fill="CFF0FC"/>
            <w:tcMar>
              <w:top w:w="15" w:type="dxa"/>
              <w:left w:w="0" w:type="dxa"/>
              <w:bottom w:w="0" w:type="dxa"/>
              <w:right w:w="15" w:type="dxa"/>
            </w:tcMar>
            <w:vAlign w:val="bottom"/>
            <w:hideMark/>
          </w:tcPr>
          <w:p w14:paraId="7CFB35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C5079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46650EC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4,824.2</w:t>
            </w:r>
          </w:p>
        </w:tc>
        <w:tc>
          <w:tcPr>
            <w:tcW w:w="150" w:type="dxa"/>
            <w:shd w:val="clear" w:color="auto" w:fill="CFF0FC"/>
            <w:noWrap/>
            <w:tcMar>
              <w:top w:w="15" w:type="dxa"/>
              <w:left w:w="0" w:type="dxa"/>
              <w:bottom w:w="0" w:type="dxa"/>
              <w:right w:w="15" w:type="dxa"/>
            </w:tcMar>
            <w:vAlign w:val="bottom"/>
            <w:hideMark/>
          </w:tcPr>
          <w:p w14:paraId="2DF45A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1252361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76F280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502A2F0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5,676.3</w:t>
            </w:r>
          </w:p>
        </w:tc>
        <w:tc>
          <w:tcPr>
            <w:tcW w:w="150" w:type="dxa"/>
            <w:shd w:val="clear" w:color="auto" w:fill="CFF0FC"/>
            <w:noWrap/>
            <w:tcMar>
              <w:top w:w="15" w:type="dxa"/>
              <w:left w:w="0" w:type="dxa"/>
              <w:bottom w:w="0" w:type="dxa"/>
              <w:right w:w="15" w:type="dxa"/>
            </w:tcMar>
            <w:vAlign w:val="bottom"/>
            <w:hideMark/>
          </w:tcPr>
          <w:p w14:paraId="7D5C07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4E95A4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5DC872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6DED850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5,698.6</w:t>
            </w:r>
          </w:p>
        </w:tc>
        <w:tc>
          <w:tcPr>
            <w:tcW w:w="150" w:type="dxa"/>
            <w:shd w:val="clear" w:color="auto" w:fill="CFF0FC"/>
            <w:noWrap/>
            <w:tcMar>
              <w:top w:w="15" w:type="dxa"/>
              <w:left w:w="0" w:type="dxa"/>
              <w:bottom w:w="0" w:type="dxa"/>
              <w:right w:w="15" w:type="dxa"/>
            </w:tcMar>
            <w:vAlign w:val="bottom"/>
            <w:hideMark/>
          </w:tcPr>
          <w:p w14:paraId="4C1527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1CAFC63" w14:textId="77777777" w:rsidTr="00AC4931">
        <w:tc>
          <w:tcPr>
            <w:tcW w:w="9466" w:type="dxa"/>
            <w:shd w:val="clear" w:color="auto" w:fill="FFFFFF"/>
            <w:tcMar>
              <w:top w:w="15" w:type="dxa"/>
              <w:left w:w="0" w:type="dxa"/>
              <w:bottom w:w="0" w:type="dxa"/>
              <w:right w:w="15" w:type="dxa"/>
            </w:tcMar>
            <w:hideMark/>
          </w:tcPr>
          <w:p w14:paraId="49A4BE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Seatbelt Products</w:t>
            </w:r>
            <w:r w:rsidRPr="00AC4931">
              <w:rPr>
                <w:rFonts w:ascii="Arial" w:eastAsia="宋体" w:hAnsi="Arial" w:cs="Arial"/>
                <w:color w:val="000000"/>
                <w:kern w:val="0"/>
                <w:sz w:val="18"/>
                <w:szCs w:val="18"/>
                <w:vertAlign w:val="superscript"/>
              </w:rPr>
              <w:t>1)</w:t>
            </w:r>
          </w:p>
        </w:tc>
        <w:tc>
          <w:tcPr>
            <w:tcW w:w="216" w:type="dxa"/>
            <w:shd w:val="clear" w:color="auto" w:fill="FFFFFF"/>
            <w:tcMar>
              <w:top w:w="15" w:type="dxa"/>
              <w:left w:w="0" w:type="dxa"/>
              <w:bottom w:w="0" w:type="dxa"/>
              <w:right w:w="15" w:type="dxa"/>
            </w:tcMar>
            <w:vAlign w:val="bottom"/>
            <w:hideMark/>
          </w:tcPr>
          <w:p w14:paraId="501D3F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0D073A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696D1C1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2,623.2</w:t>
            </w:r>
          </w:p>
        </w:tc>
        <w:tc>
          <w:tcPr>
            <w:tcW w:w="150" w:type="dxa"/>
            <w:shd w:val="clear" w:color="auto" w:fill="FFFFFF"/>
            <w:noWrap/>
            <w:tcMar>
              <w:top w:w="15" w:type="dxa"/>
              <w:left w:w="0" w:type="dxa"/>
              <w:bottom w:w="0" w:type="dxa"/>
              <w:right w:w="15" w:type="dxa"/>
            </w:tcMar>
            <w:vAlign w:val="bottom"/>
            <w:hideMark/>
          </w:tcPr>
          <w:p w14:paraId="19DCB2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42BF29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3A96DD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48B2879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2,871.3</w:t>
            </w:r>
          </w:p>
        </w:tc>
        <w:tc>
          <w:tcPr>
            <w:tcW w:w="150" w:type="dxa"/>
            <w:shd w:val="clear" w:color="auto" w:fill="FFFFFF"/>
            <w:noWrap/>
            <w:tcMar>
              <w:top w:w="15" w:type="dxa"/>
              <w:left w:w="0" w:type="dxa"/>
              <w:bottom w:w="0" w:type="dxa"/>
              <w:right w:w="15" w:type="dxa"/>
            </w:tcMar>
            <w:vAlign w:val="bottom"/>
            <w:hideMark/>
          </w:tcPr>
          <w:p w14:paraId="04086D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6" w:type="dxa"/>
            <w:shd w:val="clear" w:color="auto" w:fill="FFFFFF"/>
            <w:tcMar>
              <w:top w:w="15" w:type="dxa"/>
              <w:left w:w="0" w:type="dxa"/>
              <w:bottom w:w="0" w:type="dxa"/>
              <w:right w:w="15" w:type="dxa"/>
            </w:tcMar>
            <w:vAlign w:val="bottom"/>
            <w:hideMark/>
          </w:tcPr>
          <w:p w14:paraId="5251D9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2916AD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660675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2,979.6</w:t>
            </w:r>
          </w:p>
        </w:tc>
        <w:tc>
          <w:tcPr>
            <w:tcW w:w="150" w:type="dxa"/>
            <w:shd w:val="clear" w:color="auto" w:fill="FFFFFF"/>
            <w:noWrap/>
            <w:tcMar>
              <w:top w:w="15" w:type="dxa"/>
              <w:left w:w="0" w:type="dxa"/>
              <w:bottom w:w="0" w:type="dxa"/>
              <w:right w:w="15" w:type="dxa"/>
            </w:tcMar>
            <w:vAlign w:val="bottom"/>
            <w:hideMark/>
          </w:tcPr>
          <w:p w14:paraId="20E0F9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C962125" w14:textId="77777777" w:rsidTr="00AC4931">
        <w:tc>
          <w:tcPr>
            <w:tcW w:w="9466" w:type="dxa"/>
            <w:shd w:val="clear" w:color="auto" w:fill="CFF0FC"/>
            <w:tcMar>
              <w:top w:w="15" w:type="dxa"/>
              <w:left w:w="0" w:type="dxa"/>
              <w:bottom w:w="0" w:type="dxa"/>
              <w:right w:w="15" w:type="dxa"/>
            </w:tcMar>
            <w:hideMark/>
          </w:tcPr>
          <w:p w14:paraId="1341442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net sales</w:t>
            </w:r>
          </w:p>
        </w:tc>
        <w:tc>
          <w:tcPr>
            <w:tcW w:w="216" w:type="dxa"/>
            <w:shd w:val="clear" w:color="auto" w:fill="CFF0FC"/>
            <w:tcMar>
              <w:top w:w="15" w:type="dxa"/>
              <w:left w:w="0" w:type="dxa"/>
              <w:bottom w:w="0" w:type="dxa"/>
              <w:right w:w="15" w:type="dxa"/>
            </w:tcMar>
            <w:vAlign w:val="bottom"/>
            <w:hideMark/>
          </w:tcPr>
          <w:p w14:paraId="49DF31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273413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6A99F0E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7,447.4</w:t>
            </w:r>
          </w:p>
        </w:tc>
        <w:tc>
          <w:tcPr>
            <w:tcW w:w="150" w:type="dxa"/>
            <w:shd w:val="clear" w:color="auto" w:fill="CFF0FC"/>
            <w:noWrap/>
            <w:tcMar>
              <w:top w:w="15" w:type="dxa"/>
              <w:left w:w="0" w:type="dxa"/>
              <w:bottom w:w="0" w:type="dxa"/>
              <w:right w:w="15" w:type="dxa"/>
            </w:tcMar>
            <w:vAlign w:val="bottom"/>
            <w:hideMark/>
          </w:tcPr>
          <w:p w14:paraId="2EBC063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7E484C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69B165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76B4223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8,547.6</w:t>
            </w:r>
          </w:p>
        </w:tc>
        <w:tc>
          <w:tcPr>
            <w:tcW w:w="150" w:type="dxa"/>
            <w:shd w:val="clear" w:color="auto" w:fill="CFF0FC"/>
            <w:noWrap/>
            <w:tcMar>
              <w:top w:w="15" w:type="dxa"/>
              <w:left w:w="0" w:type="dxa"/>
              <w:bottom w:w="0" w:type="dxa"/>
              <w:right w:w="15" w:type="dxa"/>
            </w:tcMar>
            <w:vAlign w:val="bottom"/>
            <w:hideMark/>
          </w:tcPr>
          <w:p w14:paraId="7791EE1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6" w:type="dxa"/>
            <w:shd w:val="clear" w:color="auto" w:fill="CFF0FC"/>
            <w:tcMar>
              <w:top w:w="15" w:type="dxa"/>
              <w:left w:w="0" w:type="dxa"/>
              <w:bottom w:w="0" w:type="dxa"/>
              <w:right w:w="15" w:type="dxa"/>
            </w:tcMar>
            <w:vAlign w:val="bottom"/>
            <w:hideMark/>
          </w:tcPr>
          <w:p w14:paraId="346920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012ED2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3121F8B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8,678.2</w:t>
            </w:r>
          </w:p>
        </w:tc>
        <w:tc>
          <w:tcPr>
            <w:tcW w:w="150" w:type="dxa"/>
            <w:shd w:val="clear" w:color="auto" w:fill="CFF0FC"/>
            <w:noWrap/>
            <w:tcMar>
              <w:top w:w="15" w:type="dxa"/>
              <w:left w:w="0" w:type="dxa"/>
              <w:bottom w:w="0" w:type="dxa"/>
              <w:right w:w="15" w:type="dxa"/>
            </w:tcMar>
            <w:vAlign w:val="bottom"/>
            <w:hideMark/>
          </w:tcPr>
          <w:p w14:paraId="7F507499"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3682632E"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4C6D2970" w14:textId="77777777" w:rsidTr="00AC4931">
        <w:tc>
          <w:tcPr>
            <w:tcW w:w="919" w:type="dxa"/>
            <w:noWrap/>
            <w:hideMark/>
          </w:tcPr>
          <w:p w14:paraId="4323B447"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1)</w:t>
            </w:r>
          </w:p>
        </w:tc>
        <w:tc>
          <w:tcPr>
            <w:tcW w:w="0" w:type="auto"/>
            <w:hideMark/>
          </w:tcPr>
          <w:p w14:paraId="4BC7D618" w14:textId="77777777" w:rsidR="00AC4931" w:rsidRPr="00AC4931" w:rsidRDefault="00AC4931" w:rsidP="00AC4931">
            <w:pPr>
              <w:widowControl/>
              <w:rPr>
                <w:rFonts w:ascii="Arial" w:eastAsia="宋体" w:hAnsi="Arial" w:cs="Arial"/>
                <w:kern w:val="0"/>
                <w:sz w:val="20"/>
                <w:szCs w:val="20"/>
              </w:rPr>
            </w:pPr>
            <w:r w:rsidRPr="00AC4931">
              <w:rPr>
                <w:rFonts w:ascii="Arial" w:eastAsia="宋体" w:hAnsi="Arial" w:cs="Arial"/>
                <w:color w:val="000000"/>
                <w:kern w:val="0"/>
                <w:sz w:val="16"/>
                <w:szCs w:val="16"/>
              </w:rPr>
              <w:t>Including Corporate and other sales</w:t>
            </w:r>
            <w:r w:rsidRPr="00AC4931">
              <w:rPr>
                <w:rFonts w:ascii="Arial" w:eastAsia="宋体" w:hAnsi="Arial" w:cs="Arial"/>
                <w:kern w:val="0"/>
                <w:sz w:val="20"/>
                <w:szCs w:val="20"/>
              </w:rPr>
              <w:t>.</w:t>
            </w:r>
          </w:p>
        </w:tc>
      </w:tr>
    </w:tbl>
    <w:p w14:paraId="12DB9BE9"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4430" w:type="dxa"/>
        <w:tblCellMar>
          <w:left w:w="0" w:type="dxa"/>
          <w:right w:w="0" w:type="dxa"/>
        </w:tblCellMar>
        <w:tblLook w:val="04A0" w:firstRow="1" w:lastRow="0" w:firstColumn="1" w:lastColumn="0" w:noHBand="0" w:noVBand="1"/>
      </w:tblPr>
      <w:tblGrid>
        <w:gridCol w:w="9699"/>
        <w:gridCol w:w="220"/>
        <w:gridCol w:w="138"/>
        <w:gridCol w:w="1869"/>
        <w:gridCol w:w="138"/>
        <w:gridCol w:w="220"/>
        <w:gridCol w:w="138"/>
        <w:gridCol w:w="1869"/>
        <w:gridCol w:w="139"/>
      </w:tblGrid>
      <w:tr w:rsidR="00AC4931" w:rsidRPr="00AC4931" w14:paraId="5E181156" w14:textId="77777777" w:rsidTr="00AC4931">
        <w:tc>
          <w:tcPr>
            <w:tcW w:w="9650" w:type="dxa"/>
            <w:shd w:val="clear" w:color="auto" w:fill="FFFFFF"/>
            <w:tcMar>
              <w:top w:w="15" w:type="dxa"/>
              <w:left w:w="0" w:type="dxa"/>
              <w:bottom w:w="0" w:type="dxa"/>
              <w:right w:w="15" w:type="dxa"/>
            </w:tcMar>
            <w:vAlign w:val="bottom"/>
            <w:hideMark/>
          </w:tcPr>
          <w:p w14:paraId="0DF8F48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LONG-LIVED ASSETS</w:t>
            </w:r>
          </w:p>
        </w:tc>
        <w:tc>
          <w:tcPr>
            <w:tcW w:w="219" w:type="dxa"/>
            <w:shd w:val="clear" w:color="auto" w:fill="FFFFFF"/>
            <w:tcMar>
              <w:top w:w="15" w:type="dxa"/>
              <w:left w:w="0" w:type="dxa"/>
              <w:bottom w:w="0" w:type="dxa"/>
              <w:right w:w="15" w:type="dxa"/>
            </w:tcMar>
            <w:vAlign w:val="bottom"/>
            <w:hideMark/>
          </w:tcPr>
          <w:p w14:paraId="22CA232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89" w:type="dxa"/>
            <w:gridSpan w:val="2"/>
            <w:tcBorders>
              <w:bottom w:val="single" w:sz="6" w:space="0" w:color="000000"/>
            </w:tcBorders>
            <w:shd w:val="clear" w:color="auto" w:fill="FFFFFF"/>
            <w:tcMar>
              <w:top w:w="15" w:type="dxa"/>
              <w:left w:w="0" w:type="dxa"/>
              <w:bottom w:w="0" w:type="dxa"/>
              <w:right w:w="15" w:type="dxa"/>
            </w:tcMar>
            <w:vAlign w:val="bottom"/>
            <w:hideMark/>
          </w:tcPr>
          <w:p w14:paraId="3FB2906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29" w:type="dxa"/>
            <w:shd w:val="clear" w:color="auto" w:fill="FFFFFF"/>
            <w:noWrap/>
            <w:tcMar>
              <w:top w:w="15" w:type="dxa"/>
              <w:left w:w="0" w:type="dxa"/>
              <w:bottom w:w="0" w:type="dxa"/>
              <w:right w:w="15" w:type="dxa"/>
            </w:tcMar>
            <w:vAlign w:val="bottom"/>
            <w:hideMark/>
          </w:tcPr>
          <w:p w14:paraId="405A194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9" w:type="dxa"/>
            <w:shd w:val="clear" w:color="auto" w:fill="FFFFFF"/>
            <w:tcMar>
              <w:top w:w="15" w:type="dxa"/>
              <w:left w:w="0" w:type="dxa"/>
              <w:bottom w:w="0" w:type="dxa"/>
              <w:right w:w="15" w:type="dxa"/>
            </w:tcMar>
            <w:vAlign w:val="bottom"/>
            <w:hideMark/>
          </w:tcPr>
          <w:p w14:paraId="5B88A78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89" w:type="dxa"/>
            <w:gridSpan w:val="2"/>
            <w:tcBorders>
              <w:bottom w:val="single" w:sz="6" w:space="0" w:color="000000"/>
            </w:tcBorders>
            <w:shd w:val="clear" w:color="auto" w:fill="FFFFFF"/>
            <w:tcMar>
              <w:top w:w="15" w:type="dxa"/>
              <w:left w:w="0" w:type="dxa"/>
              <w:bottom w:w="0" w:type="dxa"/>
              <w:right w:w="15" w:type="dxa"/>
            </w:tcMar>
            <w:vAlign w:val="bottom"/>
            <w:hideMark/>
          </w:tcPr>
          <w:p w14:paraId="24901E7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30" w:type="dxa"/>
            <w:shd w:val="clear" w:color="auto" w:fill="FFFFFF"/>
            <w:noWrap/>
            <w:tcMar>
              <w:top w:w="15" w:type="dxa"/>
              <w:left w:w="0" w:type="dxa"/>
              <w:bottom w:w="0" w:type="dxa"/>
              <w:right w:w="15" w:type="dxa"/>
            </w:tcMar>
            <w:vAlign w:val="bottom"/>
            <w:hideMark/>
          </w:tcPr>
          <w:p w14:paraId="47ECAF9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29752511" w14:textId="77777777" w:rsidTr="00AC4931">
        <w:tc>
          <w:tcPr>
            <w:tcW w:w="9650" w:type="dxa"/>
            <w:shd w:val="clear" w:color="auto" w:fill="CFF0FC"/>
            <w:tcMar>
              <w:top w:w="15" w:type="dxa"/>
              <w:left w:w="0" w:type="dxa"/>
              <w:bottom w:w="0" w:type="dxa"/>
              <w:right w:w="15" w:type="dxa"/>
            </w:tcMar>
            <w:hideMark/>
          </w:tcPr>
          <w:p w14:paraId="5C5DEA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Asia</w:t>
            </w:r>
          </w:p>
        </w:tc>
        <w:tc>
          <w:tcPr>
            <w:tcW w:w="219" w:type="dxa"/>
            <w:shd w:val="clear" w:color="auto" w:fill="CFF0FC"/>
            <w:tcMar>
              <w:top w:w="15" w:type="dxa"/>
              <w:left w:w="0" w:type="dxa"/>
              <w:bottom w:w="0" w:type="dxa"/>
              <w:right w:w="15" w:type="dxa"/>
            </w:tcMar>
            <w:vAlign w:val="bottom"/>
            <w:hideMark/>
          </w:tcPr>
          <w:p w14:paraId="1A0997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7D1465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45" w:type="dxa"/>
            <w:tcBorders>
              <w:top w:val="single" w:sz="6" w:space="0" w:color="000000"/>
            </w:tcBorders>
            <w:shd w:val="clear" w:color="auto" w:fill="CFF0FC"/>
            <w:noWrap/>
            <w:tcMar>
              <w:top w:w="15" w:type="dxa"/>
              <w:left w:w="0" w:type="dxa"/>
              <w:bottom w:w="0" w:type="dxa"/>
              <w:right w:w="15" w:type="dxa"/>
            </w:tcMar>
            <w:vAlign w:val="bottom"/>
            <w:hideMark/>
          </w:tcPr>
          <w:p w14:paraId="1279A83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984</w:t>
            </w:r>
          </w:p>
        </w:tc>
        <w:tc>
          <w:tcPr>
            <w:tcW w:w="129" w:type="dxa"/>
            <w:shd w:val="clear" w:color="auto" w:fill="CFF0FC"/>
            <w:noWrap/>
            <w:tcMar>
              <w:top w:w="15" w:type="dxa"/>
              <w:left w:w="0" w:type="dxa"/>
              <w:bottom w:w="0" w:type="dxa"/>
              <w:right w:w="15" w:type="dxa"/>
            </w:tcMar>
            <w:vAlign w:val="bottom"/>
            <w:hideMark/>
          </w:tcPr>
          <w:p w14:paraId="60381D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63E2D64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10439F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845" w:type="dxa"/>
            <w:tcBorders>
              <w:top w:val="single" w:sz="6" w:space="0" w:color="000000"/>
            </w:tcBorders>
            <w:shd w:val="clear" w:color="auto" w:fill="CFF0FC"/>
            <w:noWrap/>
            <w:tcMar>
              <w:top w:w="15" w:type="dxa"/>
              <w:left w:w="0" w:type="dxa"/>
              <w:bottom w:w="0" w:type="dxa"/>
              <w:right w:w="15" w:type="dxa"/>
            </w:tcMar>
            <w:vAlign w:val="bottom"/>
            <w:hideMark/>
          </w:tcPr>
          <w:p w14:paraId="0D599A7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948</w:t>
            </w:r>
          </w:p>
        </w:tc>
        <w:tc>
          <w:tcPr>
            <w:tcW w:w="130" w:type="dxa"/>
            <w:shd w:val="clear" w:color="auto" w:fill="CFF0FC"/>
            <w:noWrap/>
            <w:tcMar>
              <w:top w:w="15" w:type="dxa"/>
              <w:left w:w="0" w:type="dxa"/>
              <w:bottom w:w="0" w:type="dxa"/>
              <w:right w:w="15" w:type="dxa"/>
            </w:tcMar>
            <w:vAlign w:val="bottom"/>
            <w:hideMark/>
          </w:tcPr>
          <w:p w14:paraId="41886A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7EF7929" w14:textId="77777777" w:rsidTr="00AC4931">
        <w:tc>
          <w:tcPr>
            <w:tcW w:w="9650" w:type="dxa"/>
            <w:shd w:val="clear" w:color="auto" w:fill="FFFFFF"/>
            <w:tcMar>
              <w:top w:w="15" w:type="dxa"/>
              <w:left w:w="0" w:type="dxa"/>
              <w:bottom w:w="0" w:type="dxa"/>
              <w:right w:w="15" w:type="dxa"/>
            </w:tcMar>
            <w:hideMark/>
          </w:tcPr>
          <w:p w14:paraId="0E1BCFAD"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Whereof:  China</w:t>
            </w:r>
          </w:p>
        </w:tc>
        <w:tc>
          <w:tcPr>
            <w:tcW w:w="219" w:type="dxa"/>
            <w:shd w:val="clear" w:color="auto" w:fill="FFFFFF"/>
            <w:tcMar>
              <w:top w:w="15" w:type="dxa"/>
              <w:left w:w="0" w:type="dxa"/>
              <w:bottom w:w="0" w:type="dxa"/>
              <w:right w:w="15" w:type="dxa"/>
            </w:tcMar>
            <w:vAlign w:val="bottom"/>
            <w:hideMark/>
          </w:tcPr>
          <w:p w14:paraId="5BFAD2C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4075C9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5" w:type="dxa"/>
            <w:shd w:val="clear" w:color="auto" w:fill="FFFFFF"/>
            <w:noWrap/>
            <w:tcMar>
              <w:top w:w="15" w:type="dxa"/>
              <w:left w:w="0" w:type="dxa"/>
              <w:bottom w:w="0" w:type="dxa"/>
              <w:right w:w="15" w:type="dxa"/>
            </w:tcMar>
            <w:vAlign w:val="bottom"/>
            <w:hideMark/>
          </w:tcPr>
          <w:p w14:paraId="01C8DAD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508</w:t>
            </w:r>
          </w:p>
        </w:tc>
        <w:tc>
          <w:tcPr>
            <w:tcW w:w="129" w:type="dxa"/>
            <w:shd w:val="clear" w:color="auto" w:fill="FFFFFF"/>
            <w:noWrap/>
            <w:tcMar>
              <w:top w:w="15" w:type="dxa"/>
              <w:left w:w="0" w:type="dxa"/>
              <w:bottom w:w="0" w:type="dxa"/>
              <w:right w:w="15" w:type="dxa"/>
            </w:tcMar>
            <w:vAlign w:val="bottom"/>
            <w:hideMark/>
          </w:tcPr>
          <w:p w14:paraId="117F02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509B56E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7260CF80"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845" w:type="dxa"/>
            <w:shd w:val="clear" w:color="auto" w:fill="FFFFFF"/>
            <w:noWrap/>
            <w:tcMar>
              <w:top w:w="15" w:type="dxa"/>
              <w:left w:w="0" w:type="dxa"/>
              <w:bottom w:w="0" w:type="dxa"/>
              <w:right w:w="15" w:type="dxa"/>
            </w:tcMar>
            <w:vAlign w:val="bottom"/>
            <w:hideMark/>
          </w:tcPr>
          <w:p w14:paraId="07055292"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495</w:t>
            </w:r>
          </w:p>
        </w:tc>
        <w:tc>
          <w:tcPr>
            <w:tcW w:w="130" w:type="dxa"/>
            <w:shd w:val="clear" w:color="auto" w:fill="FFFFFF"/>
            <w:noWrap/>
            <w:tcMar>
              <w:top w:w="15" w:type="dxa"/>
              <w:left w:w="0" w:type="dxa"/>
              <w:bottom w:w="0" w:type="dxa"/>
              <w:right w:w="15" w:type="dxa"/>
            </w:tcMar>
            <w:vAlign w:val="bottom"/>
            <w:hideMark/>
          </w:tcPr>
          <w:p w14:paraId="723D624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r>
      <w:tr w:rsidR="00AC4931" w:rsidRPr="00AC4931" w14:paraId="43A2C423" w14:textId="77777777" w:rsidTr="00AC4931">
        <w:tc>
          <w:tcPr>
            <w:tcW w:w="9650" w:type="dxa"/>
            <w:shd w:val="clear" w:color="auto" w:fill="CFF0FC"/>
            <w:tcMar>
              <w:top w:w="15" w:type="dxa"/>
              <w:left w:w="0" w:type="dxa"/>
              <w:bottom w:w="0" w:type="dxa"/>
              <w:right w:w="15" w:type="dxa"/>
            </w:tcMar>
            <w:hideMark/>
          </w:tcPr>
          <w:p w14:paraId="7907E50B"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Japan</w:t>
            </w:r>
          </w:p>
        </w:tc>
        <w:tc>
          <w:tcPr>
            <w:tcW w:w="219" w:type="dxa"/>
            <w:shd w:val="clear" w:color="auto" w:fill="CFF0FC"/>
            <w:tcMar>
              <w:top w:w="15" w:type="dxa"/>
              <w:left w:w="0" w:type="dxa"/>
              <w:bottom w:w="0" w:type="dxa"/>
              <w:right w:w="15" w:type="dxa"/>
            </w:tcMar>
            <w:vAlign w:val="bottom"/>
            <w:hideMark/>
          </w:tcPr>
          <w:p w14:paraId="3EEADE5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535FA5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5" w:type="dxa"/>
            <w:shd w:val="clear" w:color="auto" w:fill="CFF0FC"/>
            <w:noWrap/>
            <w:tcMar>
              <w:top w:w="15" w:type="dxa"/>
              <w:left w:w="0" w:type="dxa"/>
              <w:bottom w:w="0" w:type="dxa"/>
              <w:right w:w="15" w:type="dxa"/>
            </w:tcMar>
            <w:vAlign w:val="bottom"/>
            <w:hideMark/>
          </w:tcPr>
          <w:p w14:paraId="174C364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184</w:t>
            </w:r>
          </w:p>
        </w:tc>
        <w:tc>
          <w:tcPr>
            <w:tcW w:w="129" w:type="dxa"/>
            <w:shd w:val="clear" w:color="auto" w:fill="CFF0FC"/>
            <w:noWrap/>
            <w:tcMar>
              <w:top w:w="15" w:type="dxa"/>
              <w:left w:w="0" w:type="dxa"/>
              <w:bottom w:w="0" w:type="dxa"/>
              <w:right w:w="15" w:type="dxa"/>
            </w:tcMar>
            <w:vAlign w:val="bottom"/>
            <w:hideMark/>
          </w:tcPr>
          <w:p w14:paraId="61CADE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3ECC10CC"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35AD2612"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845" w:type="dxa"/>
            <w:shd w:val="clear" w:color="auto" w:fill="CFF0FC"/>
            <w:noWrap/>
            <w:tcMar>
              <w:top w:w="15" w:type="dxa"/>
              <w:left w:w="0" w:type="dxa"/>
              <w:bottom w:w="0" w:type="dxa"/>
              <w:right w:w="15" w:type="dxa"/>
            </w:tcMar>
            <w:vAlign w:val="bottom"/>
            <w:hideMark/>
          </w:tcPr>
          <w:p w14:paraId="4E9A50B6"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170</w:t>
            </w:r>
          </w:p>
        </w:tc>
        <w:tc>
          <w:tcPr>
            <w:tcW w:w="130" w:type="dxa"/>
            <w:shd w:val="clear" w:color="auto" w:fill="CFF0FC"/>
            <w:noWrap/>
            <w:tcMar>
              <w:top w:w="15" w:type="dxa"/>
              <w:left w:w="0" w:type="dxa"/>
              <w:bottom w:w="0" w:type="dxa"/>
              <w:right w:w="15" w:type="dxa"/>
            </w:tcMar>
            <w:vAlign w:val="bottom"/>
            <w:hideMark/>
          </w:tcPr>
          <w:p w14:paraId="11173D99"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r>
      <w:tr w:rsidR="00AC4931" w:rsidRPr="00AC4931" w14:paraId="1C719BA8" w14:textId="77777777" w:rsidTr="00AC4931">
        <w:tc>
          <w:tcPr>
            <w:tcW w:w="9650" w:type="dxa"/>
            <w:shd w:val="clear" w:color="auto" w:fill="FFFFFF"/>
            <w:tcMar>
              <w:top w:w="15" w:type="dxa"/>
              <w:left w:w="0" w:type="dxa"/>
              <w:bottom w:w="0" w:type="dxa"/>
              <w:right w:w="15" w:type="dxa"/>
            </w:tcMar>
            <w:hideMark/>
          </w:tcPr>
          <w:p w14:paraId="564B5D56"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Rest of Asia</w:t>
            </w:r>
          </w:p>
        </w:tc>
        <w:tc>
          <w:tcPr>
            <w:tcW w:w="219" w:type="dxa"/>
            <w:shd w:val="clear" w:color="auto" w:fill="FFFFFF"/>
            <w:tcMar>
              <w:top w:w="15" w:type="dxa"/>
              <w:left w:w="0" w:type="dxa"/>
              <w:bottom w:w="0" w:type="dxa"/>
              <w:right w:w="15" w:type="dxa"/>
            </w:tcMar>
            <w:vAlign w:val="bottom"/>
            <w:hideMark/>
          </w:tcPr>
          <w:p w14:paraId="2448984A"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100725E1"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845" w:type="dxa"/>
            <w:shd w:val="clear" w:color="auto" w:fill="FFFFFF"/>
            <w:noWrap/>
            <w:tcMar>
              <w:top w:w="15" w:type="dxa"/>
              <w:left w:w="0" w:type="dxa"/>
              <w:bottom w:w="0" w:type="dxa"/>
              <w:right w:w="15" w:type="dxa"/>
            </w:tcMar>
            <w:vAlign w:val="bottom"/>
            <w:hideMark/>
          </w:tcPr>
          <w:p w14:paraId="7D44D7CA"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292</w:t>
            </w:r>
          </w:p>
        </w:tc>
        <w:tc>
          <w:tcPr>
            <w:tcW w:w="129" w:type="dxa"/>
            <w:shd w:val="clear" w:color="auto" w:fill="FFFFFF"/>
            <w:noWrap/>
            <w:tcMar>
              <w:top w:w="15" w:type="dxa"/>
              <w:left w:w="0" w:type="dxa"/>
              <w:bottom w:w="0" w:type="dxa"/>
              <w:right w:w="15" w:type="dxa"/>
            </w:tcMar>
            <w:vAlign w:val="bottom"/>
            <w:hideMark/>
          </w:tcPr>
          <w:p w14:paraId="55176348"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7D48A79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29" w:type="dxa"/>
            <w:shd w:val="clear" w:color="auto" w:fill="FFFFFF"/>
            <w:noWrap/>
            <w:tcMar>
              <w:top w:w="15" w:type="dxa"/>
              <w:left w:w="0" w:type="dxa"/>
              <w:bottom w:w="0" w:type="dxa"/>
              <w:right w:w="15" w:type="dxa"/>
            </w:tcMar>
            <w:vAlign w:val="bottom"/>
            <w:hideMark/>
          </w:tcPr>
          <w:p w14:paraId="6751E494"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c>
          <w:tcPr>
            <w:tcW w:w="1845" w:type="dxa"/>
            <w:shd w:val="clear" w:color="auto" w:fill="FFFFFF"/>
            <w:noWrap/>
            <w:tcMar>
              <w:top w:w="15" w:type="dxa"/>
              <w:left w:w="0" w:type="dxa"/>
              <w:bottom w:w="0" w:type="dxa"/>
              <w:right w:w="15" w:type="dxa"/>
            </w:tcMar>
            <w:vAlign w:val="bottom"/>
            <w:hideMark/>
          </w:tcPr>
          <w:p w14:paraId="4BBAFFDF" w14:textId="77777777" w:rsidR="00AC4931" w:rsidRPr="00AC4931" w:rsidRDefault="00AC4931" w:rsidP="00AC4931">
            <w:pPr>
              <w:widowControl/>
              <w:jc w:val="righ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283</w:t>
            </w:r>
          </w:p>
        </w:tc>
        <w:tc>
          <w:tcPr>
            <w:tcW w:w="130" w:type="dxa"/>
            <w:shd w:val="clear" w:color="auto" w:fill="FFFFFF"/>
            <w:noWrap/>
            <w:tcMar>
              <w:top w:w="15" w:type="dxa"/>
              <w:left w:w="0" w:type="dxa"/>
              <w:bottom w:w="0" w:type="dxa"/>
              <w:right w:w="15" w:type="dxa"/>
            </w:tcMar>
            <w:vAlign w:val="bottom"/>
            <w:hideMark/>
          </w:tcPr>
          <w:p w14:paraId="5FF6DC63" w14:textId="77777777" w:rsidR="00AC4931" w:rsidRPr="00AC4931" w:rsidRDefault="00AC4931" w:rsidP="00AC4931">
            <w:pPr>
              <w:widowControl/>
              <w:jc w:val="left"/>
              <w:rPr>
                <w:rFonts w:ascii="Arial" w:eastAsia="宋体" w:hAnsi="Arial" w:cs="Arial"/>
                <w:i/>
                <w:iCs/>
                <w:color w:val="000000"/>
                <w:kern w:val="0"/>
                <w:sz w:val="18"/>
                <w:szCs w:val="18"/>
              </w:rPr>
            </w:pPr>
            <w:r w:rsidRPr="00AC4931">
              <w:rPr>
                <w:rFonts w:ascii="Arial" w:eastAsia="宋体" w:hAnsi="Arial" w:cs="Arial"/>
                <w:i/>
                <w:iCs/>
                <w:color w:val="000000"/>
                <w:kern w:val="0"/>
                <w:sz w:val="18"/>
                <w:szCs w:val="18"/>
              </w:rPr>
              <w:t> </w:t>
            </w:r>
          </w:p>
        </w:tc>
      </w:tr>
      <w:tr w:rsidR="00AC4931" w:rsidRPr="00AC4931" w14:paraId="4A338AA0" w14:textId="77777777" w:rsidTr="00AC4931">
        <w:tc>
          <w:tcPr>
            <w:tcW w:w="9650" w:type="dxa"/>
            <w:shd w:val="clear" w:color="auto" w:fill="CFF0FC"/>
            <w:tcMar>
              <w:top w:w="15" w:type="dxa"/>
              <w:left w:w="0" w:type="dxa"/>
              <w:bottom w:w="0" w:type="dxa"/>
              <w:right w:w="15" w:type="dxa"/>
            </w:tcMar>
            <w:hideMark/>
          </w:tcPr>
          <w:p w14:paraId="4D6D3F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Americas</w:t>
            </w:r>
          </w:p>
        </w:tc>
        <w:tc>
          <w:tcPr>
            <w:tcW w:w="219" w:type="dxa"/>
            <w:shd w:val="clear" w:color="auto" w:fill="CFF0FC"/>
            <w:tcMar>
              <w:top w:w="15" w:type="dxa"/>
              <w:left w:w="0" w:type="dxa"/>
              <w:bottom w:w="0" w:type="dxa"/>
              <w:right w:w="15" w:type="dxa"/>
            </w:tcMar>
            <w:vAlign w:val="bottom"/>
            <w:hideMark/>
          </w:tcPr>
          <w:p w14:paraId="733423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324F96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5" w:type="dxa"/>
            <w:shd w:val="clear" w:color="auto" w:fill="CFF0FC"/>
            <w:noWrap/>
            <w:tcMar>
              <w:top w:w="15" w:type="dxa"/>
              <w:left w:w="0" w:type="dxa"/>
              <w:bottom w:w="0" w:type="dxa"/>
              <w:right w:w="15" w:type="dxa"/>
            </w:tcMar>
            <w:vAlign w:val="bottom"/>
            <w:hideMark/>
          </w:tcPr>
          <w:p w14:paraId="3242B54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1,874</w:t>
            </w:r>
          </w:p>
        </w:tc>
        <w:tc>
          <w:tcPr>
            <w:tcW w:w="129" w:type="dxa"/>
            <w:shd w:val="clear" w:color="auto" w:fill="CFF0FC"/>
            <w:noWrap/>
            <w:tcMar>
              <w:top w:w="15" w:type="dxa"/>
              <w:left w:w="0" w:type="dxa"/>
              <w:bottom w:w="0" w:type="dxa"/>
              <w:right w:w="15" w:type="dxa"/>
            </w:tcMar>
            <w:vAlign w:val="bottom"/>
            <w:hideMark/>
          </w:tcPr>
          <w:p w14:paraId="4431B4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41EBF2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shd w:val="clear" w:color="auto" w:fill="CFF0FC"/>
            <w:noWrap/>
            <w:tcMar>
              <w:top w:w="15" w:type="dxa"/>
              <w:left w:w="0" w:type="dxa"/>
              <w:bottom w:w="0" w:type="dxa"/>
              <w:right w:w="15" w:type="dxa"/>
            </w:tcMar>
            <w:vAlign w:val="bottom"/>
            <w:hideMark/>
          </w:tcPr>
          <w:p w14:paraId="13CFCD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5" w:type="dxa"/>
            <w:shd w:val="clear" w:color="auto" w:fill="CFF0FC"/>
            <w:noWrap/>
            <w:tcMar>
              <w:top w:w="15" w:type="dxa"/>
              <w:left w:w="0" w:type="dxa"/>
              <w:bottom w:w="0" w:type="dxa"/>
              <w:right w:w="15" w:type="dxa"/>
            </w:tcMar>
            <w:vAlign w:val="bottom"/>
            <w:hideMark/>
          </w:tcPr>
          <w:p w14:paraId="2619742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1,862</w:t>
            </w:r>
          </w:p>
        </w:tc>
        <w:tc>
          <w:tcPr>
            <w:tcW w:w="130" w:type="dxa"/>
            <w:shd w:val="clear" w:color="auto" w:fill="CFF0FC"/>
            <w:noWrap/>
            <w:tcMar>
              <w:top w:w="15" w:type="dxa"/>
              <w:left w:w="0" w:type="dxa"/>
              <w:bottom w:w="0" w:type="dxa"/>
              <w:right w:w="15" w:type="dxa"/>
            </w:tcMar>
            <w:vAlign w:val="bottom"/>
            <w:hideMark/>
          </w:tcPr>
          <w:p w14:paraId="3988A52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99607AC" w14:textId="77777777" w:rsidTr="00AC4931">
        <w:tc>
          <w:tcPr>
            <w:tcW w:w="9650" w:type="dxa"/>
            <w:shd w:val="clear" w:color="auto" w:fill="FFFFFF"/>
            <w:tcMar>
              <w:top w:w="15" w:type="dxa"/>
              <w:left w:w="0" w:type="dxa"/>
              <w:bottom w:w="0" w:type="dxa"/>
              <w:right w:w="15" w:type="dxa"/>
            </w:tcMar>
            <w:hideMark/>
          </w:tcPr>
          <w:p w14:paraId="3659F9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Europe</w:t>
            </w:r>
          </w:p>
        </w:tc>
        <w:tc>
          <w:tcPr>
            <w:tcW w:w="219" w:type="dxa"/>
            <w:shd w:val="clear" w:color="auto" w:fill="FFFFFF"/>
            <w:tcMar>
              <w:top w:w="15" w:type="dxa"/>
              <w:left w:w="0" w:type="dxa"/>
              <w:bottom w:w="0" w:type="dxa"/>
              <w:right w:w="15" w:type="dxa"/>
            </w:tcMar>
            <w:vAlign w:val="bottom"/>
            <w:hideMark/>
          </w:tcPr>
          <w:p w14:paraId="34BF30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FFFFFF"/>
            <w:noWrap/>
            <w:tcMar>
              <w:top w:w="15" w:type="dxa"/>
              <w:left w:w="0" w:type="dxa"/>
              <w:bottom w:w="0" w:type="dxa"/>
              <w:right w:w="15" w:type="dxa"/>
            </w:tcMar>
            <w:vAlign w:val="bottom"/>
            <w:hideMark/>
          </w:tcPr>
          <w:p w14:paraId="25B7A3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5" w:type="dxa"/>
            <w:tcBorders>
              <w:bottom w:val="single" w:sz="6" w:space="0" w:color="000000"/>
            </w:tcBorders>
            <w:shd w:val="clear" w:color="auto" w:fill="FFFFFF"/>
            <w:noWrap/>
            <w:tcMar>
              <w:top w:w="15" w:type="dxa"/>
              <w:left w:w="0" w:type="dxa"/>
              <w:bottom w:w="0" w:type="dxa"/>
              <w:right w:w="15" w:type="dxa"/>
            </w:tcMar>
            <w:vAlign w:val="bottom"/>
            <w:hideMark/>
          </w:tcPr>
          <w:p w14:paraId="11171A8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1,030</w:t>
            </w:r>
          </w:p>
        </w:tc>
        <w:tc>
          <w:tcPr>
            <w:tcW w:w="129" w:type="dxa"/>
            <w:shd w:val="clear" w:color="auto" w:fill="FFFFFF"/>
            <w:noWrap/>
            <w:tcMar>
              <w:top w:w="15" w:type="dxa"/>
              <w:left w:w="0" w:type="dxa"/>
              <w:bottom w:w="0" w:type="dxa"/>
              <w:right w:w="15" w:type="dxa"/>
            </w:tcMar>
            <w:vAlign w:val="bottom"/>
            <w:hideMark/>
          </w:tcPr>
          <w:p w14:paraId="3E6259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9" w:type="dxa"/>
            <w:shd w:val="clear" w:color="auto" w:fill="FFFFFF"/>
            <w:tcMar>
              <w:top w:w="15" w:type="dxa"/>
              <w:left w:w="0" w:type="dxa"/>
              <w:bottom w:w="0" w:type="dxa"/>
              <w:right w:w="15" w:type="dxa"/>
            </w:tcMar>
            <w:vAlign w:val="bottom"/>
            <w:hideMark/>
          </w:tcPr>
          <w:p w14:paraId="5E21D1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bottom w:val="single" w:sz="6" w:space="0" w:color="000000"/>
            </w:tcBorders>
            <w:shd w:val="clear" w:color="auto" w:fill="FFFFFF"/>
            <w:noWrap/>
            <w:tcMar>
              <w:top w:w="15" w:type="dxa"/>
              <w:left w:w="0" w:type="dxa"/>
              <w:bottom w:w="0" w:type="dxa"/>
              <w:right w:w="15" w:type="dxa"/>
            </w:tcMar>
            <w:vAlign w:val="bottom"/>
            <w:hideMark/>
          </w:tcPr>
          <w:p w14:paraId="526D845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845" w:type="dxa"/>
            <w:tcBorders>
              <w:bottom w:val="single" w:sz="6" w:space="0" w:color="000000"/>
            </w:tcBorders>
            <w:shd w:val="clear" w:color="auto" w:fill="FFFFFF"/>
            <w:noWrap/>
            <w:tcMar>
              <w:top w:w="15" w:type="dxa"/>
              <w:left w:w="0" w:type="dxa"/>
              <w:bottom w:w="0" w:type="dxa"/>
              <w:right w:w="15" w:type="dxa"/>
            </w:tcMar>
            <w:vAlign w:val="bottom"/>
            <w:hideMark/>
          </w:tcPr>
          <w:p w14:paraId="4E79F93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959</w:t>
            </w:r>
          </w:p>
        </w:tc>
        <w:tc>
          <w:tcPr>
            <w:tcW w:w="130" w:type="dxa"/>
            <w:shd w:val="clear" w:color="auto" w:fill="FFFFFF"/>
            <w:noWrap/>
            <w:tcMar>
              <w:top w:w="15" w:type="dxa"/>
              <w:left w:w="0" w:type="dxa"/>
              <w:bottom w:w="0" w:type="dxa"/>
              <w:right w:w="15" w:type="dxa"/>
            </w:tcMar>
            <w:vAlign w:val="bottom"/>
            <w:hideMark/>
          </w:tcPr>
          <w:p w14:paraId="385A41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F69E9DB" w14:textId="77777777" w:rsidTr="00AC4931">
        <w:tc>
          <w:tcPr>
            <w:tcW w:w="9650" w:type="dxa"/>
            <w:shd w:val="clear" w:color="auto" w:fill="CFF0FC"/>
            <w:tcMar>
              <w:top w:w="15" w:type="dxa"/>
              <w:left w:w="0" w:type="dxa"/>
              <w:bottom w:w="0" w:type="dxa"/>
              <w:right w:w="15" w:type="dxa"/>
            </w:tcMar>
            <w:hideMark/>
          </w:tcPr>
          <w:p w14:paraId="0BB1476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19" w:type="dxa"/>
            <w:shd w:val="clear" w:color="auto" w:fill="CFF0FC"/>
            <w:tcMar>
              <w:top w:w="15" w:type="dxa"/>
              <w:left w:w="0" w:type="dxa"/>
              <w:bottom w:w="0" w:type="dxa"/>
              <w:right w:w="15" w:type="dxa"/>
            </w:tcMar>
            <w:vAlign w:val="bottom"/>
            <w:hideMark/>
          </w:tcPr>
          <w:p w14:paraId="2B0DD0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4C03B4C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5" w:type="dxa"/>
            <w:tcBorders>
              <w:top w:val="single" w:sz="6" w:space="0" w:color="000000"/>
            </w:tcBorders>
            <w:shd w:val="clear" w:color="auto" w:fill="CFF0FC"/>
            <w:noWrap/>
            <w:tcMar>
              <w:top w:w="15" w:type="dxa"/>
              <w:left w:w="0" w:type="dxa"/>
              <w:bottom w:w="0" w:type="dxa"/>
              <w:right w:w="15" w:type="dxa"/>
            </w:tcMar>
            <w:vAlign w:val="bottom"/>
            <w:hideMark/>
          </w:tcPr>
          <w:p w14:paraId="453B3C0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3,888</w:t>
            </w:r>
          </w:p>
        </w:tc>
        <w:tc>
          <w:tcPr>
            <w:tcW w:w="129" w:type="dxa"/>
            <w:shd w:val="clear" w:color="auto" w:fill="CFF0FC"/>
            <w:noWrap/>
            <w:tcMar>
              <w:top w:w="15" w:type="dxa"/>
              <w:left w:w="0" w:type="dxa"/>
              <w:bottom w:w="0" w:type="dxa"/>
              <w:right w:w="15" w:type="dxa"/>
            </w:tcMar>
            <w:vAlign w:val="bottom"/>
            <w:hideMark/>
          </w:tcPr>
          <w:p w14:paraId="0C7B2E3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9" w:type="dxa"/>
            <w:shd w:val="clear" w:color="auto" w:fill="CFF0FC"/>
            <w:tcMar>
              <w:top w:w="15" w:type="dxa"/>
              <w:left w:w="0" w:type="dxa"/>
              <w:bottom w:w="0" w:type="dxa"/>
              <w:right w:w="15" w:type="dxa"/>
            </w:tcMar>
            <w:vAlign w:val="bottom"/>
            <w:hideMark/>
          </w:tcPr>
          <w:p w14:paraId="6CA9B5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29" w:type="dxa"/>
            <w:tcBorders>
              <w:top w:val="single" w:sz="6" w:space="0" w:color="000000"/>
            </w:tcBorders>
            <w:shd w:val="clear" w:color="auto" w:fill="CFF0FC"/>
            <w:noWrap/>
            <w:tcMar>
              <w:top w:w="15" w:type="dxa"/>
              <w:left w:w="0" w:type="dxa"/>
              <w:bottom w:w="0" w:type="dxa"/>
              <w:right w:w="15" w:type="dxa"/>
            </w:tcMar>
            <w:vAlign w:val="bottom"/>
            <w:hideMark/>
          </w:tcPr>
          <w:p w14:paraId="45A4B31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845" w:type="dxa"/>
            <w:tcBorders>
              <w:top w:val="single" w:sz="6" w:space="0" w:color="000000"/>
            </w:tcBorders>
            <w:shd w:val="clear" w:color="auto" w:fill="CFF0FC"/>
            <w:noWrap/>
            <w:tcMar>
              <w:top w:w="15" w:type="dxa"/>
              <w:left w:w="0" w:type="dxa"/>
              <w:bottom w:w="0" w:type="dxa"/>
              <w:right w:w="15" w:type="dxa"/>
            </w:tcMar>
            <w:vAlign w:val="bottom"/>
            <w:hideMark/>
          </w:tcPr>
          <w:p w14:paraId="5A7726D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3,769</w:t>
            </w:r>
          </w:p>
        </w:tc>
        <w:tc>
          <w:tcPr>
            <w:tcW w:w="130" w:type="dxa"/>
            <w:shd w:val="clear" w:color="auto" w:fill="CFF0FC"/>
            <w:noWrap/>
            <w:tcMar>
              <w:top w:w="15" w:type="dxa"/>
              <w:left w:w="0" w:type="dxa"/>
              <w:bottom w:w="0" w:type="dxa"/>
              <w:right w:w="15" w:type="dxa"/>
            </w:tcMar>
            <w:vAlign w:val="bottom"/>
            <w:hideMark/>
          </w:tcPr>
          <w:p w14:paraId="2819C366"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1D3D738B" w14:textId="77777777" w:rsidR="00AC4931" w:rsidRPr="00AC4931" w:rsidRDefault="00AC4931" w:rsidP="00AC4931">
      <w:pPr>
        <w:widowControl/>
        <w:rPr>
          <w:rFonts w:ascii="宋体" w:eastAsia="宋体" w:hAnsi="宋体" w:cs="宋体"/>
          <w:kern w:val="0"/>
          <w:sz w:val="24"/>
          <w:szCs w:val="24"/>
        </w:rPr>
      </w:pPr>
      <w:r w:rsidRPr="00AC4931">
        <w:rPr>
          <w:rFonts w:ascii="宋体" w:eastAsia="宋体" w:hAnsi="宋体" w:cs="宋体"/>
          <w:kern w:val="0"/>
          <w:sz w:val="24"/>
          <w:szCs w:val="24"/>
        </w:rPr>
        <w:t> </w:t>
      </w:r>
    </w:p>
    <w:p w14:paraId="59864E12" w14:textId="77777777" w:rsidR="00AC4931" w:rsidRPr="00AC4931" w:rsidRDefault="00AC4931" w:rsidP="00AC4931">
      <w:pPr>
        <w:widowControl/>
        <w:rPr>
          <w:rFonts w:ascii="Arial" w:eastAsia="宋体" w:hAnsi="Arial" w:cs="Arial"/>
          <w:spacing w:val="-4"/>
          <w:kern w:val="0"/>
          <w:sz w:val="18"/>
          <w:szCs w:val="18"/>
        </w:rPr>
      </w:pPr>
      <w:r w:rsidRPr="00AC4931">
        <w:rPr>
          <w:rFonts w:ascii="Arial" w:eastAsia="宋体" w:hAnsi="Arial" w:cs="Arial"/>
          <w:spacing w:val="-4"/>
          <w:kern w:val="0"/>
          <w:sz w:val="18"/>
          <w:szCs w:val="18"/>
        </w:rPr>
        <w:lastRenderedPageBreak/>
        <w:t>Long-lived assets in the U.S. amounted to $1,653 million and $1,633 million for 2020 and 2019, respectively. For 2020, $1,235 million (2019, $1,242 million) of the long-lived assets in the U.S. refers to intangible assets, principally from acquisition goodwill.</w:t>
      </w:r>
    </w:p>
    <w:p w14:paraId="106DF9AF"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86</w:t>
      </w:r>
    </w:p>
    <w:p w14:paraId="66106CB0"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F268C08"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4D6DE8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224CAA5"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F9A1361">
          <v:rect id="_x0000_i1113" style="width:0;height:1.5pt" o:hralign="center" o:hrstd="t" o:hrnoshade="t" o:hr="t" fillcolor="black" stroked="f"/>
        </w:pict>
      </w:r>
    </w:p>
    <w:p w14:paraId="387F0CB6"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D1763C0"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55AC17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5BC26A2" w14:textId="77777777" w:rsidR="00AC4931" w:rsidRPr="00AC4931" w:rsidRDefault="00AC4931" w:rsidP="00AC4931">
      <w:pPr>
        <w:widowControl/>
        <w:rPr>
          <w:rFonts w:ascii="Arial" w:eastAsia="宋体" w:hAnsi="Arial" w:cs="Arial" w:hint="eastAsia"/>
          <w:b/>
          <w:bCs/>
          <w:kern w:val="0"/>
          <w:sz w:val="22"/>
        </w:rPr>
      </w:pPr>
      <w:r w:rsidRPr="00AC4931">
        <w:rPr>
          <w:rFonts w:ascii="Arial" w:eastAsia="宋体" w:hAnsi="Arial" w:cs="Arial"/>
          <w:b/>
          <w:bCs/>
          <w:kern w:val="0"/>
          <w:sz w:val="22"/>
        </w:rPr>
        <w:t>22. Earnings Per Share</w:t>
      </w:r>
    </w:p>
    <w:p w14:paraId="1E22BDC4"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 computation of basic and diluted EPS under the two-class method were as follows (dollars and shares in millions):</w:t>
      </w:r>
    </w:p>
    <w:p w14:paraId="35D6C26C"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bl>
      <w:tblPr>
        <w:tblW w:w="16491" w:type="dxa"/>
        <w:tblCellMar>
          <w:left w:w="0" w:type="dxa"/>
          <w:right w:w="0" w:type="dxa"/>
        </w:tblCellMar>
        <w:tblLook w:val="04A0" w:firstRow="1" w:lastRow="0" w:firstColumn="1" w:lastColumn="0" w:noHBand="0" w:noVBand="1"/>
      </w:tblPr>
      <w:tblGrid>
        <w:gridCol w:w="9533"/>
        <w:gridCol w:w="214"/>
        <w:gridCol w:w="159"/>
        <w:gridCol w:w="1787"/>
        <w:gridCol w:w="159"/>
        <w:gridCol w:w="214"/>
        <w:gridCol w:w="159"/>
        <w:gridCol w:w="1787"/>
        <w:gridCol w:w="159"/>
        <w:gridCol w:w="214"/>
        <w:gridCol w:w="159"/>
        <w:gridCol w:w="1787"/>
        <w:gridCol w:w="160"/>
      </w:tblGrid>
      <w:tr w:rsidR="00AC4931" w:rsidRPr="00AC4931" w14:paraId="4498140E" w14:textId="77777777" w:rsidTr="00AC4931">
        <w:tc>
          <w:tcPr>
            <w:tcW w:w="9474" w:type="dxa"/>
            <w:shd w:val="clear" w:color="auto" w:fill="FFFFFF"/>
            <w:tcMar>
              <w:top w:w="15" w:type="dxa"/>
              <w:left w:w="0" w:type="dxa"/>
              <w:bottom w:w="0" w:type="dxa"/>
              <w:right w:w="15" w:type="dxa"/>
            </w:tcMar>
            <w:vAlign w:val="bottom"/>
            <w:hideMark/>
          </w:tcPr>
          <w:p w14:paraId="0AED883F" w14:textId="77777777" w:rsidR="00AC4931" w:rsidRPr="00AC4931" w:rsidRDefault="00AC4931" w:rsidP="00AC4931">
            <w:pPr>
              <w:widowControl/>
              <w:jc w:val="center"/>
              <w:rPr>
                <w:rFonts w:ascii="Arial" w:eastAsia="宋体" w:hAnsi="Arial" w:cs="Arial"/>
                <w:kern w:val="0"/>
                <w:sz w:val="20"/>
                <w:szCs w:val="20"/>
              </w:rPr>
            </w:pPr>
            <w:r w:rsidRPr="00AC4931">
              <w:rPr>
                <w:rFonts w:ascii="Arial" w:eastAsia="宋体" w:hAnsi="Arial" w:cs="Arial"/>
                <w:kern w:val="0"/>
                <w:sz w:val="20"/>
                <w:szCs w:val="20"/>
              </w:rPr>
              <w:t> </w:t>
            </w:r>
          </w:p>
        </w:tc>
        <w:tc>
          <w:tcPr>
            <w:tcW w:w="213" w:type="dxa"/>
            <w:shd w:val="clear" w:color="auto" w:fill="FFFFFF"/>
            <w:tcMar>
              <w:top w:w="15" w:type="dxa"/>
              <w:left w:w="0" w:type="dxa"/>
              <w:bottom w:w="0" w:type="dxa"/>
              <w:right w:w="15" w:type="dxa"/>
            </w:tcMar>
            <w:vAlign w:val="bottom"/>
            <w:hideMark/>
          </w:tcPr>
          <w:p w14:paraId="559098A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273D084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50" w:type="dxa"/>
            <w:shd w:val="clear" w:color="auto" w:fill="FFFFFF"/>
            <w:noWrap/>
            <w:tcMar>
              <w:top w:w="15" w:type="dxa"/>
              <w:left w:w="0" w:type="dxa"/>
              <w:bottom w:w="0" w:type="dxa"/>
              <w:right w:w="15" w:type="dxa"/>
            </w:tcMar>
            <w:vAlign w:val="bottom"/>
            <w:hideMark/>
          </w:tcPr>
          <w:p w14:paraId="6B7240F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shd w:val="clear" w:color="auto" w:fill="FFFFFF"/>
            <w:tcMar>
              <w:top w:w="15" w:type="dxa"/>
              <w:left w:w="0" w:type="dxa"/>
              <w:bottom w:w="0" w:type="dxa"/>
              <w:right w:w="15" w:type="dxa"/>
            </w:tcMar>
            <w:vAlign w:val="bottom"/>
            <w:hideMark/>
          </w:tcPr>
          <w:p w14:paraId="193302A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54FA4A2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50" w:type="dxa"/>
            <w:shd w:val="clear" w:color="auto" w:fill="FFFFFF"/>
            <w:noWrap/>
            <w:tcMar>
              <w:top w:w="15" w:type="dxa"/>
              <w:left w:w="0" w:type="dxa"/>
              <w:bottom w:w="0" w:type="dxa"/>
              <w:right w:w="15" w:type="dxa"/>
            </w:tcMar>
            <w:vAlign w:val="bottom"/>
            <w:hideMark/>
          </w:tcPr>
          <w:p w14:paraId="20FB0FC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3" w:type="dxa"/>
            <w:shd w:val="clear" w:color="auto" w:fill="FFFFFF"/>
            <w:tcMar>
              <w:top w:w="15" w:type="dxa"/>
              <w:left w:w="0" w:type="dxa"/>
              <w:bottom w:w="0" w:type="dxa"/>
              <w:right w:w="15" w:type="dxa"/>
            </w:tcMar>
            <w:vAlign w:val="bottom"/>
            <w:hideMark/>
          </w:tcPr>
          <w:p w14:paraId="5A9866A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26" w:type="dxa"/>
            <w:gridSpan w:val="2"/>
            <w:tcBorders>
              <w:bottom w:val="single" w:sz="6" w:space="0" w:color="000000"/>
            </w:tcBorders>
            <w:shd w:val="clear" w:color="auto" w:fill="FFFFFF"/>
            <w:tcMar>
              <w:top w:w="15" w:type="dxa"/>
              <w:left w:w="0" w:type="dxa"/>
              <w:bottom w:w="0" w:type="dxa"/>
              <w:right w:w="15" w:type="dxa"/>
            </w:tcMar>
            <w:vAlign w:val="bottom"/>
            <w:hideMark/>
          </w:tcPr>
          <w:p w14:paraId="23A72B6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51" w:type="dxa"/>
            <w:shd w:val="clear" w:color="auto" w:fill="FFFFFF"/>
            <w:noWrap/>
            <w:tcMar>
              <w:top w:w="15" w:type="dxa"/>
              <w:left w:w="0" w:type="dxa"/>
              <w:bottom w:w="0" w:type="dxa"/>
              <w:right w:w="15" w:type="dxa"/>
            </w:tcMar>
            <w:vAlign w:val="bottom"/>
            <w:hideMark/>
          </w:tcPr>
          <w:p w14:paraId="5F39B9C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306B0FD" w14:textId="77777777" w:rsidTr="00AC4931">
        <w:tc>
          <w:tcPr>
            <w:tcW w:w="9474" w:type="dxa"/>
            <w:shd w:val="clear" w:color="auto" w:fill="CFF0FC"/>
            <w:tcMar>
              <w:top w:w="15" w:type="dxa"/>
              <w:left w:w="0" w:type="dxa"/>
              <w:bottom w:w="0" w:type="dxa"/>
              <w:right w:w="15" w:type="dxa"/>
            </w:tcMar>
            <w:hideMark/>
          </w:tcPr>
          <w:p w14:paraId="194628F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Numerator:</w:t>
            </w:r>
          </w:p>
        </w:tc>
        <w:tc>
          <w:tcPr>
            <w:tcW w:w="213" w:type="dxa"/>
            <w:shd w:val="clear" w:color="auto" w:fill="CFF0FC"/>
            <w:tcMar>
              <w:top w:w="15" w:type="dxa"/>
              <w:left w:w="0" w:type="dxa"/>
              <w:bottom w:w="0" w:type="dxa"/>
              <w:right w:w="15" w:type="dxa"/>
            </w:tcMar>
            <w:vAlign w:val="bottom"/>
            <w:hideMark/>
          </w:tcPr>
          <w:p w14:paraId="339F4BD3"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12CB64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2B5A3084"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E04068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3B7C4952"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A1594C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18F93C6F"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C90334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330B4903"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52FCD05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47D20BD9"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1" w:type="dxa"/>
            <w:shd w:val="clear" w:color="auto" w:fill="CFF0FC"/>
            <w:noWrap/>
            <w:tcMar>
              <w:top w:w="15" w:type="dxa"/>
              <w:left w:w="0" w:type="dxa"/>
              <w:bottom w:w="0" w:type="dxa"/>
              <w:right w:w="15" w:type="dxa"/>
            </w:tcMar>
            <w:vAlign w:val="bottom"/>
            <w:hideMark/>
          </w:tcPr>
          <w:p w14:paraId="601D670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10AB1977" w14:textId="77777777" w:rsidTr="00AC4931">
        <w:tc>
          <w:tcPr>
            <w:tcW w:w="9474" w:type="dxa"/>
            <w:shd w:val="clear" w:color="auto" w:fill="FFFFFF"/>
            <w:tcMar>
              <w:top w:w="15" w:type="dxa"/>
              <w:left w:w="0" w:type="dxa"/>
              <w:bottom w:w="0" w:type="dxa"/>
              <w:right w:w="15" w:type="dxa"/>
            </w:tcMar>
            <w:vAlign w:val="bottom"/>
            <w:hideMark/>
          </w:tcPr>
          <w:p w14:paraId="12C0C942" w14:textId="77777777" w:rsidR="00AC4931" w:rsidRPr="00AC4931" w:rsidRDefault="00AC4931" w:rsidP="00AC4931">
            <w:pPr>
              <w:widowControl/>
              <w:ind w:left="137"/>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Basic and diluted:</w:t>
            </w:r>
          </w:p>
        </w:tc>
        <w:tc>
          <w:tcPr>
            <w:tcW w:w="213" w:type="dxa"/>
            <w:shd w:val="clear" w:color="auto" w:fill="FFFFFF"/>
            <w:tcMar>
              <w:top w:w="15" w:type="dxa"/>
              <w:left w:w="0" w:type="dxa"/>
              <w:bottom w:w="0" w:type="dxa"/>
              <w:right w:w="15" w:type="dxa"/>
            </w:tcMar>
            <w:vAlign w:val="bottom"/>
            <w:hideMark/>
          </w:tcPr>
          <w:p w14:paraId="08F5994F"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10725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A2CA88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E4AC1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54E85FE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1B402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21CA091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ECB70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3D9D35B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32377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2A2485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 w:type="dxa"/>
            <w:shd w:val="clear" w:color="auto" w:fill="FFFFFF"/>
            <w:noWrap/>
            <w:tcMar>
              <w:top w:w="15" w:type="dxa"/>
              <w:left w:w="0" w:type="dxa"/>
              <w:bottom w:w="0" w:type="dxa"/>
              <w:right w:w="15" w:type="dxa"/>
            </w:tcMar>
            <w:vAlign w:val="bottom"/>
            <w:hideMark/>
          </w:tcPr>
          <w:p w14:paraId="76BECC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53A73CD" w14:textId="77777777" w:rsidTr="00AC4931">
        <w:tc>
          <w:tcPr>
            <w:tcW w:w="9474" w:type="dxa"/>
            <w:shd w:val="clear" w:color="auto" w:fill="CFF0FC"/>
            <w:tcMar>
              <w:top w:w="15" w:type="dxa"/>
              <w:left w:w="0" w:type="dxa"/>
              <w:bottom w:w="0" w:type="dxa"/>
              <w:right w:w="15" w:type="dxa"/>
            </w:tcMar>
            <w:hideMark/>
          </w:tcPr>
          <w:p w14:paraId="0EFC9252"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 from continuing operations</w:t>
            </w:r>
          </w:p>
        </w:tc>
        <w:tc>
          <w:tcPr>
            <w:tcW w:w="213" w:type="dxa"/>
            <w:shd w:val="clear" w:color="auto" w:fill="CFF0FC"/>
            <w:tcMar>
              <w:top w:w="15" w:type="dxa"/>
              <w:left w:w="0" w:type="dxa"/>
              <w:bottom w:w="0" w:type="dxa"/>
              <w:right w:w="15" w:type="dxa"/>
            </w:tcMar>
            <w:vAlign w:val="bottom"/>
            <w:hideMark/>
          </w:tcPr>
          <w:p w14:paraId="0A860E16"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3D721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shd w:val="clear" w:color="auto" w:fill="CFF0FC"/>
            <w:noWrap/>
            <w:tcMar>
              <w:top w:w="15" w:type="dxa"/>
              <w:left w:w="0" w:type="dxa"/>
              <w:bottom w:w="0" w:type="dxa"/>
              <w:right w:w="15" w:type="dxa"/>
            </w:tcMar>
            <w:vAlign w:val="bottom"/>
            <w:hideMark/>
          </w:tcPr>
          <w:p w14:paraId="7F3119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186.9</w:t>
            </w:r>
          </w:p>
        </w:tc>
        <w:tc>
          <w:tcPr>
            <w:tcW w:w="150" w:type="dxa"/>
            <w:shd w:val="clear" w:color="auto" w:fill="CFF0FC"/>
            <w:noWrap/>
            <w:tcMar>
              <w:top w:w="15" w:type="dxa"/>
              <w:left w:w="0" w:type="dxa"/>
              <w:bottom w:w="0" w:type="dxa"/>
              <w:right w:w="15" w:type="dxa"/>
            </w:tcMar>
            <w:vAlign w:val="bottom"/>
            <w:hideMark/>
          </w:tcPr>
          <w:p w14:paraId="19A5026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6A5927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95B47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shd w:val="clear" w:color="auto" w:fill="CFF0FC"/>
            <w:noWrap/>
            <w:tcMar>
              <w:top w:w="15" w:type="dxa"/>
              <w:left w:w="0" w:type="dxa"/>
              <w:bottom w:w="0" w:type="dxa"/>
              <w:right w:w="15" w:type="dxa"/>
            </w:tcMar>
            <w:vAlign w:val="bottom"/>
            <w:hideMark/>
          </w:tcPr>
          <w:p w14:paraId="3DCBB5D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461.5</w:t>
            </w:r>
          </w:p>
        </w:tc>
        <w:tc>
          <w:tcPr>
            <w:tcW w:w="150" w:type="dxa"/>
            <w:shd w:val="clear" w:color="auto" w:fill="CFF0FC"/>
            <w:noWrap/>
            <w:tcMar>
              <w:top w:w="15" w:type="dxa"/>
              <w:left w:w="0" w:type="dxa"/>
              <w:bottom w:w="0" w:type="dxa"/>
              <w:right w:w="15" w:type="dxa"/>
            </w:tcMar>
            <w:vAlign w:val="bottom"/>
            <w:hideMark/>
          </w:tcPr>
          <w:p w14:paraId="4B0B8A4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14C41D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29A9C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shd w:val="clear" w:color="auto" w:fill="CFF0FC"/>
            <w:noWrap/>
            <w:tcMar>
              <w:top w:w="15" w:type="dxa"/>
              <w:left w:w="0" w:type="dxa"/>
              <w:bottom w:w="0" w:type="dxa"/>
              <w:right w:w="15" w:type="dxa"/>
            </w:tcMar>
            <w:vAlign w:val="bottom"/>
            <w:hideMark/>
          </w:tcPr>
          <w:p w14:paraId="408385A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375.9</w:t>
            </w:r>
          </w:p>
        </w:tc>
        <w:tc>
          <w:tcPr>
            <w:tcW w:w="151" w:type="dxa"/>
            <w:shd w:val="clear" w:color="auto" w:fill="CFF0FC"/>
            <w:noWrap/>
            <w:tcMar>
              <w:top w:w="15" w:type="dxa"/>
              <w:left w:w="0" w:type="dxa"/>
              <w:bottom w:w="0" w:type="dxa"/>
              <w:right w:w="15" w:type="dxa"/>
            </w:tcMar>
            <w:vAlign w:val="bottom"/>
            <w:hideMark/>
          </w:tcPr>
          <w:p w14:paraId="10AAD8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090916A" w14:textId="77777777" w:rsidTr="00AC4931">
        <w:tc>
          <w:tcPr>
            <w:tcW w:w="9474" w:type="dxa"/>
            <w:shd w:val="clear" w:color="auto" w:fill="FFFFFF"/>
            <w:tcMar>
              <w:top w:w="15" w:type="dxa"/>
              <w:left w:w="0" w:type="dxa"/>
              <w:bottom w:w="0" w:type="dxa"/>
              <w:right w:w="15" w:type="dxa"/>
            </w:tcMar>
            <w:hideMark/>
          </w:tcPr>
          <w:p w14:paraId="2E792C0E"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loss from discontinued operations</w:t>
            </w:r>
          </w:p>
        </w:tc>
        <w:tc>
          <w:tcPr>
            <w:tcW w:w="213" w:type="dxa"/>
            <w:shd w:val="clear" w:color="auto" w:fill="FFFFFF"/>
            <w:tcMar>
              <w:top w:w="15" w:type="dxa"/>
              <w:left w:w="0" w:type="dxa"/>
              <w:bottom w:w="0" w:type="dxa"/>
              <w:right w:w="15" w:type="dxa"/>
            </w:tcMar>
            <w:vAlign w:val="bottom"/>
            <w:hideMark/>
          </w:tcPr>
          <w:p w14:paraId="799BF1D8"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6E99E6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21353F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12DC26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22ADD25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016B1D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05655AF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1C605C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37BB102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1E6758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7DADF0A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(185.5</w:t>
            </w:r>
          </w:p>
        </w:tc>
        <w:tc>
          <w:tcPr>
            <w:tcW w:w="151" w:type="dxa"/>
            <w:shd w:val="clear" w:color="auto" w:fill="FFFFFF"/>
            <w:noWrap/>
            <w:tcMar>
              <w:top w:w="15" w:type="dxa"/>
              <w:left w:w="0" w:type="dxa"/>
              <w:bottom w:w="0" w:type="dxa"/>
              <w:right w:w="15" w:type="dxa"/>
            </w:tcMar>
            <w:vAlign w:val="bottom"/>
            <w:hideMark/>
          </w:tcPr>
          <w:p w14:paraId="14F686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24DECA2C" w14:textId="77777777" w:rsidTr="00AC4931">
        <w:tc>
          <w:tcPr>
            <w:tcW w:w="9474" w:type="dxa"/>
            <w:shd w:val="clear" w:color="auto" w:fill="CFF0FC"/>
            <w:tcMar>
              <w:top w:w="15" w:type="dxa"/>
              <w:left w:w="0" w:type="dxa"/>
              <w:bottom w:w="0" w:type="dxa"/>
              <w:right w:w="15" w:type="dxa"/>
            </w:tcMar>
            <w:hideMark/>
          </w:tcPr>
          <w:p w14:paraId="55276CB8" w14:textId="77777777" w:rsidR="00AC4931" w:rsidRPr="00AC4931" w:rsidRDefault="00AC4931" w:rsidP="00AC4931">
            <w:pPr>
              <w:widowControl/>
              <w:ind w:left="274"/>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income attributable to controlling interest</w:t>
            </w:r>
          </w:p>
        </w:tc>
        <w:tc>
          <w:tcPr>
            <w:tcW w:w="213" w:type="dxa"/>
            <w:shd w:val="clear" w:color="auto" w:fill="CFF0FC"/>
            <w:tcMar>
              <w:top w:w="15" w:type="dxa"/>
              <w:left w:w="0" w:type="dxa"/>
              <w:bottom w:w="0" w:type="dxa"/>
              <w:right w:w="15" w:type="dxa"/>
            </w:tcMar>
            <w:vAlign w:val="bottom"/>
            <w:hideMark/>
          </w:tcPr>
          <w:p w14:paraId="6482A72F"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35495D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5F04EB7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186.9</w:t>
            </w:r>
          </w:p>
        </w:tc>
        <w:tc>
          <w:tcPr>
            <w:tcW w:w="150" w:type="dxa"/>
            <w:shd w:val="clear" w:color="auto" w:fill="CFF0FC"/>
            <w:noWrap/>
            <w:tcMar>
              <w:top w:w="15" w:type="dxa"/>
              <w:left w:w="0" w:type="dxa"/>
              <w:bottom w:w="0" w:type="dxa"/>
              <w:right w:w="15" w:type="dxa"/>
            </w:tcMar>
            <w:vAlign w:val="bottom"/>
            <w:hideMark/>
          </w:tcPr>
          <w:p w14:paraId="5AC9FAF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11ADB23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F99E12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5D60AAA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461.5</w:t>
            </w:r>
          </w:p>
        </w:tc>
        <w:tc>
          <w:tcPr>
            <w:tcW w:w="150" w:type="dxa"/>
            <w:shd w:val="clear" w:color="auto" w:fill="CFF0FC"/>
            <w:noWrap/>
            <w:tcMar>
              <w:top w:w="15" w:type="dxa"/>
              <w:left w:w="0" w:type="dxa"/>
              <w:bottom w:w="0" w:type="dxa"/>
              <w:right w:w="15" w:type="dxa"/>
            </w:tcMar>
            <w:vAlign w:val="bottom"/>
            <w:hideMark/>
          </w:tcPr>
          <w:p w14:paraId="6080B08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4401D4C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54DDCE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672012E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190.4</w:t>
            </w:r>
          </w:p>
        </w:tc>
        <w:tc>
          <w:tcPr>
            <w:tcW w:w="151" w:type="dxa"/>
            <w:shd w:val="clear" w:color="auto" w:fill="CFF0FC"/>
            <w:noWrap/>
            <w:tcMar>
              <w:top w:w="15" w:type="dxa"/>
              <w:left w:w="0" w:type="dxa"/>
              <w:bottom w:w="0" w:type="dxa"/>
              <w:right w:w="15" w:type="dxa"/>
            </w:tcMar>
            <w:vAlign w:val="bottom"/>
            <w:hideMark/>
          </w:tcPr>
          <w:p w14:paraId="548246B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006E8EB" w14:textId="77777777" w:rsidTr="00AC4931">
        <w:tc>
          <w:tcPr>
            <w:tcW w:w="9474" w:type="dxa"/>
            <w:shd w:val="clear" w:color="auto" w:fill="FFFFFF"/>
            <w:tcMar>
              <w:top w:w="15" w:type="dxa"/>
              <w:left w:w="0" w:type="dxa"/>
              <w:bottom w:w="0" w:type="dxa"/>
              <w:right w:w="15" w:type="dxa"/>
            </w:tcMar>
            <w:hideMark/>
          </w:tcPr>
          <w:p w14:paraId="11FEB39B"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Participating share awards with dividend equivalent rights</w:t>
            </w:r>
          </w:p>
        </w:tc>
        <w:tc>
          <w:tcPr>
            <w:tcW w:w="213" w:type="dxa"/>
            <w:shd w:val="clear" w:color="auto" w:fill="FFFFFF"/>
            <w:tcMar>
              <w:top w:w="15" w:type="dxa"/>
              <w:left w:w="0" w:type="dxa"/>
              <w:bottom w:w="0" w:type="dxa"/>
              <w:right w:w="15" w:type="dxa"/>
            </w:tcMar>
            <w:vAlign w:val="bottom"/>
            <w:hideMark/>
          </w:tcPr>
          <w:p w14:paraId="733D0EEE"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0872C7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365E7F9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50" w:type="dxa"/>
            <w:shd w:val="clear" w:color="auto" w:fill="FFFFFF"/>
            <w:noWrap/>
            <w:tcMar>
              <w:top w:w="15" w:type="dxa"/>
              <w:left w:w="0" w:type="dxa"/>
              <w:bottom w:w="0" w:type="dxa"/>
              <w:right w:w="15" w:type="dxa"/>
            </w:tcMar>
            <w:vAlign w:val="bottom"/>
            <w:hideMark/>
          </w:tcPr>
          <w:p w14:paraId="6252422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08C10B7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70E1B5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1E020D2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50" w:type="dxa"/>
            <w:shd w:val="clear" w:color="auto" w:fill="FFFFFF"/>
            <w:noWrap/>
            <w:tcMar>
              <w:top w:w="15" w:type="dxa"/>
              <w:left w:w="0" w:type="dxa"/>
              <w:bottom w:w="0" w:type="dxa"/>
              <w:right w:w="15" w:type="dxa"/>
            </w:tcMar>
            <w:vAlign w:val="bottom"/>
            <w:hideMark/>
          </w:tcPr>
          <w:p w14:paraId="4FBF4A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788836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1C980B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1000098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51" w:type="dxa"/>
            <w:shd w:val="clear" w:color="auto" w:fill="FFFFFF"/>
            <w:noWrap/>
            <w:tcMar>
              <w:top w:w="15" w:type="dxa"/>
              <w:left w:w="0" w:type="dxa"/>
              <w:bottom w:w="0" w:type="dxa"/>
              <w:right w:w="15" w:type="dxa"/>
            </w:tcMar>
            <w:vAlign w:val="bottom"/>
            <w:hideMark/>
          </w:tcPr>
          <w:p w14:paraId="6C792E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10E3365" w14:textId="77777777" w:rsidTr="00AC4931">
        <w:tc>
          <w:tcPr>
            <w:tcW w:w="9474" w:type="dxa"/>
            <w:shd w:val="clear" w:color="auto" w:fill="CFF0FC"/>
            <w:tcMar>
              <w:top w:w="15" w:type="dxa"/>
              <w:left w:w="0" w:type="dxa"/>
              <w:bottom w:w="0" w:type="dxa"/>
              <w:right w:w="15" w:type="dxa"/>
            </w:tcMar>
            <w:hideMark/>
          </w:tcPr>
          <w:p w14:paraId="242227C2" w14:textId="77777777" w:rsidR="00AC4931" w:rsidRPr="00AC4931" w:rsidRDefault="00AC4931" w:rsidP="00AC4931">
            <w:pPr>
              <w:widowControl/>
              <w:ind w:left="274"/>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income available to common shareholders</w:t>
            </w:r>
          </w:p>
        </w:tc>
        <w:tc>
          <w:tcPr>
            <w:tcW w:w="213" w:type="dxa"/>
            <w:shd w:val="clear" w:color="auto" w:fill="CFF0FC"/>
            <w:tcMar>
              <w:top w:w="15" w:type="dxa"/>
              <w:left w:w="0" w:type="dxa"/>
              <w:bottom w:w="0" w:type="dxa"/>
              <w:right w:w="15" w:type="dxa"/>
            </w:tcMar>
            <w:vAlign w:val="bottom"/>
            <w:hideMark/>
          </w:tcPr>
          <w:p w14:paraId="4D5C13A5"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06A841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71598C4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186.9</w:t>
            </w:r>
          </w:p>
        </w:tc>
        <w:tc>
          <w:tcPr>
            <w:tcW w:w="150" w:type="dxa"/>
            <w:shd w:val="clear" w:color="auto" w:fill="CFF0FC"/>
            <w:noWrap/>
            <w:tcMar>
              <w:top w:w="15" w:type="dxa"/>
              <w:left w:w="0" w:type="dxa"/>
              <w:bottom w:w="0" w:type="dxa"/>
              <w:right w:w="15" w:type="dxa"/>
            </w:tcMar>
            <w:vAlign w:val="bottom"/>
            <w:hideMark/>
          </w:tcPr>
          <w:p w14:paraId="1367E65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13FCBAB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194359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0DD9527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461.5</w:t>
            </w:r>
          </w:p>
        </w:tc>
        <w:tc>
          <w:tcPr>
            <w:tcW w:w="150" w:type="dxa"/>
            <w:shd w:val="clear" w:color="auto" w:fill="CFF0FC"/>
            <w:noWrap/>
            <w:tcMar>
              <w:top w:w="15" w:type="dxa"/>
              <w:left w:w="0" w:type="dxa"/>
              <w:bottom w:w="0" w:type="dxa"/>
              <w:right w:w="15" w:type="dxa"/>
            </w:tcMar>
            <w:vAlign w:val="bottom"/>
            <w:hideMark/>
          </w:tcPr>
          <w:p w14:paraId="653CE92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6CC891A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5884E0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3926D370"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190.4</w:t>
            </w:r>
          </w:p>
        </w:tc>
        <w:tc>
          <w:tcPr>
            <w:tcW w:w="151" w:type="dxa"/>
            <w:shd w:val="clear" w:color="auto" w:fill="CFF0FC"/>
            <w:noWrap/>
            <w:tcMar>
              <w:top w:w="15" w:type="dxa"/>
              <w:left w:w="0" w:type="dxa"/>
              <w:bottom w:w="0" w:type="dxa"/>
              <w:right w:w="15" w:type="dxa"/>
            </w:tcMar>
            <w:vAlign w:val="bottom"/>
            <w:hideMark/>
          </w:tcPr>
          <w:p w14:paraId="218A488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7F404D87" w14:textId="77777777" w:rsidTr="00AC4931">
        <w:tc>
          <w:tcPr>
            <w:tcW w:w="9474" w:type="dxa"/>
            <w:shd w:val="clear" w:color="auto" w:fill="FFFFFF"/>
            <w:tcMar>
              <w:top w:w="15" w:type="dxa"/>
              <w:left w:w="0" w:type="dxa"/>
              <w:bottom w:w="0" w:type="dxa"/>
              <w:right w:w="15" w:type="dxa"/>
            </w:tcMar>
            <w:hideMark/>
          </w:tcPr>
          <w:p w14:paraId="28D6924B" w14:textId="77777777" w:rsidR="00AC4931" w:rsidRPr="00AC4931" w:rsidRDefault="00AC4931" w:rsidP="00AC4931">
            <w:pPr>
              <w:widowControl/>
              <w:ind w:left="274"/>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Earnings allocated to participating share awards</w:t>
            </w:r>
            <w:r w:rsidRPr="00AC4931">
              <w:rPr>
                <w:rFonts w:ascii="Arial" w:eastAsia="宋体" w:hAnsi="Arial" w:cs="Arial"/>
                <w:color w:val="000000"/>
                <w:kern w:val="0"/>
                <w:sz w:val="18"/>
                <w:szCs w:val="18"/>
                <w:vertAlign w:val="superscript"/>
              </w:rPr>
              <w:t> 1)</w:t>
            </w:r>
          </w:p>
        </w:tc>
        <w:tc>
          <w:tcPr>
            <w:tcW w:w="213" w:type="dxa"/>
            <w:shd w:val="clear" w:color="auto" w:fill="FFFFFF"/>
            <w:tcMar>
              <w:top w:w="15" w:type="dxa"/>
              <w:left w:w="0" w:type="dxa"/>
              <w:bottom w:w="0" w:type="dxa"/>
              <w:right w:w="15" w:type="dxa"/>
            </w:tcMar>
            <w:vAlign w:val="bottom"/>
            <w:hideMark/>
          </w:tcPr>
          <w:p w14:paraId="4AB7109A"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6C04B7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0BF1C53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50" w:type="dxa"/>
            <w:shd w:val="clear" w:color="auto" w:fill="FFFFFF"/>
            <w:noWrap/>
            <w:tcMar>
              <w:top w:w="15" w:type="dxa"/>
              <w:left w:w="0" w:type="dxa"/>
              <w:bottom w:w="0" w:type="dxa"/>
              <w:right w:w="15" w:type="dxa"/>
            </w:tcMar>
            <w:vAlign w:val="bottom"/>
            <w:hideMark/>
          </w:tcPr>
          <w:p w14:paraId="552724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59AFF65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4E8AA8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387C519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50" w:type="dxa"/>
            <w:shd w:val="clear" w:color="auto" w:fill="FFFFFF"/>
            <w:noWrap/>
            <w:tcMar>
              <w:top w:w="15" w:type="dxa"/>
              <w:left w:w="0" w:type="dxa"/>
              <w:bottom w:w="0" w:type="dxa"/>
              <w:right w:w="15" w:type="dxa"/>
            </w:tcMar>
            <w:vAlign w:val="bottom"/>
            <w:hideMark/>
          </w:tcPr>
          <w:p w14:paraId="1453EA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7257EAA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31D193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5026EE8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w:t>
            </w:r>
          </w:p>
        </w:tc>
        <w:tc>
          <w:tcPr>
            <w:tcW w:w="151" w:type="dxa"/>
            <w:shd w:val="clear" w:color="auto" w:fill="FFFFFF"/>
            <w:noWrap/>
            <w:tcMar>
              <w:top w:w="15" w:type="dxa"/>
              <w:left w:w="0" w:type="dxa"/>
              <w:bottom w:w="0" w:type="dxa"/>
              <w:right w:w="15" w:type="dxa"/>
            </w:tcMar>
            <w:vAlign w:val="bottom"/>
            <w:hideMark/>
          </w:tcPr>
          <w:p w14:paraId="0098C1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07AA021" w14:textId="77777777" w:rsidTr="00AC4931">
        <w:tc>
          <w:tcPr>
            <w:tcW w:w="9474" w:type="dxa"/>
            <w:shd w:val="clear" w:color="auto" w:fill="CFF0FC"/>
            <w:tcMar>
              <w:top w:w="15" w:type="dxa"/>
              <w:left w:w="0" w:type="dxa"/>
              <w:bottom w:w="0" w:type="dxa"/>
              <w:right w:w="15" w:type="dxa"/>
            </w:tcMar>
            <w:hideMark/>
          </w:tcPr>
          <w:p w14:paraId="60EB2E53" w14:textId="77777777" w:rsidR="00AC4931" w:rsidRPr="00AC4931" w:rsidRDefault="00AC4931" w:rsidP="00AC4931">
            <w:pPr>
              <w:widowControl/>
              <w:ind w:left="274"/>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income attributable to common shareholders</w:t>
            </w:r>
          </w:p>
        </w:tc>
        <w:tc>
          <w:tcPr>
            <w:tcW w:w="213" w:type="dxa"/>
            <w:shd w:val="clear" w:color="auto" w:fill="CFF0FC"/>
            <w:tcMar>
              <w:top w:w="15" w:type="dxa"/>
              <w:left w:w="0" w:type="dxa"/>
              <w:bottom w:w="0" w:type="dxa"/>
              <w:right w:w="15" w:type="dxa"/>
            </w:tcMar>
            <w:vAlign w:val="bottom"/>
            <w:hideMark/>
          </w:tcPr>
          <w:p w14:paraId="395D1C51"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4414140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51526BF9"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186.9</w:t>
            </w:r>
          </w:p>
        </w:tc>
        <w:tc>
          <w:tcPr>
            <w:tcW w:w="150" w:type="dxa"/>
            <w:shd w:val="clear" w:color="auto" w:fill="CFF0FC"/>
            <w:noWrap/>
            <w:tcMar>
              <w:top w:w="15" w:type="dxa"/>
              <w:left w:w="0" w:type="dxa"/>
              <w:bottom w:w="0" w:type="dxa"/>
              <w:right w:w="15" w:type="dxa"/>
            </w:tcMar>
            <w:vAlign w:val="bottom"/>
            <w:hideMark/>
          </w:tcPr>
          <w:p w14:paraId="62051834"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787E808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281645C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7980226F"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461.5</w:t>
            </w:r>
          </w:p>
        </w:tc>
        <w:tc>
          <w:tcPr>
            <w:tcW w:w="150" w:type="dxa"/>
            <w:shd w:val="clear" w:color="auto" w:fill="CFF0FC"/>
            <w:noWrap/>
            <w:tcMar>
              <w:top w:w="15" w:type="dxa"/>
              <w:left w:w="0" w:type="dxa"/>
              <w:bottom w:w="0" w:type="dxa"/>
              <w:right w:w="15" w:type="dxa"/>
            </w:tcMar>
            <w:vAlign w:val="bottom"/>
            <w:hideMark/>
          </w:tcPr>
          <w:p w14:paraId="43B5E42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33FF62E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781CF2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79F4A41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190.4</w:t>
            </w:r>
          </w:p>
        </w:tc>
        <w:tc>
          <w:tcPr>
            <w:tcW w:w="151" w:type="dxa"/>
            <w:shd w:val="clear" w:color="auto" w:fill="CFF0FC"/>
            <w:noWrap/>
            <w:tcMar>
              <w:top w:w="15" w:type="dxa"/>
              <w:left w:w="0" w:type="dxa"/>
              <w:bottom w:w="0" w:type="dxa"/>
              <w:right w:w="15" w:type="dxa"/>
            </w:tcMar>
            <w:vAlign w:val="bottom"/>
            <w:hideMark/>
          </w:tcPr>
          <w:p w14:paraId="3948FF6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2FB2A39" w14:textId="77777777" w:rsidTr="00AC4931">
        <w:tc>
          <w:tcPr>
            <w:tcW w:w="9474" w:type="dxa"/>
            <w:shd w:val="clear" w:color="auto" w:fill="FFFFFF"/>
            <w:tcMar>
              <w:top w:w="15" w:type="dxa"/>
              <w:left w:w="0" w:type="dxa"/>
              <w:bottom w:w="0" w:type="dxa"/>
              <w:right w:w="15" w:type="dxa"/>
            </w:tcMar>
            <w:hideMark/>
          </w:tcPr>
          <w:p w14:paraId="3B5DF50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Denominator: </w:t>
            </w:r>
            <w:r w:rsidRPr="00AC4931">
              <w:rPr>
                <w:rFonts w:ascii="Arial" w:eastAsia="宋体" w:hAnsi="Arial" w:cs="Arial"/>
                <w:b/>
                <w:bCs/>
                <w:color w:val="000000"/>
                <w:kern w:val="0"/>
                <w:sz w:val="18"/>
                <w:szCs w:val="18"/>
                <w:vertAlign w:val="superscript"/>
              </w:rPr>
              <w:t>1)</w:t>
            </w:r>
          </w:p>
        </w:tc>
        <w:tc>
          <w:tcPr>
            <w:tcW w:w="213" w:type="dxa"/>
            <w:shd w:val="clear" w:color="auto" w:fill="FFFFFF"/>
            <w:tcMar>
              <w:top w:w="15" w:type="dxa"/>
              <w:left w:w="0" w:type="dxa"/>
              <w:bottom w:w="0" w:type="dxa"/>
              <w:right w:w="15" w:type="dxa"/>
            </w:tcMar>
            <w:vAlign w:val="bottom"/>
            <w:hideMark/>
          </w:tcPr>
          <w:p w14:paraId="1E8E85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CAF1AE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44A6FFAE"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5AB9D2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33B91D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FB7A2F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22F3075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06D5DE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5EB799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448F048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3DAE370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1" w:type="dxa"/>
            <w:shd w:val="clear" w:color="auto" w:fill="FFFFFF"/>
            <w:noWrap/>
            <w:tcMar>
              <w:top w:w="15" w:type="dxa"/>
              <w:left w:w="0" w:type="dxa"/>
              <w:bottom w:w="0" w:type="dxa"/>
              <w:right w:w="15" w:type="dxa"/>
            </w:tcMar>
            <w:vAlign w:val="bottom"/>
            <w:hideMark/>
          </w:tcPr>
          <w:p w14:paraId="5F816B3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7DDD2AFA" w14:textId="77777777" w:rsidTr="00AC4931">
        <w:tc>
          <w:tcPr>
            <w:tcW w:w="9474" w:type="dxa"/>
            <w:shd w:val="clear" w:color="auto" w:fill="CFF0FC"/>
            <w:tcMar>
              <w:top w:w="15" w:type="dxa"/>
              <w:left w:w="0" w:type="dxa"/>
              <w:bottom w:w="0" w:type="dxa"/>
              <w:right w:w="15" w:type="dxa"/>
            </w:tcMar>
            <w:vAlign w:val="bottom"/>
            <w:hideMark/>
          </w:tcPr>
          <w:p w14:paraId="788F8F3D" w14:textId="77777777" w:rsidR="00AC4931" w:rsidRPr="00AC4931" w:rsidRDefault="00AC4931" w:rsidP="00AC4931">
            <w:pPr>
              <w:widowControl/>
              <w:ind w:left="137"/>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Basic: Weighted average common stock</w:t>
            </w:r>
          </w:p>
        </w:tc>
        <w:tc>
          <w:tcPr>
            <w:tcW w:w="213" w:type="dxa"/>
            <w:shd w:val="clear" w:color="auto" w:fill="CFF0FC"/>
            <w:tcMar>
              <w:top w:w="15" w:type="dxa"/>
              <w:left w:w="0" w:type="dxa"/>
              <w:bottom w:w="0" w:type="dxa"/>
              <w:right w:w="15" w:type="dxa"/>
            </w:tcMar>
            <w:vAlign w:val="bottom"/>
            <w:hideMark/>
          </w:tcPr>
          <w:p w14:paraId="367722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37D1F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4239E5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87.3</w:t>
            </w:r>
          </w:p>
        </w:tc>
        <w:tc>
          <w:tcPr>
            <w:tcW w:w="150" w:type="dxa"/>
            <w:shd w:val="clear" w:color="auto" w:fill="CFF0FC"/>
            <w:noWrap/>
            <w:tcMar>
              <w:top w:w="15" w:type="dxa"/>
              <w:left w:w="0" w:type="dxa"/>
              <w:bottom w:w="0" w:type="dxa"/>
              <w:right w:w="15" w:type="dxa"/>
            </w:tcMar>
            <w:vAlign w:val="bottom"/>
            <w:hideMark/>
          </w:tcPr>
          <w:p w14:paraId="4228F3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3818DAF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C94E2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66B5341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87.2</w:t>
            </w:r>
          </w:p>
        </w:tc>
        <w:tc>
          <w:tcPr>
            <w:tcW w:w="150" w:type="dxa"/>
            <w:shd w:val="clear" w:color="auto" w:fill="CFF0FC"/>
            <w:noWrap/>
            <w:tcMar>
              <w:top w:w="15" w:type="dxa"/>
              <w:left w:w="0" w:type="dxa"/>
              <w:bottom w:w="0" w:type="dxa"/>
              <w:right w:w="15" w:type="dxa"/>
            </w:tcMar>
            <w:vAlign w:val="bottom"/>
            <w:hideMark/>
          </w:tcPr>
          <w:p w14:paraId="509BE6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07F0BE9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9CBF1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5FF435D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87.1</w:t>
            </w:r>
          </w:p>
        </w:tc>
        <w:tc>
          <w:tcPr>
            <w:tcW w:w="151" w:type="dxa"/>
            <w:shd w:val="clear" w:color="auto" w:fill="CFF0FC"/>
            <w:noWrap/>
            <w:tcMar>
              <w:top w:w="15" w:type="dxa"/>
              <w:left w:w="0" w:type="dxa"/>
              <w:bottom w:w="0" w:type="dxa"/>
              <w:right w:w="15" w:type="dxa"/>
            </w:tcMar>
            <w:vAlign w:val="bottom"/>
            <w:hideMark/>
          </w:tcPr>
          <w:p w14:paraId="36C34F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3408947" w14:textId="77777777" w:rsidTr="00AC4931">
        <w:tc>
          <w:tcPr>
            <w:tcW w:w="9474" w:type="dxa"/>
            <w:shd w:val="clear" w:color="auto" w:fill="FFFFFF"/>
            <w:tcMar>
              <w:top w:w="15" w:type="dxa"/>
              <w:left w:w="0" w:type="dxa"/>
              <w:bottom w:w="0" w:type="dxa"/>
              <w:right w:w="15" w:type="dxa"/>
            </w:tcMar>
            <w:vAlign w:val="bottom"/>
            <w:hideMark/>
          </w:tcPr>
          <w:p w14:paraId="28C6C5C3" w14:textId="77777777" w:rsidR="00AC4931" w:rsidRPr="00AC4931" w:rsidRDefault="00AC4931" w:rsidP="00AC4931">
            <w:pPr>
              <w:widowControl/>
              <w:ind w:left="137"/>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Add: Weighted average stock options/share awards</w:t>
            </w:r>
          </w:p>
        </w:tc>
        <w:tc>
          <w:tcPr>
            <w:tcW w:w="213" w:type="dxa"/>
            <w:shd w:val="clear" w:color="auto" w:fill="FFFFFF"/>
            <w:tcMar>
              <w:top w:w="15" w:type="dxa"/>
              <w:left w:w="0" w:type="dxa"/>
              <w:bottom w:w="0" w:type="dxa"/>
              <w:right w:w="15" w:type="dxa"/>
            </w:tcMar>
            <w:vAlign w:val="bottom"/>
            <w:hideMark/>
          </w:tcPr>
          <w:p w14:paraId="6C9D96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74B471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4981351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50" w:type="dxa"/>
            <w:shd w:val="clear" w:color="auto" w:fill="FFFFFF"/>
            <w:noWrap/>
            <w:tcMar>
              <w:top w:w="15" w:type="dxa"/>
              <w:left w:w="0" w:type="dxa"/>
              <w:bottom w:w="0" w:type="dxa"/>
              <w:right w:w="15" w:type="dxa"/>
            </w:tcMar>
            <w:vAlign w:val="bottom"/>
            <w:hideMark/>
          </w:tcPr>
          <w:p w14:paraId="7CDE1B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6FD5CC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782241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5525DA0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50" w:type="dxa"/>
            <w:shd w:val="clear" w:color="auto" w:fill="FFFFFF"/>
            <w:noWrap/>
            <w:tcMar>
              <w:top w:w="15" w:type="dxa"/>
              <w:left w:w="0" w:type="dxa"/>
              <w:bottom w:w="0" w:type="dxa"/>
              <w:right w:w="15" w:type="dxa"/>
            </w:tcMar>
            <w:vAlign w:val="bottom"/>
            <w:hideMark/>
          </w:tcPr>
          <w:p w14:paraId="282902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485F18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0333F0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7AA9D67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w:t>
            </w:r>
          </w:p>
        </w:tc>
        <w:tc>
          <w:tcPr>
            <w:tcW w:w="151" w:type="dxa"/>
            <w:shd w:val="clear" w:color="auto" w:fill="FFFFFF"/>
            <w:noWrap/>
            <w:tcMar>
              <w:top w:w="15" w:type="dxa"/>
              <w:left w:w="0" w:type="dxa"/>
              <w:bottom w:w="0" w:type="dxa"/>
              <w:right w:w="15" w:type="dxa"/>
            </w:tcMar>
            <w:vAlign w:val="bottom"/>
            <w:hideMark/>
          </w:tcPr>
          <w:p w14:paraId="609585F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7F8631D" w14:textId="77777777" w:rsidTr="00AC4931">
        <w:tc>
          <w:tcPr>
            <w:tcW w:w="9474" w:type="dxa"/>
            <w:shd w:val="clear" w:color="auto" w:fill="CFF0FC"/>
            <w:tcMar>
              <w:top w:w="15" w:type="dxa"/>
              <w:left w:w="0" w:type="dxa"/>
              <w:bottom w:w="0" w:type="dxa"/>
              <w:right w:w="15" w:type="dxa"/>
            </w:tcMar>
            <w:vAlign w:val="bottom"/>
            <w:hideMark/>
          </w:tcPr>
          <w:p w14:paraId="3DDF4601" w14:textId="77777777" w:rsidR="00AC4931" w:rsidRPr="00AC4931" w:rsidRDefault="00AC4931" w:rsidP="00AC4931">
            <w:pPr>
              <w:widowControl/>
              <w:ind w:left="137"/>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Diluted:</w:t>
            </w:r>
          </w:p>
        </w:tc>
        <w:tc>
          <w:tcPr>
            <w:tcW w:w="213" w:type="dxa"/>
            <w:shd w:val="clear" w:color="auto" w:fill="CFF0FC"/>
            <w:tcMar>
              <w:top w:w="15" w:type="dxa"/>
              <w:left w:w="0" w:type="dxa"/>
              <w:bottom w:w="0" w:type="dxa"/>
              <w:right w:w="15" w:type="dxa"/>
            </w:tcMar>
            <w:vAlign w:val="bottom"/>
            <w:hideMark/>
          </w:tcPr>
          <w:p w14:paraId="398D6C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0190152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0F8831E4"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87.5</w:t>
            </w:r>
          </w:p>
        </w:tc>
        <w:tc>
          <w:tcPr>
            <w:tcW w:w="150" w:type="dxa"/>
            <w:shd w:val="clear" w:color="auto" w:fill="CFF0FC"/>
            <w:noWrap/>
            <w:tcMar>
              <w:top w:w="15" w:type="dxa"/>
              <w:left w:w="0" w:type="dxa"/>
              <w:bottom w:w="0" w:type="dxa"/>
              <w:right w:w="15" w:type="dxa"/>
            </w:tcMar>
            <w:vAlign w:val="bottom"/>
            <w:hideMark/>
          </w:tcPr>
          <w:p w14:paraId="76EEBE8F"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40116B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774D2D46"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66CED641"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87.4</w:t>
            </w:r>
          </w:p>
        </w:tc>
        <w:tc>
          <w:tcPr>
            <w:tcW w:w="150" w:type="dxa"/>
            <w:shd w:val="clear" w:color="auto" w:fill="CFF0FC"/>
            <w:noWrap/>
            <w:tcMar>
              <w:top w:w="15" w:type="dxa"/>
              <w:left w:w="0" w:type="dxa"/>
              <w:bottom w:w="0" w:type="dxa"/>
              <w:right w:w="15" w:type="dxa"/>
            </w:tcMar>
            <w:vAlign w:val="bottom"/>
            <w:hideMark/>
          </w:tcPr>
          <w:p w14:paraId="27FE7752"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68345A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3B7B3F8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02412285"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87.3</w:t>
            </w:r>
          </w:p>
        </w:tc>
        <w:tc>
          <w:tcPr>
            <w:tcW w:w="151" w:type="dxa"/>
            <w:shd w:val="clear" w:color="auto" w:fill="CFF0FC"/>
            <w:noWrap/>
            <w:tcMar>
              <w:top w:w="15" w:type="dxa"/>
              <w:left w:w="0" w:type="dxa"/>
              <w:bottom w:w="0" w:type="dxa"/>
              <w:right w:w="15" w:type="dxa"/>
            </w:tcMar>
            <w:vAlign w:val="bottom"/>
            <w:hideMark/>
          </w:tcPr>
          <w:p w14:paraId="17D6013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276435D9" w14:textId="77777777" w:rsidTr="00AC4931">
        <w:tc>
          <w:tcPr>
            <w:tcW w:w="9474" w:type="dxa"/>
            <w:shd w:val="clear" w:color="auto" w:fill="FFFFFF"/>
            <w:tcMar>
              <w:top w:w="15" w:type="dxa"/>
              <w:left w:w="0" w:type="dxa"/>
              <w:bottom w:w="0" w:type="dxa"/>
              <w:right w:w="15" w:type="dxa"/>
            </w:tcMar>
            <w:vAlign w:val="bottom"/>
            <w:hideMark/>
          </w:tcPr>
          <w:p w14:paraId="5EFEFD64" w14:textId="77777777" w:rsidR="00AC4931" w:rsidRPr="00AC4931" w:rsidRDefault="00AC4931" w:rsidP="00AC4931">
            <w:pPr>
              <w:widowControl/>
              <w:ind w:left="137"/>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774BC5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0E31B6E"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3A0239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0182A03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0B492C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1140185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62F36AA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F4FA07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CCAABF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6344DA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3F9372C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151" w:type="dxa"/>
            <w:shd w:val="clear" w:color="auto" w:fill="FFFFFF"/>
            <w:noWrap/>
            <w:tcMar>
              <w:top w:w="15" w:type="dxa"/>
              <w:left w:w="0" w:type="dxa"/>
              <w:bottom w:w="0" w:type="dxa"/>
              <w:right w:w="15" w:type="dxa"/>
            </w:tcMar>
            <w:vAlign w:val="bottom"/>
            <w:hideMark/>
          </w:tcPr>
          <w:p w14:paraId="16A7333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37D5D6B3" w14:textId="77777777" w:rsidTr="00AC4931">
        <w:tc>
          <w:tcPr>
            <w:tcW w:w="9474" w:type="dxa"/>
            <w:shd w:val="clear" w:color="auto" w:fill="CFF0FC"/>
            <w:tcMar>
              <w:top w:w="15" w:type="dxa"/>
              <w:left w:w="0" w:type="dxa"/>
              <w:bottom w:w="0" w:type="dxa"/>
              <w:right w:w="15" w:type="dxa"/>
            </w:tcMar>
            <w:vAlign w:val="bottom"/>
            <w:hideMark/>
          </w:tcPr>
          <w:p w14:paraId="4A728525"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Basic EPS:</w:t>
            </w:r>
          </w:p>
        </w:tc>
        <w:tc>
          <w:tcPr>
            <w:tcW w:w="213" w:type="dxa"/>
            <w:shd w:val="clear" w:color="auto" w:fill="CFF0FC"/>
            <w:tcMar>
              <w:top w:w="15" w:type="dxa"/>
              <w:left w:w="0" w:type="dxa"/>
              <w:bottom w:w="0" w:type="dxa"/>
              <w:right w:w="15" w:type="dxa"/>
            </w:tcMar>
            <w:vAlign w:val="bottom"/>
            <w:hideMark/>
          </w:tcPr>
          <w:p w14:paraId="266AC8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9AB79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7265D2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473D0D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0C3B927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646D89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5936A5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07CDB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70F882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8BC3B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3834B90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 w:type="dxa"/>
            <w:shd w:val="clear" w:color="auto" w:fill="CFF0FC"/>
            <w:noWrap/>
            <w:tcMar>
              <w:top w:w="15" w:type="dxa"/>
              <w:left w:w="0" w:type="dxa"/>
              <w:bottom w:w="0" w:type="dxa"/>
              <w:right w:w="15" w:type="dxa"/>
            </w:tcMar>
            <w:vAlign w:val="bottom"/>
            <w:hideMark/>
          </w:tcPr>
          <w:p w14:paraId="59AC08A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9E1C24A" w14:textId="77777777" w:rsidTr="00AC4931">
        <w:tc>
          <w:tcPr>
            <w:tcW w:w="9474" w:type="dxa"/>
            <w:shd w:val="clear" w:color="auto" w:fill="FFFFFF"/>
            <w:tcMar>
              <w:top w:w="15" w:type="dxa"/>
              <w:left w:w="0" w:type="dxa"/>
              <w:bottom w:w="0" w:type="dxa"/>
              <w:right w:w="15" w:type="dxa"/>
            </w:tcMar>
            <w:vAlign w:val="bottom"/>
            <w:hideMark/>
          </w:tcPr>
          <w:p w14:paraId="219A628D" w14:textId="77777777" w:rsidR="00AC4931" w:rsidRPr="00AC4931" w:rsidRDefault="00AC4931" w:rsidP="00AC4931">
            <w:pPr>
              <w:widowControl/>
              <w:ind w:left="137"/>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Continuing operations</w:t>
            </w:r>
          </w:p>
        </w:tc>
        <w:tc>
          <w:tcPr>
            <w:tcW w:w="213" w:type="dxa"/>
            <w:shd w:val="clear" w:color="auto" w:fill="FFFFFF"/>
            <w:tcMar>
              <w:top w:w="15" w:type="dxa"/>
              <w:left w:w="0" w:type="dxa"/>
              <w:bottom w:w="0" w:type="dxa"/>
              <w:right w:w="15" w:type="dxa"/>
            </w:tcMar>
            <w:vAlign w:val="bottom"/>
            <w:hideMark/>
          </w:tcPr>
          <w:p w14:paraId="3AC386A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7A1271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shd w:val="clear" w:color="auto" w:fill="FFFFFF"/>
            <w:noWrap/>
            <w:tcMar>
              <w:top w:w="15" w:type="dxa"/>
              <w:left w:w="0" w:type="dxa"/>
              <w:bottom w:w="0" w:type="dxa"/>
              <w:right w:w="15" w:type="dxa"/>
            </w:tcMar>
            <w:vAlign w:val="bottom"/>
            <w:hideMark/>
          </w:tcPr>
          <w:p w14:paraId="3091FB6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w:t>
            </w:r>
          </w:p>
        </w:tc>
        <w:tc>
          <w:tcPr>
            <w:tcW w:w="150" w:type="dxa"/>
            <w:shd w:val="clear" w:color="auto" w:fill="FFFFFF"/>
            <w:noWrap/>
            <w:tcMar>
              <w:top w:w="15" w:type="dxa"/>
              <w:left w:w="0" w:type="dxa"/>
              <w:bottom w:w="0" w:type="dxa"/>
              <w:right w:w="15" w:type="dxa"/>
            </w:tcMar>
            <w:vAlign w:val="bottom"/>
            <w:hideMark/>
          </w:tcPr>
          <w:p w14:paraId="6B677E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7C5BC9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858F0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shd w:val="clear" w:color="auto" w:fill="FFFFFF"/>
            <w:noWrap/>
            <w:tcMar>
              <w:top w:w="15" w:type="dxa"/>
              <w:left w:w="0" w:type="dxa"/>
              <w:bottom w:w="0" w:type="dxa"/>
              <w:right w:w="15" w:type="dxa"/>
            </w:tcMar>
            <w:vAlign w:val="bottom"/>
            <w:hideMark/>
          </w:tcPr>
          <w:p w14:paraId="3715C96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5.29</w:t>
            </w:r>
          </w:p>
        </w:tc>
        <w:tc>
          <w:tcPr>
            <w:tcW w:w="150" w:type="dxa"/>
            <w:shd w:val="clear" w:color="auto" w:fill="FFFFFF"/>
            <w:noWrap/>
            <w:tcMar>
              <w:top w:w="15" w:type="dxa"/>
              <w:left w:w="0" w:type="dxa"/>
              <w:bottom w:w="0" w:type="dxa"/>
              <w:right w:w="15" w:type="dxa"/>
            </w:tcMar>
            <w:vAlign w:val="bottom"/>
            <w:hideMark/>
          </w:tcPr>
          <w:p w14:paraId="59DD5DB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C6157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5D5752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shd w:val="clear" w:color="auto" w:fill="FFFFFF"/>
            <w:noWrap/>
            <w:tcMar>
              <w:top w:w="15" w:type="dxa"/>
              <w:left w:w="0" w:type="dxa"/>
              <w:bottom w:w="0" w:type="dxa"/>
              <w:right w:w="15" w:type="dxa"/>
            </w:tcMar>
            <w:vAlign w:val="bottom"/>
            <w:hideMark/>
          </w:tcPr>
          <w:p w14:paraId="7A07618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4.32</w:t>
            </w:r>
          </w:p>
        </w:tc>
        <w:tc>
          <w:tcPr>
            <w:tcW w:w="151" w:type="dxa"/>
            <w:shd w:val="clear" w:color="auto" w:fill="FFFFFF"/>
            <w:noWrap/>
            <w:tcMar>
              <w:top w:w="15" w:type="dxa"/>
              <w:left w:w="0" w:type="dxa"/>
              <w:bottom w:w="0" w:type="dxa"/>
              <w:right w:w="15" w:type="dxa"/>
            </w:tcMar>
            <w:vAlign w:val="bottom"/>
            <w:hideMark/>
          </w:tcPr>
          <w:p w14:paraId="0834BA7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D42B51F" w14:textId="77777777" w:rsidTr="00AC4931">
        <w:tc>
          <w:tcPr>
            <w:tcW w:w="9474" w:type="dxa"/>
            <w:shd w:val="clear" w:color="auto" w:fill="CFF0FC"/>
            <w:tcMar>
              <w:top w:w="15" w:type="dxa"/>
              <w:left w:w="0" w:type="dxa"/>
              <w:bottom w:w="0" w:type="dxa"/>
              <w:right w:w="15" w:type="dxa"/>
            </w:tcMar>
            <w:vAlign w:val="bottom"/>
            <w:hideMark/>
          </w:tcPr>
          <w:p w14:paraId="14E77C09" w14:textId="77777777" w:rsidR="00AC4931" w:rsidRPr="00AC4931" w:rsidRDefault="00AC4931" w:rsidP="00AC4931">
            <w:pPr>
              <w:widowControl/>
              <w:ind w:left="137"/>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Discontinued operations</w:t>
            </w:r>
          </w:p>
        </w:tc>
        <w:tc>
          <w:tcPr>
            <w:tcW w:w="213" w:type="dxa"/>
            <w:shd w:val="clear" w:color="auto" w:fill="CFF0FC"/>
            <w:tcMar>
              <w:top w:w="15" w:type="dxa"/>
              <w:left w:w="0" w:type="dxa"/>
              <w:bottom w:w="0" w:type="dxa"/>
              <w:right w:w="15" w:type="dxa"/>
            </w:tcMar>
            <w:vAlign w:val="bottom"/>
            <w:hideMark/>
          </w:tcPr>
          <w:p w14:paraId="0F8E0F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57E279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266A380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53F534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00FDFD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2AF927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33800ED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CFF0FC"/>
            <w:noWrap/>
            <w:tcMar>
              <w:top w:w="15" w:type="dxa"/>
              <w:left w:w="0" w:type="dxa"/>
              <w:bottom w:w="0" w:type="dxa"/>
              <w:right w:w="15" w:type="dxa"/>
            </w:tcMar>
            <w:vAlign w:val="bottom"/>
            <w:hideMark/>
          </w:tcPr>
          <w:p w14:paraId="52C561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793D06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CFF0FC"/>
            <w:noWrap/>
            <w:tcMar>
              <w:top w:w="15" w:type="dxa"/>
              <w:left w:w="0" w:type="dxa"/>
              <w:bottom w:w="0" w:type="dxa"/>
              <w:right w:w="15" w:type="dxa"/>
            </w:tcMar>
            <w:vAlign w:val="bottom"/>
            <w:hideMark/>
          </w:tcPr>
          <w:p w14:paraId="35417A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CFF0FC"/>
            <w:noWrap/>
            <w:tcMar>
              <w:top w:w="15" w:type="dxa"/>
              <w:left w:w="0" w:type="dxa"/>
              <w:bottom w:w="0" w:type="dxa"/>
              <w:right w:w="15" w:type="dxa"/>
            </w:tcMar>
            <w:vAlign w:val="bottom"/>
            <w:hideMark/>
          </w:tcPr>
          <w:p w14:paraId="2C01129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(2.13</w:t>
            </w:r>
          </w:p>
        </w:tc>
        <w:tc>
          <w:tcPr>
            <w:tcW w:w="151" w:type="dxa"/>
            <w:shd w:val="clear" w:color="auto" w:fill="CFF0FC"/>
            <w:noWrap/>
            <w:tcMar>
              <w:top w:w="15" w:type="dxa"/>
              <w:left w:w="0" w:type="dxa"/>
              <w:bottom w:w="0" w:type="dxa"/>
              <w:right w:w="15" w:type="dxa"/>
            </w:tcMar>
            <w:vAlign w:val="bottom"/>
            <w:hideMark/>
          </w:tcPr>
          <w:p w14:paraId="4032F0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1757DCB3" w14:textId="77777777" w:rsidTr="00AC4931">
        <w:tc>
          <w:tcPr>
            <w:tcW w:w="9474" w:type="dxa"/>
            <w:shd w:val="clear" w:color="auto" w:fill="FFFFFF"/>
            <w:tcMar>
              <w:top w:w="15" w:type="dxa"/>
              <w:left w:w="0" w:type="dxa"/>
              <w:bottom w:w="0" w:type="dxa"/>
              <w:right w:w="15" w:type="dxa"/>
            </w:tcMar>
            <w:vAlign w:val="bottom"/>
            <w:hideMark/>
          </w:tcPr>
          <w:p w14:paraId="032B620C" w14:textId="77777777" w:rsidR="00AC4931" w:rsidRPr="00AC4931" w:rsidRDefault="00AC4931" w:rsidP="00AC4931">
            <w:pPr>
              <w:widowControl/>
              <w:ind w:left="137"/>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Basic EPS</w:t>
            </w:r>
          </w:p>
        </w:tc>
        <w:tc>
          <w:tcPr>
            <w:tcW w:w="213" w:type="dxa"/>
            <w:shd w:val="clear" w:color="auto" w:fill="FFFFFF"/>
            <w:tcMar>
              <w:top w:w="15" w:type="dxa"/>
              <w:left w:w="0" w:type="dxa"/>
              <w:bottom w:w="0" w:type="dxa"/>
              <w:right w:w="15" w:type="dxa"/>
            </w:tcMar>
            <w:vAlign w:val="bottom"/>
            <w:hideMark/>
          </w:tcPr>
          <w:p w14:paraId="325D1C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391C73C3"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1391CEF8"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2.14</w:t>
            </w:r>
          </w:p>
        </w:tc>
        <w:tc>
          <w:tcPr>
            <w:tcW w:w="150" w:type="dxa"/>
            <w:shd w:val="clear" w:color="auto" w:fill="FFFFFF"/>
            <w:noWrap/>
            <w:tcMar>
              <w:top w:w="15" w:type="dxa"/>
              <w:left w:w="0" w:type="dxa"/>
              <w:bottom w:w="0" w:type="dxa"/>
              <w:right w:w="15" w:type="dxa"/>
            </w:tcMar>
            <w:vAlign w:val="bottom"/>
            <w:hideMark/>
          </w:tcPr>
          <w:p w14:paraId="5BBDAC6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68AC6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64DF9F00"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71E3B9FC"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5.29</w:t>
            </w:r>
          </w:p>
        </w:tc>
        <w:tc>
          <w:tcPr>
            <w:tcW w:w="150" w:type="dxa"/>
            <w:shd w:val="clear" w:color="auto" w:fill="FFFFFF"/>
            <w:noWrap/>
            <w:tcMar>
              <w:top w:w="15" w:type="dxa"/>
              <w:left w:w="0" w:type="dxa"/>
              <w:bottom w:w="0" w:type="dxa"/>
              <w:right w:w="15" w:type="dxa"/>
            </w:tcMar>
            <w:vAlign w:val="bottom"/>
            <w:hideMark/>
          </w:tcPr>
          <w:p w14:paraId="4862E37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4BD54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FFFFFF"/>
            <w:noWrap/>
            <w:tcMar>
              <w:top w:w="15" w:type="dxa"/>
              <w:left w:w="0" w:type="dxa"/>
              <w:bottom w:w="0" w:type="dxa"/>
              <w:right w:w="15" w:type="dxa"/>
            </w:tcMar>
            <w:vAlign w:val="bottom"/>
            <w:hideMark/>
          </w:tcPr>
          <w:p w14:paraId="3E55028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FFFFFF"/>
            <w:noWrap/>
            <w:tcMar>
              <w:top w:w="15" w:type="dxa"/>
              <w:left w:w="0" w:type="dxa"/>
              <w:bottom w:w="0" w:type="dxa"/>
              <w:right w:w="15" w:type="dxa"/>
            </w:tcMar>
            <w:vAlign w:val="bottom"/>
            <w:hideMark/>
          </w:tcPr>
          <w:p w14:paraId="5E4F87A7"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2.19</w:t>
            </w:r>
          </w:p>
        </w:tc>
        <w:tc>
          <w:tcPr>
            <w:tcW w:w="151" w:type="dxa"/>
            <w:shd w:val="clear" w:color="auto" w:fill="FFFFFF"/>
            <w:noWrap/>
            <w:tcMar>
              <w:top w:w="15" w:type="dxa"/>
              <w:left w:w="0" w:type="dxa"/>
              <w:bottom w:w="0" w:type="dxa"/>
              <w:right w:w="15" w:type="dxa"/>
            </w:tcMar>
            <w:vAlign w:val="bottom"/>
            <w:hideMark/>
          </w:tcPr>
          <w:p w14:paraId="2C1406DB"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r>
      <w:tr w:rsidR="00AC4931" w:rsidRPr="00AC4931" w14:paraId="0E37F24D" w14:textId="77777777" w:rsidTr="00AC4931">
        <w:tc>
          <w:tcPr>
            <w:tcW w:w="9474" w:type="dxa"/>
            <w:shd w:val="clear" w:color="auto" w:fill="CFF0FC"/>
            <w:tcMar>
              <w:top w:w="15" w:type="dxa"/>
              <w:left w:w="0" w:type="dxa"/>
              <w:bottom w:w="0" w:type="dxa"/>
              <w:right w:w="15" w:type="dxa"/>
            </w:tcMar>
            <w:vAlign w:val="bottom"/>
            <w:hideMark/>
          </w:tcPr>
          <w:p w14:paraId="20BA6A0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2A82BF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74EBF3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1AE9D9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83EA0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359C09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3E339F4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5D725CE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076207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56D0D6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4CF2B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CFF0FC"/>
            <w:noWrap/>
            <w:tcMar>
              <w:top w:w="15" w:type="dxa"/>
              <w:left w:w="0" w:type="dxa"/>
              <w:bottom w:w="0" w:type="dxa"/>
              <w:right w:w="15" w:type="dxa"/>
            </w:tcMar>
            <w:vAlign w:val="bottom"/>
            <w:hideMark/>
          </w:tcPr>
          <w:p w14:paraId="3AB96B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 w:type="dxa"/>
            <w:shd w:val="clear" w:color="auto" w:fill="CFF0FC"/>
            <w:noWrap/>
            <w:tcMar>
              <w:top w:w="15" w:type="dxa"/>
              <w:left w:w="0" w:type="dxa"/>
              <w:bottom w:w="0" w:type="dxa"/>
              <w:right w:w="15" w:type="dxa"/>
            </w:tcMar>
            <w:vAlign w:val="bottom"/>
            <w:hideMark/>
          </w:tcPr>
          <w:p w14:paraId="764D4A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CC8A099" w14:textId="77777777" w:rsidTr="00AC4931">
        <w:tc>
          <w:tcPr>
            <w:tcW w:w="9474" w:type="dxa"/>
            <w:shd w:val="clear" w:color="auto" w:fill="FFFFFF"/>
            <w:tcMar>
              <w:top w:w="15" w:type="dxa"/>
              <w:left w:w="0" w:type="dxa"/>
              <w:bottom w:w="0" w:type="dxa"/>
              <w:right w:w="15" w:type="dxa"/>
            </w:tcMar>
            <w:vAlign w:val="bottom"/>
            <w:hideMark/>
          </w:tcPr>
          <w:p w14:paraId="135720DC"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Diluted EPS:</w:t>
            </w:r>
          </w:p>
        </w:tc>
        <w:tc>
          <w:tcPr>
            <w:tcW w:w="213" w:type="dxa"/>
            <w:shd w:val="clear" w:color="auto" w:fill="FFFFFF"/>
            <w:tcMar>
              <w:top w:w="15" w:type="dxa"/>
              <w:left w:w="0" w:type="dxa"/>
              <w:bottom w:w="0" w:type="dxa"/>
              <w:right w:w="15" w:type="dxa"/>
            </w:tcMar>
            <w:vAlign w:val="bottom"/>
            <w:hideMark/>
          </w:tcPr>
          <w:p w14:paraId="109443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2FB06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134047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3F0C0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6606EEB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330044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2C5F759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652F9D8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6EBB95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FFFFFF"/>
            <w:noWrap/>
            <w:tcMar>
              <w:top w:w="15" w:type="dxa"/>
              <w:left w:w="0" w:type="dxa"/>
              <w:bottom w:w="0" w:type="dxa"/>
              <w:right w:w="15" w:type="dxa"/>
            </w:tcMar>
            <w:vAlign w:val="bottom"/>
            <w:hideMark/>
          </w:tcPr>
          <w:p w14:paraId="2D76097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shd w:val="clear" w:color="auto" w:fill="FFFFFF"/>
            <w:noWrap/>
            <w:tcMar>
              <w:top w:w="15" w:type="dxa"/>
              <w:left w:w="0" w:type="dxa"/>
              <w:bottom w:w="0" w:type="dxa"/>
              <w:right w:w="15" w:type="dxa"/>
            </w:tcMar>
            <w:vAlign w:val="bottom"/>
            <w:hideMark/>
          </w:tcPr>
          <w:p w14:paraId="2455EC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1" w:type="dxa"/>
            <w:shd w:val="clear" w:color="auto" w:fill="FFFFFF"/>
            <w:noWrap/>
            <w:tcMar>
              <w:top w:w="15" w:type="dxa"/>
              <w:left w:w="0" w:type="dxa"/>
              <w:bottom w:w="0" w:type="dxa"/>
              <w:right w:w="15" w:type="dxa"/>
            </w:tcMar>
            <w:vAlign w:val="bottom"/>
            <w:hideMark/>
          </w:tcPr>
          <w:p w14:paraId="0F5075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319B5BA" w14:textId="77777777" w:rsidTr="00AC4931">
        <w:tc>
          <w:tcPr>
            <w:tcW w:w="9474" w:type="dxa"/>
            <w:shd w:val="clear" w:color="auto" w:fill="CFF0FC"/>
            <w:tcMar>
              <w:top w:w="15" w:type="dxa"/>
              <w:left w:w="0" w:type="dxa"/>
              <w:bottom w:w="0" w:type="dxa"/>
              <w:right w:w="15" w:type="dxa"/>
            </w:tcMar>
            <w:vAlign w:val="bottom"/>
            <w:hideMark/>
          </w:tcPr>
          <w:p w14:paraId="57C5DA75" w14:textId="77777777" w:rsidR="00AC4931" w:rsidRPr="00AC4931" w:rsidRDefault="00AC4931" w:rsidP="00AC4931">
            <w:pPr>
              <w:widowControl/>
              <w:ind w:left="137"/>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Continuing operations</w:t>
            </w:r>
          </w:p>
        </w:tc>
        <w:tc>
          <w:tcPr>
            <w:tcW w:w="213" w:type="dxa"/>
            <w:shd w:val="clear" w:color="auto" w:fill="CFF0FC"/>
            <w:tcMar>
              <w:top w:w="15" w:type="dxa"/>
              <w:left w:w="0" w:type="dxa"/>
              <w:bottom w:w="0" w:type="dxa"/>
              <w:right w:w="15" w:type="dxa"/>
            </w:tcMar>
            <w:vAlign w:val="bottom"/>
            <w:hideMark/>
          </w:tcPr>
          <w:p w14:paraId="5C5AA2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1C106D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shd w:val="clear" w:color="auto" w:fill="CFF0FC"/>
            <w:noWrap/>
            <w:tcMar>
              <w:top w:w="15" w:type="dxa"/>
              <w:left w:w="0" w:type="dxa"/>
              <w:bottom w:w="0" w:type="dxa"/>
              <w:right w:w="15" w:type="dxa"/>
            </w:tcMar>
            <w:vAlign w:val="bottom"/>
            <w:hideMark/>
          </w:tcPr>
          <w:p w14:paraId="3D48EDA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2.14</w:t>
            </w:r>
          </w:p>
        </w:tc>
        <w:tc>
          <w:tcPr>
            <w:tcW w:w="150" w:type="dxa"/>
            <w:shd w:val="clear" w:color="auto" w:fill="CFF0FC"/>
            <w:noWrap/>
            <w:tcMar>
              <w:top w:w="15" w:type="dxa"/>
              <w:left w:w="0" w:type="dxa"/>
              <w:bottom w:w="0" w:type="dxa"/>
              <w:right w:w="15" w:type="dxa"/>
            </w:tcMar>
            <w:vAlign w:val="bottom"/>
            <w:hideMark/>
          </w:tcPr>
          <w:p w14:paraId="31D1270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3FD34D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284487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shd w:val="clear" w:color="auto" w:fill="CFF0FC"/>
            <w:noWrap/>
            <w:tcMar>
              <w:top w:w="15" w:type="dxa"/>
              <w:left w:w="0" w:type="dxa"/>
              <w:bottom w:w="0" w:type="dxa"/>
              <w:right w:w="15" w:type="dxa"/>
            </w:tcMar>
            <w:vAlign w:val="bottom"/>
            <w:hideMark/>
          </w:tcPr>
          <w:p w14:paraId="67FEA1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5.29</w:t>
            </w:r>
          </w:p>
        </w:tc>
        <w:tc>
          <w:tcPr>
            <w:tcW w:w="150" w:type="dxa"/>
            <w:shd w:val="clear" w:color="auto" w:fill="CFF0FC"/>
            <w:noWrap/>
            <w:tcMar>
              <w:top w:w="15" w:type="dxa"/>
              <w:left w:w="0" w:type="dxa"/>
              <w:bottom w:w="0" w:type="dxa"/>
              <w:right w:w="15" w:type="dxa"/>
            </w:tcMar>
            <w:vAlign w:val="bottom"/>
            <w:hideMark/>
          </w:tcPr>
          <w:p w14:paraId="2E8924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5E4346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shd w:val="clear" w:color="auto" w:fill="CFF0FC"/>
            <w:noWrap/>
            <w:tcMar>
              <w:top w:w="15" w:type="dxa"/>
              <w:left w:w="0" w:type="dxa"/>
              <w:bottom w:w="0" w:type="dxa"/>
              <w:right w:w="15" w:type="dxa"/>
            </w:tcMar>
            <w:vAlign w:val="bottom"/>
            <w:hideMark/>
          </w:tcPr>
          <w:p w14:paraId="55E794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61" w:type="dxa"/>
            <w:shd w:val="clear" w:color="auto" w:fill="CFF0FC"/>
            <w:noWrap/>
            <w:tcMar>
              <w:top w:w="15" w:type="dxa"/>
              <w:left w:w="0" w:type="dxa"/>
              <w:bottom w:w="0" w:type="dxa"/>
              <w:right w:w="15" w:type="dxa"/>
            </w:tcMar>
            <w:vAlign w:val="bottom"/>
            <w:hideMark/>
          </w:tcPr>
          <w:p w14:paraId="3028561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4.31</w:t>
            </w:r>
          </w:p>
        </w:tc>
        <w:tc>
          <w:tcPr>
            <w:tcW w:w="151" w:type="dxa"/>
            <w:shd w:val="clear" w:color="auto" w:fill="CFF0FC"/>
            <w:noWrap/>
            <w:tcMar>
              <w:top w:w="15" w:type="dxa"/>
              <w:left w:w="0" w:type="dxa"/>
              <w:bottom w:w="0" w:type="dxa"/>
              <w:right w:w="15" w:type="dxa"/>
            </w:tcMar>
            <w:vAlign w:val="bottom"/>
            <w:hideMark/>
          </w:tcPr>
          <w:p w14:paraId="167AE1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0496BF2" w14:textId="77777777" w:rsidTr="00AC4931">
        <w:tc>
          <w:tcPr>
            <w:tcW w:w="9474" w:type="dxa"/>
            <w:shd w:val="clear" w:color="auto" w:fill="FFFFFF"/>
            <w:tcMar>
              <w:top w:w="15" w:type="dxa"/>
              <w:left w:w="0" w:type="dxa"/>
              <w:bottom w:w="0" w:type="dxa"/>
              <w:right w:w="15" w:type="dxa"/>
            </w:tcMar>
            <w:vAlign w:val="bottom"/>
            <w:hideMark/>
          </w:tcPr>
          <w:p w14:paraId="0C5D64E9" w14:textId="77777777" w:rsidR="00AC4931" w:rsidRPr="00AC4931" w:rsidRDefault="00AC4931" w:rsidP="00AC4931">
            <w:pPr>
              <w:widowControl/>
              <w:ind w:left="137"/>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Discontinued operations</w:t>
            </w:r>
          </w:p>
        </w:tc>
        <w:tc>
          <w:tcPr>
            <w:tcW w:w="213" w:type="dxa"/>
            <w:shd w:val="clear" w:color="auto" w:fill="FFFFFF"/>
            <w:tcMar>
              <w:top w:w="15" w:type="dxa"/>
              <w:left w:w="0" w:type="dxa"/>
              <w:bottom w:w="0" w:type="dxa"/>
              <w:right w:w="15" w:type="dxa"/>
            </w:tcMar>
            <w:vAlign w:val="bottom"/>
            <w:hideMark/>
          </w:tcPr>
          <w:p w14:paraId="75F4E4E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4EFF8E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3D11D9D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70DE05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08B08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40D0BD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230B9C7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0F7EE39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3" w:type="dxa"/>
            <w:shd w:val="clear" w:color="auto" w:fill="FFFFFF"/>
            <w:tcMar>
              <w:top w:w="15" w:type="dxa"/>
              <w:left w:w="0" w:type="dxa"/>
              <w:bottom w:w="0" w:type="dxa"/>
              <w:right w:w="15" w:type="dxa"/>
            </w:tcMar>
            <w:vAlign w:val="bottom"/>
            <w:hideMark/>
          </w:tcPr>
          <w:p w14:paraId="11EDE7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6ED9FC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61" w:type="dxa"/>
            <w:tcBorders>
              <w:bottom w:val="single" w:sz="6" w:space="0" w:color="000000"/>
            </w:tcBorders>
            <w:shd w:val="clear" w:color="auto" w:fill="FFFFFF"/>
            <w:noWrap/>
            <w:tcMar>
              <w:top w:w="15" w:type="dxa"/>
              <w:left w:w="0" w:type="dxa"/>
              <w:bottom w:w="0" w:type="dxa"/>
              <w:right w:w="15" w:type="dxa"/>
            </w:tcMar>
            <w:vAlign w:val="bottom"/>
            <w:hideMark/>
          </w:tcPr>
          <w:p w14:paraId="3BC3E46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(2.13</w:t>
            </w:r>
          </w:p>
        </w:tc>
        <w:tc>
          <w:tcPr>
            <w:tcW w:w="151" w:type="dxa"/>
            <w:shd w:val="clear" w:color="auto" w:fill="FFFFFF"/>
            <w:noWrap/>
            <w:tcMar>
              <w:top w:w="15" w:type="dxa"/>
              <w:left w:w="0" w:type="dxa"/>
              <w:bottom w:w="0" w:type="dxa"/>
              <w:right w:w="15" w:type="dxa"/>
            </w:tcMar>
            <w:vAlign w:val="bottom"/>
            <w:hideMark/>
          </w:tcPr>
          <w:p w14:paraId="651DB8D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r>
      <w:tr w:rsidR="00AC4931" w:rsidRPr="00AC4931" w14:paraId="500B5B17" w14:textId="77777777" w:rsidTr="00AC4931">
        <w:tc>
          <w:tcPr>
            <w:tcW w:w="9474" w:type="dxa"/>
            <w:shd w:val="clear" w:color="auto" w:fill="CFF0FC"/>
            <w:tcMar>
              <w:top w:w="15" w:type="dxa"/>
              <w:left w:w="0" w:type="dxa"/>
              <w:bottom w:w="0" w:type="dxa"/>
              <w:right w:w="15" w:type="dxa"/>
            </w:tcMar>
            <w:vAlign w:val="bottom"/>
            <w:hideMark/>
          </w:tcPr>
          <w:p w14:paraId="5BBEFA34" w14:textId="77777777" w:rsidR="00AC4931" w:rsidRPr="00AC4931" w:rsidRDefault="00AC4931" w:rsidP="00AC4931">
            <w:pPr>
              <w:widowControl/>
              <w:ind w:left="137"/>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Diluted EPS</w:t>
            </w:r>
          </w:p>
        </w:tc>
        <w:tc>
          <w:tcPr>
            <w:tcW w:w="213" w:type="dxa"/>
            <w:shd w:val="clear" w:color="auto" w:fill="CFF0FC"/>
            <w:tcMar>
              <w:top w:w="15" w:type="dxa"/>
              <w:left w:w="0" w:type="dxa"/>
              <w:bottom w:w="0" w:type="dxa"/>
              <w:right w:w="15" w:type="dxa"/>
            </w:tcMar>
            <w:vAlign w:val="bottom"/>
            <w:hideMark/>
          </w:tcPr>
          <w:p w14:paraId="48918E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3086D21"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454F4C7A"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2.14</w:t>
            </w:r>
          </w:p>
        </w:tc>
        <w:tc>
          <w:tcPr>
            <w:tcW w:w="150" w:type="dxa"/>
            <w:shd w:val="clear" w:color="auto" w:fill="CFF0FC"/>
            <w:noWrap/>
            <w:tcMar>
              <w:top w:w="15" w:type="dxa"/>
              <w:left w:w="0" w:type="dxa"/>
              <w:bottom w:w="0" w:type="dxa"/>
              <w:right w:w="15" w:type="dxa"/>
            </w:tcMar>
            <w:vAlign w:val="bottom"/>
            <w:hideMark/>
          </w:tcPr>
          <w:p w14:paraId="0E35B4B9"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3D62CC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25A01D8"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220580DB"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5.29</w:t>
            </w:r>
          </w:p>
        </w:tc>
        <w:tc>
          <w:tcPr>
            <w:tcW w:w="150" w:type="dxa"/>
            <w:shd w:val="clear" w:color="auto" w:fill="CFF0FC"/>
            <w:noWrap/>
            <w:tcMar>
              <w:top w:w="15" w:type="dxa"/>
              <w:left w:w="0" w:type="dxa"/>
              <w:bottom w:w="0" w:type="dxa"/>
              <w:right w:w="15" w:type="dxa"/>
            </w:tcMar>
            <w:vAlign w:val="bottom"/>
            <w:hideMark/>
          </w:tcPr>
          <w:p w14:paraId="482D0CAD"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 </w:t>
            </w:r>
          </w:p>
        </w:tc>
        <w:tc>
          <w:tcPr>
            <w:tcW w:w="213" w:type="dxa"/>
            <w:shd w:val="clear" w:color="auto" w:fill="CFF0FC"/>
            <w:tcMar>
              <w:top w:w="15" w:type="dxa"/>
              <w:left w:w="0" w:type="dxa"/>
              <w:bottom w:w="0" w:type="dxa"/>
              <w:right w:w="15" w:type="dxa"/>
            </w:tcMar>
            <w:vAlign w:val="bottom"/>
            <w:hideMark/>
          </w:tcPr>
          <w:p w14:paraId="034C2E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CAA56CA"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w:t>
            </w:r>
          </w:p>
        </w:tc>
        <w:tc>
          <w:tcPr>
            <w:tcW w:w="1761" w:type="dxa"/>
            <w:tcBorders>
              <w:top w:val="single" w:sz="6" w:space="0" w:color="000000"/>
            </w:tcBorders>
            <w:shd w:val="clear" w:color="auto" w:fill="CFF0FC"/>
            <w:noWrap/>
            <w:tcMar>
              <w:top w:w="15" w:type="dxa"/>
              <w:left w:w="0" w:type="dxa"/>
              <w:bottom w:w="0" w:type="dxa"/>
              <w:right w:w="15" w:type="dxa"/>
            </w:tcMar>
            <w:vAlign w:val="bottom"/>
            <w:hideMark/>
          </w:tcPr>
          <w:p w14:paraId="4DD05176" w14:textId="77777777" w:rsidR="00AC4931" w:rsidRPr="00AC4931" w:rsidRDefault="00AC4931" w:rsidP="00AC4931">
            <w:pPr>
              <w:widowControl/>
              <w:jc w:val="righ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2.18</w:t>
            </w:r>
          </w:p>
        </w:tc>
        <w:tc>
          <w:tcPr>
            <w:tcW w:w="151" w:type="dxa"/>
            <w:shd w:val="clear" w:color="auto" w:fill="CFF0FC"/>
            <w:noWrap/>
            <w:tcMar>
              <w:top w:w="15" w:type="dxa"/>
              <w:left w:w="0" w:type="dxa"/>
              <w:bottom w:w="0" w:type="dxa"/>
              <w:right w:w="15" w:type="dxa"/>
            </w:tcMar>
            <w:vAlign w:val="bottom"/>
            <w:hideMark/>
          </w:tcPr>
          <w:p w14:paraId="4BD1F0B0" w14:textId="77777777" w:rsidR="00AC4931" w:rsidRPr="00AC4931" w:rsidRDefault="00AC4931" w:rsidP="00AC4931">
            <w:pPr>
              <w:widowControl/>
              <w:jc w:val="left"/>
              <w:rPr>
                <w:rFonts w:ascii="Arial" w:eastAsia="宋体" w:hAnsi="Arial" w:cs="Arial"/>
                <w:b/>
                <w:bCs/>
                <w:color w:val="000000"/>
                <w:kern w:val="0"/>
                <w:sz w:val="2"/>
                <w:szCs w:val="2"/>
              </w:rPr>
            </w:pPr>
            <w:r w:rsidRPr="00AC4931">
              <w:rPr>
                <w:rFonts w:ascii="Arial" w:eastAsia="宋体" w:hAnsi="Arial" w:cs="Arial"/>
                <w:b/>
                <w:bCs/>
                <w:color w:val="000000"/>
                <w:kern w:val="0"/>
                <w:sz w:val="2"/>
                <w:szCs w:val="2"/>
              </w:rPr>
              <w:t> </w:t>
            </w:r>
          </w:p>
        </w:tc>
      </w:tr>
    </w:tbl>
    <w:p w14:paraId="5EB26250" w14:textId="77777777" w:rsidR="00AC4931" w:rsidRPr="00AC4931" w:rsidRDefault="00AC4931" w:rsidP="00AC4931">
      <w:pPr>
        <w:widowControl/>
        <w:ind w:left="919" w:hanging="546"/>
        <w:rPr>
          <w:rFonts w:ascii="宋体" w:eastAsia="宋体" w:hAnsi="宋体" w:cs="宋体"/>
          <w:kern w:val="0"/>
          <w:sz w:val="24"/>
          <w:szCs w:val="24"/>
        </w:rPr>
      </w:pPr>
      <w:r w:rsidRPr="00AC4931">
        <w:rPr>
          <w:rFonts w:ascii="宋体" w:eastAsia="宋体" w:hAnsi="宋体" w:cs="宋体"/>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426FD6D7" w14:textId="77777777" w:rsidTr="00AC4931">
        <w:tc>
          <w:tcPr>
            <w:tcW w:w="919" w:type="dxa"/>
            <w:noWrap/>
            <w:hideMark/>
          </w:tcPr>
          <w:p w14:paraId="7C72728C"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1)</w:t>
            </w:r>
          </w:p>
        </w:tc>
        <w:tc>
          <w:tcPr>
            <w:tcW w:w="0" w:type="auto"/>
            <w:hideMark/>
          </w:tcPr>
          <w:p w14:paraId="4DA15CBE"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The Company’s unvested RSUs and PSs, of which some included the right to receive non-forfeitable dividend equivalents, are considered participating securities. Calculations of EPS under the two-class method exclude from the numerator any dividends paid or owed on participating securities and any undistributed earnings considered to be attributable to participating securities. The related participating securities are similarly excluded from the denominator.</w:t>
            </w:r>
          </w:p>
        </w:tc>
      </w:tr>
    </w:tbl>
    <w:p w14:paraId="5791CC92"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lastRenderedPageBreak/>
        <w:t> </w:t>
      </w:r>
    </w:p>
    <w:p w14:paraId="0F61EE69" w14:textId="77777777" w:rsidR="00AC4931" w:rsidRPr="00AC4931" w:rsidRDefault="00AC4931" w:rsidP="00AC4931">
      <w:pPr>
        <w:widowControl/>
        <w:spacing w:before="60"/>
        <w:rPr>
          <w:rFonts w:ascii="Arial" w:eastAsia="宋体" w:hAnsi="Arial" w:cs="Arial"/>
          <w:kern w:val="0"/>
          <w:sz w:val="18"/>
          <w:szCs w:val="18"/>
        </w:rPr>
      </w:pPr>
      <w:r w:rsidRPr="00AC4931">
        <w:rPr>
          <w:rFonts w:ascii="Arial" w:eastAsia="宋体" w:hAnsi="Arial" w:cs="Arial"/>
          <w:kern w:val="0"/>
          <w:sz w:val="18"/>
          <w:szCs w:val="18"/>
        </w:rPr>
        <w:t>Anti-dilutive shares outstanding for the years ended December 31, 2020, 2019 and 2018 were immaterial.</w:t>
      </w:r>
    </w:p>
    <w:p w14:paraId="3B03DECD" w14:textId="77777777" w:rsidR="00AC4931" w:rsidRPr="00AC4931" w:rsidRDefault="00AC4931" w:rsidP="00AC4931">
      <w:pPr>
        <w:widowControl/>
        <w:spacing w:before="340"/>
        <w:rPr>
          <w:rFonts w:ascii="Arial" w:eastAsia="宋体" w:hAnsi="Arial" w:cs="Arial"/>
          <w:b/>
          <w:bCs/>
          <w:kern w:val="0"/>
          <w:sz w:val="22"/>
        </w:rPr>
      </w:pPr>
      <w:r w:rsidRPr="00AC4931">
        <w:rPr>
          <w:rFonts w:ascii="Arial" w:eastAsia="宋体" w:hAnsi="Arial" w:cs="Arial"/>
          <w:b/>
          <w:bCs/>
          <w:kern w:val="0"/>
          <w:sz w:val="22"/>
        </w:rPr>
        <w:t>23. Subsequent Events</w:t>
      </w:r>
    </w:p>
    <w:p w14:paraId="1E874234"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There were no reportable events subsequent to December 31, 2020.</w:t>
      </w:r>
    </w:p>
    <w:p w14:paraId="460395AA" w14:textId="77777777" w:rsidR="00AC4931" w:rsidRPr="00AC4931" w:rsidRDefault="00AC4931" w:rsidP="00AC4931">
      <w:pPr>
        <w:widowControl/>
        <w:rPr>
          <w:rFonts w:ascii="Times New Roman" w:eastAsia="宋体" w:hAnsi="Times New Roman" w:cs="Times New Roman"/>
          <w:color w:val="000000"/>
          <w:kern w:val="0"/>
          <w:sz w:val="20"/>
          <w:szCs w:val="20"/>
        </w:rPr>
      </w:pPr>
      <w:r w:rsidRPr="00AC4931">
        <w:rPr>
          <w:rFonts w:ascii="Times New Roman" w:eastAsia="宋体" w:hAnsi="Times New Roman" w:cs="Times New Roman"/>
          <w:color w:val="000000"/>
          <w:kern w:val="0"/>
          <w:sz w:val="20"/>
          <w:szCs w:val="20"/>
        </w:rPr>
        <w:t> </w:t>
      </w:r>
    </w:p>
    <w:p w14:paraId="12916D42" w14:textId="77777777" w:rsidR="00AC4931" w:rsidRPr="00AC4931" w:rsidRDefault="00AC4931" w:rsidP="00AC4931">
      <w:pPr>
        <w:widowControl/>
        <w:jc w:val="left"/>
        <w:rPr>
          <w:rFonts w:ascii="Arial" w:eastAsia="宋体" w:hAnsi="Arial" w:cs="Arial"/>
          <w:color w:val="000000"/>
          <w:kern w:val="0"/>
          <w:sz w:val="20"/>
          <w:szCs w:val="20"/>
        </w:rPr>
      </w:pPr>
    </w:p>
    <w:p w14:paraId="70192FED"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87</w:t>
      </w:r>
    </w:p>
    <w:p w14:paraId="115084B9"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90056C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D0E7C5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FC40FB6"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14E64762">
          <v:rect id="_x0000_i1114" style="width:0;height:1.5pt" o:hralign="center" o:hrstd="t" o:hrnoshade="t" o:hr="t" fillcolor="black" stroked="f"/>
        </w:pict>
      </w:r>
    </w:p>
    <w:p w14:paraId="0F9B7C5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AFD79B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933E542"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6EEE526" w14:textId="77777777" w:rsidR="00AC4931" w:rsidRPr="00AC4931" w:rsidRDefault="00AC4931" w:rsidP="00AC4931">
      <w:pPr>
        <w:widowControl/>
        <w:spacing w:before="340"/>
        <w:rPr>
          <w:rFonts w:ascii="Arial" w:eastAsia="宋体" w:hAnsi="Arial" w:cs="Arial" w:hint="eastAsia"/>
          <w:b/>
          <w:bCs/>
          <w:kern w:val="0"/>
          <w:sz w:val="22"/>
        </w:rPr>
      </w:pPr>
      <w:r w:rsidRPr="00AC4931">
        <w:rPr>
          <w:rFonts w:ascii="Arial" w:eastAsia="宋体" w:hAnsi="Arial" w:cs="Arial"/>
          <w:b/>
          <w:bCs/>
          <w:kern w:val="0"/>
          <w:sz w:val="22"/>
        </w:rPr>
        <w:t>24. Quarterly Financial Data (unaudited)</w:t>
      </w:r>
    </w:p>
    <w:p w14:paraId="75D9CA47"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bl>
      <w:tblPr>
        <w:tblW w:w="18553" w:type="dxa"/>
        <w:tblCellMar>
          <w:left w:w="0" w:type="dxa"/>
          <w:right w:w="0" w:type="dxa"/>
        </w:tblCellMar>
        <w:tblLook w:val="04A0" w:firstRow="1" w:lastRow="0" w:firstColumn="1" w:lastColumn="0" w:noHBand="0" w:noVBand="1"/>
      </w:tblPr>
      <w:tblGrid>
        <w:gridCol w:w="10564"/>
        <w:gridCol w:w="180"/>
        <w:gridCol w:w="1466"/>
        <w:gridCol w:w="179"/>
        <w:gridCol w:w="231"/>
        <w:gridCol w:w="179"/>
        <w:gridCol w:w="1465"/>
        <w:gridCol w:w="179"/>
        <w:gridCol w:w="231"/>
        <w:gridCol w:w="179"/>
        <w:gridCol w:w="1465"/>
        <w:gridCol w:w="179"/>
        <w:gridCol w:w="231"/>
        <w:gridCol w:w="179"/>
        <w:gridCol w:w="1465"/>
        <w:gridCol w:w="181"/>
      </w:tblGrid>
      <w:tr w:rsidR="00AC4931" w:rsidRPr="00AC4931" w14:paraId="6A17A5E4" w14:textId="77777777" w:rsidTr="00AC4931">
        <w:tc>
          <w:tcPr>
            <w:tcW w:w="10496" w:type="dxa"/>
            <w:shd w:val="clear" w:color="auto" w:fill="FFFFFF"/>
            <w:tcMar>
              <w:top w:w="15" w:type="dxa"/>
              <w:left w:w="0" w:type="dxa"/>
              <w:bottom w:w="0" w:type="dxa"/>
              <w:right w:w="15" w:type="dxa"/>
            </w:tcMar>
            <w:vAlign w:val="bottom"/>
            <w:hideMark/>
          </w:tcPr>
          <w:p w14:paraId="3F320014"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2020</w:t>
            </w:r>
          </w:p>
        </w:tc>
        <w:tc>
          <w:tcPr>
            <w:tcW w:w="1626" w:type="dxa"/>
            <w:gridSpan w:val="2"/>
            <w:tcBorders>
              <w:bottom w:val="single" w:sz="6" w:space="0" w:color="000000"/>
            </w:tcBorders>
            <w:shd w:val="clear" w:color="auto" w:fill="FFFFFF"/>
            <w:tcMar>
              <w:top w:w="15" w:type="dxa"/>
              <w:left w:w="0" w:type="dxa"/>
              <w:bottom w:w="0" w:type="dxa"/>
              <w:right w:w="15" w:type="dxa"/>
            </w:tcMar>
            <w:vAlign w:val="bottom"/>
            <w:hideMark/>
          </w:tcPr>
          <w:p w14:paraId="7C39C38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Q1</w:t>
            </w:r>
          </w:p>
        </w:tc>
        <w:tc>
          <w:tcPr>
            <w:tcW w:w="170" w:type="dxa"/>
            <w:shd w:val="clear" w:color="auto" w:fill="FFFFFF"/>
            <w:noWrap/>
            <w:tcMar>
              <w:top w:w="15" w:type="dxa"/>
              <w:left w:w="0" w:type="dxa"/>
              <w:bottom w:w="0" w:type="dxa"/>
              <w:right w:w="15" w:type="dxa"/>
            </w:tcMar>
            <w:vAlign w:val="bottom"/>
            <w:hideMark/>
          </w:tcPr>
          <w:p w14:paraId="4F0ED7BA"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0" w:type="dxa"/>
            <w:shd w:val="clear" w:color="auto" w:fill="FFFFFF"/>
            <w:tcMar>
              <w:top w:w="15" w:type="dxa"/>
              <w:left w:w="0" w:type="dxa"/>
              <w:bottom w:w="0" w:type="dxa"/>
              <w:right w:w="15" w:type="dxa"/>
            </w:tcMar>
            <w:vAlign w:val="bottom"/>
            <w:hideMark/>
          </w:tcPr>
          <w:p w14:paraId="0776D1B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26" w:type="dxa"/>
            <w:gridSpan w:val="2"/>
            <w:tcBorders>
              <w:bottom w:val="single" w:sz="6" w:space="0" w:color="000000"/>
            </w:tcBorders>
            <w:shd w:val="clear" w:color="auto" w:fill="FFFFFF"/>
            <w:tcMar>
              <w:top w:w="15" w:type="dxa"/>
              <w:left w:w="0" w:type="dxa"/>
              <w:bottom w:w="0" w:type="dxa"/>
              <w:right w:w="15" w:type="dxa"/>
            </w:tcMar>
            <w:vAlign w:val="bottom"/>
            <w:hideMark/>
          </w:tcPr>
          <w:p w14:paraId="7458167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Q2</w:t>
            </w:r>
          </w:p>
        </w:tc>
        <w:tc>
          <w:tcPr>
            <w:tcW w:w="170" w:type="dxa"/>
            <w:shd w:val="clear" w:color="auto" w:fill="FFFFFF"/>
            <w:noWrap/>
            <w:tcMar>
              <w:top w:w="15" w:type="dxa"/>
              <w:left w:w="0" w:type="dxa"/>
              <w:bottom w:w="0" w:type="dxa"/>
              <w:right w:w="15" w:type="dxa"/>
            </w:tcMar>
            <w:vAlign w:val="bottom"/>
            <w:hideMark/>
          </w:tcPr>
          <w:p w14:paraId="7262F44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0" w:type="dxa"/>
            <w:shd w:val="clear" w:color="auto" w:fill="FFFFFF"/>
            <w:tcMar>
              <w:top w:w="15" w:type="dxa"/>
              <w:left w:w="0" w:type="dxa"/>
              <w:bottom w:w="0" w:type="dxa"/>
              <w:right w:w="15" w:type="dxa"/>
            </w:tcMar>
            <w:vAlign w:val="bottom"/>
            <w:hideMark/>
          </w:tcPr>
          <w:p w14:paraId="5941226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26" w:type="dxa"/>
            <w:gridSpan w:val="2"/>
            <w:tcBorders>
              <w:bottom w:val="single" w:sz="6" w:space="0" w:color="000000"/>
            </w:tcBorders>
            <w:shd w:val="clear" w:color="auto" w:fill="FFFFFF"/>
            <w:tcMar>
              <w:top w:w="15" w:type="dxa"/>
              <w:left w:w="0" w:type="dxa"/>
              <w:bottom w:w="0" w:type="dxa"/>
              <w:right w:w="15" w:type="dxa"/>
            </w:tcMar>
            <w:vAlign w:val="bottom"/>
            <w:hideMark/>
          </w:tcPr>
          <w:p w14:paraId="32D28E1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Q3</w:t>
            </w:r>
          </w:p>
        </w:tc>
        <w:tc>
          <w:tcPr>
            <w:tcW w:w="170" w:type="dxa"/>
            <w:shd w:val="clear" w:color="auto" w:fill="FFFFFF"/>
            <w:noWrap/>
            <w:tcMar>
              <w:top w:w="15" w:type="dxa"/>
              <w:left w:w="0" w:type="dxa"/>
              <w:bottom w:w="0" w:type="dxa"/>
              <w:right w:w="15" w:type="dxa"/>
            </w:tcMar>
            <w:vAlign w:val="bottom"/>
            <w:hideMark/>
          </w:tcPr>
          <w:p w14:paraId="52A1975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0" w:type="dxa"/>
            <w:shd w:val="clear" w:color="auto" w:fill="FFFFFF"/>
            <w:tcMar>
              <w:top w:w="15" w:type="dxa"/>
              <w:left w:w="0" w:type="dxa"/>
              <w:bottom w:w="0" w:type="dxa"/>
              <w:right w:w="15" w:type="dxa"/>
            </w:tcMar>
            <w:vAlign w:val="bottom"/>
            <w:hideMark/>
          </w:tcPr>
          <w:p w14:paraId="1C37CB0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26" w:type="dxa"/>
            <w:gridSpan w:val="2"/>
            <w:tcBorders>
              <w:bottom w:val="single" w:sz="6" w:space="0" w:color="000000"/>
            </w:tcBorders>
            <w:shd w:val="clear" w:color="auto" w:fill="FFFFFF"/>
            <w:tcMar>
              <w:top w:w="15" w:type="dxa"/>
              <w:left w:w="0" w:type="dxa"/>
              <w:bottom w:w="0" w:type="dxa"/>
              <w:right w:w="15" w:type="dxa"/>
            </w:tcMar>
            <w:vAlign w:val="bottom"/>
            <w:hideMark/>
          </w:tcPr>
          <w:p w14:paraId="2374D75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Q4</w:t>
            </w:r>
          </w:p>
        </w:tc>
        <w:tc>
          <w:tcPr>
            <w:tcW w:w="172" w:type="dxa"/>
            <w:shd w:val="clear" w:color="auto" w:fill="FFFFFF"/>
            <w:noWrap/>
            <w:tcMar>
              <w:top w:w="15" w:type="dxa"/>
              <w:left w:w="0" w:type="dxa"/>
              <w:bottom w:w="0" w:type="dxa"/>
              <w:right w:w="15" w:type="dxa"/>
            </w:tcMar>
            <w:vAlign w:val="bottom"/>
            <w:hideMark/>
          </w:tcPr>
          <w:p w14:paraId="5476BC0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68B8619E" w14:textId="77777777" w:rsidTr="00AC4931">
        <w:tc>
          <w:tcPr>
            <w:tcW w:w="10496" w:type="dxa"/>
            <w:shd w:val="clear" w:color="auto" w:fill="CFF0FC"/>
            <w:tcMar>
              <w:top w:w="15" w:type="dxa"/>
              <w:left w:w="0" w:type="dxa"/>
              <w:bottom w:w="0" w:type="dxa"/>
              <w:right w:w="15" w:type="dxa"/>
            </w:tcMar>
            <w:hideMark/>
          </w:tcPr>
          <w:p w14:paraId="2843FD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sales</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536AE4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40" w:type="dxa"/>
            <w:tcBorders>
              <w:top w:val="single" w:sz="6" w:space="0" w:color="000000"/>
            </w:tcBorders>
            <w:shd w:val="clear" w:color="auto" w:fill="CFF0FC"/>
            <w:noWrap/>
            <w:tcMar>
              <w:top w:w="15" w:type="dxa"/>
              <w:left w:w="0" w:type="dxa"/>
              <w:bottom w:w="0" w:type="dxa"/>
              <w:right w:w="15" w:type="dxa"/>
            </w:tcMar>
            <w:vAlign w:val="bottom"/>
            <w:hideMark/>
          </w:tcPr>
          <w:p w14:paraId="46D95B5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1,845.8</w:t>
            </w:r>
          </w:p>
        </w:tc>
        <w:tc>
          <w:tcPr>
            <w:tcW w:w="170" w:type="dxa"/>
            <w:shd w:val="clear" w:color="auto" w:fill="CFF0FC"/>
            <w:noWrap/>
            <w:tcMar>
              <w:top w:w="15" w:type="dxa"/>
              <w:left w:w="0" w:type="dxa"/>
              <w:bottom w:w="0" w:type="dxa"/>
              <w:right w:w="15" w:type="dxa"/>
            </w:tcMar>
            <w:vAlign w:val="bottom"/>
            <w:hideMark/>
          </w:tcPr>
          <w:p w14:paraId="1B9175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366288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7D0E32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40" w:type="dxa"/>
            <w:tcBorders>
              <w:top w:val="single" w:sz="6" w:space="0" w:color="000000"/>
            </w:tcBorders>
            <w:shd w:val="clear" w:color="auto" w:fill="CFF0FC"/>
            <w:noWrap/>
            <w:tcMar>
              <w:top w:w="15" w:type="dxa"/>
              <w:left w:w="0" w:type="dxa"/>
              <w:bottom w:w="0" w:type="dxa"/>
              <w:right w:w="15" w:type="dxa"/>
            </w:tcMar>
            <w:vAlign w:val="bottom"/>
            <w:hideMark/>
          </w:tcPr>
          <w:p w14:paraId="24A906A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1,047.6</w:t>
            </w:r>
          </w:p>
        </w:tc>
        <w:tc>
          <w:tcPr>
            <w:tcW w:w="170" w:type="dxa"/>
            <w:shd w:val="clear" w:color="auto" w:fill="CFF0FC"/>
            <w:noWrap/>
            <w:tcMar>
              <w:top w:w="15" w:type="dxa"/>
              <w:left w:w="0" w:type="dxa"/>
              <w:bottom w:w="0" w:type="dxa"/>
              <w:right w:w="15" w:type="dxa"/>
            </w:tcMar>
            <w:vAlign w:val="bottom"/>
            <w:hideMark/>
          </w:tcPr>
          <w:p w14:paraId="03700D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7CB75F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21C47E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40" w:type="dxa"/>
            <w:tcBorders>
              <w:top w:val="single" w:sz="6" w:space="0" w:color="000000"/>
            </w:tcBorders>
            <w:shd w:val="clear" w:color="auto" w:fill="CFF0FC"/>
            <w:noWrap/>
            <w:tcMar>
              <w:top w:w="15" w:type="dxa"/>
              <w:left w:w="0" w:type="dxa"/>
              <w:bottom w:w="0" w:type="dxa"/>
              <w:right w:w="15" w:type="dxa"/>
            </w:tcMar>
            <w:vAlign w:val="bottom"/>
            <w:hideMark/>
          </w:tcPr>
          <w:p w14:paraId="0A323BE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2,037.2</w:t>
            </w:r>
          </w:p>
        </w:tc>
        <w:tc>
          <w:tcPr>
            <w:tcW w:w="170" w:type="dxa"/>
            <w:shd w:val="clear" w:color="auto" w:fill="CFF0FC"/>
            <w:noWrap/>
            <w:tcMar>
              <w:top w:w="15" w:type="dxa"/>
              <w:left w:w="0" w:type="dxa"/>
              <w:bottom w:w="0" w:type="dxa"/>
              <w:right w:w="15" w:type="dxa"/>
            </w:tcMar>
            <w:vAlign w:val="bottom"/>
            <w:hideMark/>
          </w:tcPr>
          <w:p w14:paraId="44315B9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3492C8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tcBorders>
              <w:top w:val="single" w:sz="6" w:space="0" w:color="000000"/>
            </w:tcBorders>
            <w:shd w:val="clear" w:color="auto" w:fill="CFF0FC"/>
            <w:noWrap/>
            <w:tcMar>
              <w:top w:w="15" w:type="dxa"/>
              <w:left w:w="0" w:type="dxa"/>
              <w:bottom w:w="0" w:type="dxa"/>
              <w:right w:w="15" w:type="dxa"/>
            </w:tcMar>
            <w:vAlign w:val="bottom"/>
            <w:hideMark/>
          </w:tcPr>
          <w:p w14:paraId="7E23D0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40" w:type="dxa"/>
            <w:tcBorders>
              <w:top w:val="single" w:sz="6" w:space="0" w:color="000000"/>
            </w:tcBorders>
            <w:shd w:val="clear" w:color="auto" w:fill="CFF0FC"/>
            <w:noWrap/>
            <w:tcMar>
              <w:top w:w="15" w:type="dxa"/>
              <w:left w:w="0" w:type="dxa"/>
              <w:bottom w:w="0" w:type="dxa"/>
              <w:right w:w="15" w:type="dxa"/>
            </w:tcMar>
            <w:vAlign w:val="bottom"/>
            <w:hideMark/>
          </w:tcPr>
          <w:p w14:paraId="3F0BB98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2,516.8</w:t>
            </w:r>
          </w:p>
        </w:tc>
        <w:tc>
          <w:tcPr>
            <w:tcW w:w="172" w:type="dxa"/>
            <w:shd w:val="clear" w:color="auto" w:fill="CFF0FC"/>
            <w:noWrap/>
            <w:tcMar>
              <w:top w:w="15" w:type="dxa"/>
              <w:left w:w="0" w:type="dxa"/>
              <w:bottom w:w="0" w:type="dxa"/>
              <w:right w:w="15" w:type="dxa"/>
            </w:tcMar>
            <w:vAlign w:val="bottom"/>
            <w:hideMark/>
          </w:tcPr>
          <w:p w14:paraId="3FD8516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49E4D94" w14:textId="77777777" w:rsidTr="00AC4931">
        <w:tc>
          <w:tcPr>
            <w:tcW w:w="10496" w:type="dxa"/>
            <w:shd w:val="clear" w:color="auto" w:fill="FFFFFF"/>
            <w:tcMar>
              <w:top w:w="15" w:type="dxa"/>
              <w:left w:w="0" w:type="dxa"/>
              <w:bottom w:w="0" w:type="dxa"/>
              <w:right w:w="15" w:type="dxa"/>
            </w:tcMar>
            <w:hideMark/>
          </w:tcPr>
          <w:p w14:paraId="0485CBE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Gross profit</w:t>
            </w:r>
          </w:p>
        </w:tc>
        <w:tc>
          <w:tcPr>
            <w:tcW w:w="170" w:type="dxa"/>
            <w:shd w:val="clear" w:color="auto" w:fill="FFFFFF"/>
            <w:noWrap/>
            <w:tcMar>
              <w:top w:w="15" w:type="dxa"/>
              <w:left w:w="0" w:type="dxa"/>
              <w:bottom w:w="0" w:type="dxa"/>
              <w:right w:w="15" w:type="dxa"/>
            </w:tcMar>
            <w:vAlign w:val="bottom"/>
            <w:hideMark/>
          </w:tcPr>
          <w:p w14:paraId="1BEB5C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2F4DDA9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331.0</w:t>
            </w:r>
          </w:p>
        </w:tc>
        <w:tc>
          <w:tcPr>
            <w:tcW w:w="170" w:type="dxa"/>
            <w:shd w:val="clear" w:color="auto" w:fill="FFFFFF"/>
            <w:noWrap/>
            <w:tcMar>
              <w:top w:w="15" w:type="dxa"/>
              <w:left w:w="0" w:type="dxa"/>
              <w:bottom w:w="0" w:type="dxa"/>
              <w:right w:w="15" w:type="dxa"/>
            </w:tcMar>
            <w:vAlign w:val="bottom"/>
            <w:hideMark/>
          </w:tcPr>
          <w:p w14:paraId="58C8AD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25B3DF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008415F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664A51F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14.4</w:t>
            </w:r>
          </w:p>
        </w:tc>
        <w:tc>
          <w:tcPr>
            <w:tcW w:w="170" w:type="dxa"/>
            <w:shd w:val="clear" w:color="auto" w:fill="FFFFFF"/>
            <w:noWrap/>
            <w:tcMar>
              <w:top w:w="15" w:type="dxa"/>
              <w:left w:w="0" w:type="dxa"/>
              <w:bottom w:w="0" w:type="dxa"/>
              <w:right w:w="15" w:type="dxa"/>
            </w:tcMar>
            <w:vAlign w:val="bottom"/>
            <w:hideMark/>
          </w:tcPr>
          <w:p w14:paraId="4C36FF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74F741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4C9DA3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56896ED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399.7</w:t>
            </w:r>
          </w:p>
        </w:tc>
        <w:tc>
          <w:tcPr>
            <w:tcW w:w="170" w:type="dxa"/>
            <w:shd w:val="clear" w:color="auto" w:fill="FFFFFF"/>
            <w:noWrap/>
            <w:tcMar>
              <w:top w:w="15" w:type="dxa"/>
              <w:left w:w="0" w:type="dxa"/>
              <w:bottom w:w="0" w:type="dxa"/>
              <w:right w:w="15" w:type="dxa"/>
            </w:tcMar>
            <w:vAlign w:val="bottom"/>
            <w:hideMark/>
          </w:tcPr>
          <w:p w14:paraId="716D9C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1516BA2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23F0E2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6B3BC03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501.8</w:t>
            </w:r>
          </w:p>
        </w:tc>
        <w:tc>
          <w:tcPr>
            <w:tcW w:w="172" w:type="dxa"/>
            <w:shd w:val="clear" w:color="auto" w:fill="FFFFFF"/>
            <w:noWrap/>
            <w:tcMar>
              <w:top w:w="15" w:type="dxa"/>
              <w:left w:w="0" w:type="dxa"/>
              <w:bottom w:w="0" w:type="dxa"/>
              <w:right w:w="15" w:type="dxa"/>
            </w:tcMar>
            <w:vAlign w:val="bottom"/>
            <w:hideMark/>
          </w:tcPr>
          <w:p w14:paraId="6E4A54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FCE6F50" w14:textId="77777777" w:rsidTr="00AC4931">
        <w:tc>
          <w:tcPr>
            <w:tcW w:w="10496" w:type="dxa"/>
            <w:shd w:val="clear" w:color="auto" w:fill="CFF0FC"/>
            <w:tcMar>
              <w:top w:w="15" w:type="dxa"/>
              <w:left w:w="0" w:type="dxa"/>
              <w:bottom w:w="0" w:type="dxa"/>
              <w:right w:w="15" w:type="dxa"/>
            </w:tcMar>
            <w:hideMark/>
          </w:tcPr>
          <w:p w14:paraId="381308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(loss) before income taxes</w:t>
            </w:r>
          </w:p>
        </w:tc>
        <w:tc>
          <w:tcPr>
            <w:tcW w:w="170" w:type="dxa"/>
            <w:shd w:val="clear" w:color="auto" w:fill="CFF0FC"/>
            <w:noWrap/>
            <w:tcMar>
              <w:top w:w="15" w:type="dxa"/>
              <w:left w:w="0" w:type="dxa"/>
              <w:bottom w:w="0" w:type="dxa"/>
              <w:right w:w="15" w:type="dxa"/>
            </w:tcMar>
            <w:vAlign w:val="bottom"/>
            <w:hideMark/>
          </w:tcPr>
          <w:p w14:paraId="4D3BBE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07FF4DF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111.3</w:t>
            </w:r>
          </w:p>
        </w:tc>
        <w:tc>
          <w:tcPr>
            <w:tcW w:w="170" w:type="dxa"/>
            <w:shd w:val="clear" w:color="auto" w:fill="CFF0FC"/>
            <w:noWrap/>
            <w:tcMar>
              <w:top w:w="15" w:type="dxa"/>
              <w:left w:w="0" w:type="dxa"/>
              <w:bottom w:w="0" w:type="dxa"/>
              <w:right w:w="15" w:type="dxa"/>
            </w:tcMar>
            <w:vAlign w:val="bottom"/>
            <w:hideMark/>
          </w:tcPr>
          <w:p w14:paraId="685F8C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348F57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7A170C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614A97C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(246.6</w:t>
            </w:r>
          </w:p>
        </w:tc>
        <w:tc>
          <w:tcPr>
            <w:tcW w:w="170" w:type="dxa"/>
            <w:shd w:val="clear" w:color="auto" w:fill="CFF0FC"/>
            <w:noWrap/>
            <w:tcMar>
              <w:top w:w="15" w:type="dxa"/>
              <w:left w:w="0" w:type="dxa"/>
              <w:bottom w:w="0" w:type="dxa"/>
              <w:right w:w="15" w:type="dxa"/>
            </w:tcMar>
            <w:vAlign w:val="bottom"/>
            <w:hideMark/>
          </w:tcPr>
          <w:p w14:paraId="05ACA9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0" w:type="dxa"/>
            <w:shd w:val="clear" w:color="auto" w:fill="CFF0FC"/>
            <w:tcMar>
              <w:top w:w="15" w:type="dxa"/>
              <w:left w:w="0" w:type="dxa"/>
              <w:bottom w:w="0" w:type="dxa"/>
              <w:right w:w="15" w:type="dxa"/>
            </w:tcMar>
            <w:vAlign w:val="bottom"/>
            <w:hideMark/>
          </w:tcPr>
          <w:p w14:paraId="4BDDF4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1CF3BC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4D98D64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148.5</w:t>
            </w:r>
          </w:p>
        </w:tc>
        <w:tc>
          <w:tcPr>
            <w:tcW w:w="170" w:type="dxa"/>
            <w:shd w:val="clear" w:color="auto" w:fill="CFF0FC"/>
            <w:noWrap/>
            <w:tcMar>
              <w:top w:w="15" w:type="dxa"/>
              <w:left w:w="0" w:type="dxa"/>
              <w:bottom w:w="0" w:type="dxa"/>
              <w:right w:w="15" w:type="dxa"/>
            </w:tcMar>
            <w:vAlign w:val="bottom"/>
            <w:hideMark/>
          </w:tcPr>
          <w:p w14:paraId="7B60BD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495C60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77FA10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4F6760D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277.9</w:t>
            </w:r>
          </w:p>
        </w:tc>
        <w:tc>
          <w:tcPr>
            <w:tcW w:w="172" w:type="dxa"/>
            <w:shd w:val="clear" w:color="auto" w:fill="CFF0FC"/>
            <w:noWrap/>
            <w:tcMar>
              <w:top w:w="15" w:type="dxa"/>
              <w:left w:w="0" w:type="dxa"/>
              <w:bottom w:w="0" w:type="dxa"/>
              <w:right w:w="15" w:type="dxa"/>
            </w:tcMar>
            <w:vAlign w:val="bottom"/>
            <w:hideMark/>
          </w:tcPr>
          <w:p w14:paraId="4BFBA3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7A1ABBD" w14:textId="77777777" w:rsidTr="00AC4931">
        <w:tc>
          <w:tcPr>
            <w:tcW w:w="10496" w:type="dxa"/>
            <w:shd w:val="clear" w:color="auto" w:fill="FFFFFF"/>
            <w:tcMar>
              <w:top w:w="15" w:type="dxa"/>
              <w:left w:w="0" w:type="dxa"/>
              <w:bottom w:w="0" w:type="dxa"/>
              <w:right w:w="15" w:type="dxa"/>
            </w:tcMar>
            <w:hideMark/>
          </w:tcPr>
          <w:p w14:paraId="7D90FA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 (loss)</w:t>
            </w:r>
          </w:p>
        </w:tc>
        <w:tc>
          <w:tcPr>
            <w:tcW w:w="170" w:type="dxa"/>
            <w:shd w:val="clear" w:color="auto" w:fill="FFFFFF"/>
            <w:noWrap/>
            <w:tcMar>
              <w:top w:w="15" w:type="dxa"/>
              <w:left w:w="0" w:type="dxa"/>
              <w:bottom w:w="0" w:type="dxa"/>
              <w:right w:w="15" w:type="dxa"/>
            </w:tcMar>
            <w:vAlign w:val="bottom"/>
            <w:hideMark/>
          </w:tcPr>
          <w:p w14:paraId="3DD767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0B9B180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74.9</w:t>
            </w:r>
          </w:p>
        </w:tc>
        <w:tc>
          <w:tcPr>
            <w:tcW w:w="170" w:type="dxa"/>
            <w:shd w:val="clear" w:color="auto" w:fill="FFFFFF"/>
            <w:noWrap/>
            <w:tcMar>
              <w:top w:w="15" w:type="dxa"/>
              <w:left w:w="0" w:type="dxa"/>
              <w:bottom w:w="0" w:type="dxa"/>
              <w:right w:w="15" w:type="dxa"/>
            </w:tcMar>
            <w:vAlign w:val="bottom"/>
            <w:hideMark/>
          </w:tcPr>
          <w:p w14:paraId="57F4A3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5F3AB7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6AACA5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7C57ED4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(174.3</w:t>
            </w:r>
          </w:p>
        </w:tc>
        <w:tc>
          <w:tcPr>
            <w:tcW w:w="170" w:type="dxa"/>
            <w:shd w:val="clear" w:color="auto" w:fill="FFFFFF"/>
            <w:noWrap/>
            <w:tcMar>
              <w:top w:w="15" w:type="dxa"/>
              <w:left w:w="0" w:type="dxa"/>
              <w:bottom w:w="0" w:type="dxa"/>
              <w:right w:w="15" w:type="dxa"/>
            </w:tcMar>
            <w:vAlign w:val="bottom"/>
            <w:hideMark/>
          </w:tcPr>
          <w:p w14:paraId="5435F16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0" w:type="dxa"/>
            <w:shd w:val="clear" w:color="auto" w:fill="FFFFFF"/>
            <w:tcMar>
              <w:top w:w="15" w:type="dxa"/>
              <w:left w:w="0" w:type="dxa"/>
              <w:bottom w:w="0" w:type="dxa"/>
              <w:right w:w="15" w:type="dxa"/>
            </w:tcMar>
            <w:vAlign w:val="bottom"/>
            <w:hideMark/>
          </w:tcPr>
          <w:p w14:paraId="347B53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7A4C1A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54B0C17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98.8</w:t>
            </w:r>
          </w:p>
        </w:tc>
        <w:tc>
          <w:tcPr>
            <w:tcW w:w="170" w:type="dxa"/>
            <w:shd w:val="clear" w:color="auto" w:fill="FFFFFF"/>
            <w:noWrap/>
            <w:tcMar>
              <w:top w:w="15" w:type="dxa"/>
              <w:left w:w="0" w:type="dxa"/>
              <w:bottom w:w="0" w:type="dxa"/>
              <w:right w:w="15" w:type="dxa"/>
            </w:tcMar>
            <w:vAlign w:val="bottom"/>
            <w:hideMark/>
          </w:tcPr>
          <w:p w14:paraId="1BFA0E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6316A6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770D39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5157E7C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188.9</w:t>
            </w:r>
          </w:p>
        </w:tc>
        <w:tc>
          <w:tcPr>
            <w:tcW w:w="172" w:type="dxa"/>
            <w:shd w:val="clear" w:color="auto" w:fill="FFFFFF"/>
            <w:noWrap/>
            <w:tcMar>
              <w:top w:w="15" w:type="dxa"/>
              <w:left w:w="0" w:type="dxa"/>
              <w:bottom w:w="0" w:type="dxa"/>
              <w:right w:w="15" w:type="dxa"/>
            </w:tcMar>
            <w:vAlign w:val="bottom"/>
            <w:hideMark/>
          </w:tcPr>
          <w:p w14:paraId="346311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329E274" w14:textId="77777777" w:rsidTr="00AC4931">
        <w:tc>
          <w:tcPr>
            <w:tcW w:w="10496" w:type="dxa"/>
            <w:shd w:val="clear" w:color="auto" w:fill="CFF0FC"/>
            <w:tcMar>
              <w:top w:w="15" w:type="dxa"/>
              <w:left w:w="0" w:type="dxa"/>
              <w:bottom w:w="0" w:type="dxa"/>
              <w:right w:w="15" w:type="dxa"/>
            </w:tcMar>
            <w:hideMark/>
          </w:tcPr>
          <w:p w14:paraId="704663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 (loss) attributable to controlling interest</w:t>
            </w:r>
          </w:p>
        </w:tc>
        <w:tc>
          <w:tcPr>
            <w:tcW w:w="170" w:type="dxa"/>
            <w:shd w:val="clear" w:color="auto" w:fill="CFF0FC"/>
            <w:noWrap/>
            <w:tcMar>
              <w:top w:w="15" w:type="dxa"/>
              <w:left w:w="0" w:type="dxa"/>
              <w:bottom w:w="0" w:type="dxa"/>
              <w:right w:w="15" w:type="dxa"/>
            </w:tcMar>
            <w:vAlign w:val="bottom"/>
            <w:hideMark/>
          </w:tcPr>
          <w:p w14:paraId="5768D5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6BD4852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74.8</w:t>
            </w:r>
          </w:p>
        </w:tc>
        <w:tc>
          <w:tcPr>
            <w:tcW w:w="170" w:type="dxa"/>
            <w:shd w:val="clear" w:color="auto" w:fill="CFF0FC"/>
            <w:noWrap/>
            <w:tcMar>
              <w:top w:w="15" w:type="dxa"/>
              <w:left w:w="0" w:type="dxa"/>
              <w:bottom w:w="0" w:type="dxa"/>
              <w:right w:w="15" w:type="dxa"/>
            </w:tcMar>
            <w:vAlign w:val="bottom"/>
            <w:hideMark/>
          </w:tcPr>
          <w:p w14:paraId="530596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186757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4F87C21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262EED4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(174.7</w:t>
            </w:r>
          </w:p>
        </w:tc>
        <w:tc>
          <w:tcPr>
            <w:tcW w:w="170" w:type="dxa"/>
            <w:shd w:val="clear" w:color="auto" w:fill="CFF0FC"/>
            <w:noWrap/>
            <w:tcMar>
              <w:top w:w="15" w:type="dxa"/>
              <w:left w:w="0" w:type="dxa"/>
              <w:bottom w:w="0" w:type="dxa"/>
              <w:right w:w="15" w:type="dxa"/>
            </w:tcMar>
            <w:vAlign w:val="bottom"/>
            <w:hideMark/>
          </w:tcPr>
          <w:p w14:paraId="715100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0" w:type="dxa"/>
            <w:shd w:val="clear" w:color="auto" w:fill="CFF0FC"/>
            <w:tcMar>
              <w:top w:w="15" w:type="dxa"/>
              <w:left w:w="0" w:type="dxa"/>
              <w:bottom w:w="0" w:type="dxa"/>
              <w:right w:w="15" w:type="dxa"/>
            </w:tcMar>
            <w:vAlign w:val="bottom"/>
            <w:hideMark/>
          </w:tcPr>
          <w:p w14:paraId="4B8EF9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4708E9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3BE5167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98.3</w:t>
            </w:r>
          </w:p>
        </w:tc>
        <w:tc>
          <w:tcPr>
            <w:tcW w:w="170" w:type="dxa"/>
            <w:shd w:val="clear" w:color="auto" w:fill="CFF0FC"/>
            <w:noWrap/>
            <w:tcMar>
              <w:top w:w="15" w:type="dxa"/>
              <w:left w:w="0" w:type="dxa"/>
              <w:bottom w:w="0" w:type="dxa"/>
              <w:right w:w="15" w:type="dxa"/>
            </w:tcMar>
            <w:vAlign w:val="bottom"/>
            <w:hideMark/>
          </w:tcPr>
          <w:p w14:paraId="5E9CC8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3FCE33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649DC0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12DDCCA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188.5</w:t>
            </w:r>
          </w:p>
        </w:tc>
        <w:tc>
          <w:tcPr>
            <w:tcW w:w="172" w:type="dxa"/>
            <w:shd w:val="clear" w:color="auto" w:fill="CFF0FC"/>
            <w:noWrap/>
            <w:tcMar>
              <w:top w:w="15" w:type="dxa"/>
              <w:left w:w="0" w:type="dxa"/>
              <w:bottom w:w="0" w:type="dxa"/>
              <w:right w:w="15" w:type="dxa"/>
            </w:tcMar>
            <w:vAlign w:val="bottom"/>
            <w:hideMark/>
          </w:tcPr>
          <w:p w14:paraId="61FFF3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C6A2FE8" w14:textId="77777777" w:rsidTr="00AC4931">
        <w:tc>
          <w:tcPr>
            <w:tcW w:w="10496" w:type="dxa"/>
            <w:shd w:val="clear" w:color="auto" w:fill="FFFFFF"/>
            <w:tcMar>
              <w:top w:w="15" w:type="dxa"/>
              <w:left w:w="0" w:type="dxa"/>
              <w:bottom w:w="0" w:type="dxa"/>
              <w:right w:w="15" w:type="dxa"/>
            </w:tcMar>
            <w:hideMark/>
          </w:tcPr>
          <w:p w14:paraId="68E157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Earnings (loss) per share</w:t>
            </w:r>
          </w:p>
        </w:tc>
        <w:tc>
          <w:tcPr>
            <w:tcW w:w="170" w:type="dxa"/>
            <w:shd w:val="clear" w:color="auto" w:fill="FFFFFF"/>
            <w:noWrap/>
            <w:tcMar>
              <w:top w:w="15" w:type="dxa"/>
              <w:left w:w="0" w:type="dxa"/>
              <w:bottom w:w="0" w:type="dxa"/>
              <w:right w:w="15" w:type="dxa"/>
            </w:tcMar>
            <w:vAlign w:val="bottom"/>
            <w:hideMark/>
          </w:tcPr>
          <w:p w14:paraId="27F14C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6F1A4B5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5EC8865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4DD7AE7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664D28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3909617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37ECE6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16462A6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1CD683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6C8527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4B59D1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4FBD14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23B769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4E62BBF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2" w:type="dxa"/>
            <w:shd w:val="clear" w:color="auto" w:fill="FFFFFF"/>
            <w:noWrap/>
            <w:tcMar>
              <w:top w:w="15" w:type="dxa"/>
              <w:left w:w="0" w:type="dxa"/>
              <w:bottom w:w="0" w:type="dxa"/>
              <w:right w:w="15" w:type="dxa"/>
            </w:tcMar>
            <w:vAlign w:val="bottom"/>
            <w:hideMark/>
          </w:tcPr>
          <w:p w14:paraId="3CD181B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4FF1C38E" w14:textId="77777777" w:rsidTr="00AC4931">
        <w:tc>
          <w:tcPr>
            <w:tcW w:w="10496" w:type="dxa"/>
            <w:shd w:val="clear" w:color="auto" w:fill="CFF0FC"/>
            <w:tcMar>
              <w:top w:w="15" w:type="dxa"/>
              <w:left w:w="0" w:type="dxa"/>
              <w:bottom w:w="0" w:type="dxa"/>
              <w:right w:w="15" w:type="dxa"/>
            </w:tcMar>
            <w:hideMark/>
          </w:tcPr>
          <w:p w14:paraId="20BCBC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basic</w:t>
            </w:r>
          </w:p>
        </w:tc>
        <w:tc>
          <w:tcPr>
            <w:tcW w:w="170" w:type="dxa"/>
            <w:shd w:val="clear" w:color="auto" w:fill="CFF0FC"/>
            <w:noWrap/>
            <w:tcMar>
              <w:top w:w="15" w:type="dxa"/>
              <w:left w:w="0" w:type="dxa"/>
              <w:bottom w:w="0" w:type="dxa"/>
              <w:right w:w="15" w:type="dxa"/>
            </w:tcMar>
            <w:vAlign w:val="bottom"/>
            <w:hideMark/>
          </w:tcPr>
          <w:p w14:paraId="03A14F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5E829E4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0.86</w:t>
            </w:r>
          </w:p>
        </w:tc>
        <w:tc>
          <w:tcPr>
            <w:tcW w:w="170" w:type="dxa"/>
            <w:shd w:val="clear" w:color="auto" w:fill="CFF0FC"/>
            <w:noWrap/>
            <w:tcMar>
              <w:top w:w="15" w:type="dxa"/>
              <w:left w:w="0" w:type="dxa"/>
              <w:bottom w:w="0" w:type="dxa"/>
              <w:right w:w="15" w:type="dxa"/>
            </w:tcMar>
            <w:vAlign w:val="bottom"/>
            <w:hideMark/>
          </w:tcPr>
          <w:p w14:paraId="53FE78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6466C8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561B35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6CD4DC3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(2.00</w:t>
            </w:r>
          </w:p>
        </w:tc>
        <w:tc>
          <w:tcPr>
            <w:tcW w:w="170" w:type="dxa"/>
            <w:shd w:val="clear" w:color="auto" w:fill="CFF0FC"/>
            <w:noWrap/>
            <w:tcMar>
              <w:top w:w="15" w:type="dxa"/>
              <w:left w:w="0" w:type="dxa"/>
              <w:bottom w:w="0" w:type="dxa"/>
              <w:right w:w="15" w:type="dxa"/>
            </w:tcMar>
            <w:vAlign w:val="bottom"/>
            <w:hideMark/>
          </w:tcPr>
          <w:p w14:paraId="3D10F9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0" w:type="dxa"/>
            <w:shd w:val="clear" w:color="auto" w:fill="CFF0FC"/>
            <w:tcMar>
              <w:top w:w="15" w:type="dxa"/>
              <w:left w:w="0" w:type="dxa"/>
              <w:bottom w:w="0" w:type="dxa"/>
              <w:right w:w="15" w:type="dxa"/>
            </w:tcMar>
            <w:vAlign w:val="bottom"/>
            <w:hideMark/>
          </w:tcPr>
          <w:p w14:paraId="4F2E73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4417E6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63EDAB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1.13</w:t>
            </w:r>
          </w:p>
        </w:tc>
        <w:tc>
          <w:tcPr>
            <w:tcW w:w="170" w:type="dxa"/>
            <w:shd w:val="clear" w:color="auto" w:fill="CFF0FC"/>
            <w:noWrap/>
            <w:tcMar>
              <w:top w:w="15" w:type="dxa"/>
              <w:left w:w="0" w:type="dxa"/>
              <w:bottom w:w="0" w:type="dxa"/>
              <w:right w:w="15" w:type="dxa"/>
            </w:tcMar>
            <w:vAlign w:val="bottom"/>
            <w:hideMark/>
          </w:tcPr>
          <w:p w14:paraId="2FD516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1CC1EB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566B34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69C6C6D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2.16</w:t>
            </w:r>
          </w:p>
        </w:tc>
        <w:tc>
          <w:tcPr>
            <w:tcW w:w="172" w:type="dxa"/>
            <w:shd w:val="clear" w:color="auto" w:fill="CFF0FC"/>
            <w:noWrap/>
            <w:tcMar>
              <w:top w:w="15" w:type="dxa"/>
              <w:left w:w="0" w:type="dxa"/>
              <w:bottom w:w="0" w:type="dxa"/>
              <w:right w:w="15" w:type="dxa"/>
            </w:tcMar>
            <w:vAlign w:val="bottom"/>
            <w:hideMark/>
          </w:tcPr>
          <w:p w14:paraId="09C7C5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FA4B580" w14:textId="77777777" w:rsidTr="00AC4931">
        <w:tc>
          <w:tcPr>
            <w:tcW w:w="10496" w:type="dxa"/>
            <w:shd w:val="clear" w:color="auto" w:fill="FFFFFF"/>
            <w:tcMar>
              <w:top w:w="15" w:type="dxa"/>
              <w:left w:w="0" w:type="dxa"/>
              <w:bottom w:w="0" w:type="dxa"/>
              <w:right w:w="15" w:type="dxa"/>
            </w:tcMar>
            <w:hideMark/>
          </w:tcPr>
          <w:p w14:paraId="08E7ED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diluted</w:t>
            </w:r>
          </w:p>
        </w:tc>
        <w:tc>
          <w:tcPr>
            <w:tcW w:w="170" w:type="dxa"/>
            <w:shd w:val="clear" w:color="auto" w:fill="FFFFFF"/>
            <w:noWrap/>
            <w:tcMar>
              <w:top w:w="15" w:type="dxa"/>
              <w:left w:w="0" w:type="dxa"/>
              <w:bottom w:w="0" w:type="dxa"/>
              <w:right w:w="15" w:type="dxa"/>
            </w:tcMar>
            <w:vAlign w:val="bottom"/>
            <w:hideMark/>
          </w:tcPr>
          <w:p w14:paraId="4491720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1AD019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0.86</w:t>
            </w:r>
          </w:p>
        </w:tc>
        <w:tc>
          <w:tcPr>
            <w:tcW w:w="170" w:type="dxa"/>
            <w:shd w:val="clear" w:color="auto" w:fill="FFFFFF"/>
            <w:noWrap/>
            <w:tcMar>
              <w:top w:w="15" w:type="dxa"/>
              <w:left w:w="0" w:type="dxa"/>
              <w:bottom w:w="0" w:type="dxa"/>
              <w:right w:w="15" w:type="dxa"/>
            </w:tcMar>
            <w:vAlign w:val="bottom"/>
            <w:hideMark/>
          </w:tcPr>
          <w:p w14:paraId="3C67D05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75AFFE2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7BB718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3A33049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(2.00</w:t>
            </w:r>
          </w:p>
        </w:tc>
        <w:tc>
          <w:tcPr>
            <w:tcW w:w="170" w:type="dxa"/>
            <w:shd w:val="clear" w:color="auto" w:fill="FFFFFF"/>
            <w:noWrap/>
            <w:tcMar>
              <w:top w:w="15" w:type="dxa"/>
              <w:left w:w="0" w:type="dxa"/>
              <w:bottom w:w="0" w:type="dxa"/>
              <w:right w:w="15" w:type="dxa"/>
            </w:tcMar>
            <w:vAlign w:val="bottom"/>
            <w:hideMark/>
          </w:tcPr>
          <w:p w14:paraId="52431F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30" w:type="dxa"/>
            <w:shd w:val="clear" w:color="auto" w:fill="FFFFFF"/>
            <w:tcMar>
              <w:top w:w="15" w:type="dxa"/>
              <w:left w:w="0" w:type="dxa"/>
              <w:bottom w:w="0" w:type="dxa"/>
              <w:right w:w="15" w:type="dxa"/>
            </w:tcMar>
            <w:vAlign w:val="bottom"/>
            <w:hideMark/>
          </w:tcPr>
          <w:p w14:paraId="741A1A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286643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7627644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1.12</w:t>
            </w:r>
          </w:p>
        </w:tc>
        <w:tc>
          <w:tcPr>
            <w:tcW w:w="170" w:type="dxa"/>
            <w:shd w:val="clear" w:color="auto" w:fill="FFFFFF"/>
            <w:noWrap/>
            <w:tcMar>
              <w:top w:w="15" w:type="dxa"/>
              <w:left w:w="0" w:type="dxa"/>
              <w:bottom w:w="0" w:type="dxa"/>
              <w:right w:w="15" w:type="dxa"/>
            </w:tcMar>
            <w:vAlign w:val="bottom"/>
            <w:hideMark/>
          </w:tcPr>
          <w:p w14:paraId="603FAD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05E62A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FFFFFF"/>
            <w:noWrap/>
            <w:tcMar>
              <w:top w:w="15" w:type="dxa"/>
              <w:left w:w="0" w:type="dxa"/>
              <w:bottom w:w="0" w:type="dxa"/>
              <w:right w:w="15" w:type="dxa"/>
            </w:tcMar>
            <w:vAlign w:val="bottom"/>
            <w:hideMark/>
          </w:tcPr>
          <w:p w14:paraId="69FDDC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FFFFFF"/>
            <w:noWrap/>
            <w:tcMar>
              <w:top w:w="15" w:type="dxa"/>
              <w:left w:w="0" w:type="dxa"/>
              <w:bottom w:w="0" w:type="dxa"/>
              <w:right w:w="15" w:type="dxa"/>
            </w:tcMar>
            <w:vAlign w:val="bottom"/>
            <w:hideMark/>
          </w:tcPr>
          <w:p w14:paraId="4AFAF9D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2.15</w:t>
            </w:r>
          </w:p>
        </w:tc>
        <w:tc>
          <w:tcPr>
            <w:tcW w:w="172" w:type="dxa"/>
            <w:shd w:val="clear" w:color="auto" w:fill="FFFFFF"/>
            <w:noWrap/>
            <w:tcMar>
              <w:top w:w="15" w:type="dxa"/>
              <w:left w:w="0" w:type="dxa"/>
              <w:bottom w:w="0" w:type="dxa"/>
              <w:right w:w="15" w:type="dxa"/>
            </w:tcMar>
            <w:vAlign w:val="bottom"/>
            <w:hideMark/>
          </w:tcPr>
          <w:p w14:paraId="195010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D036714" w14:textId="77777777" w:rsidTr="00AC4931">
        <w:tc>
          <w:tcPr>
            <w:tcW w:w="10496" w:type="dxa"/>
            <w:shd w:val="clear" w:color="auto" w:fill="CFF0FC"/>
            <w:tcMar>
              <w:top w:w="15" w:type="dxa"/>
              <w:left w:w="0" w:type="dxa"/>
              <w:bottom w:w="0" w:type="dxa"/>
              <w:right w:w="15" w:type="dxa"/>
            </w:tcMar>
            <w:hideMark/>
          </w:tcPr>
          <w:p w14:paraId="5CD3AB9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Dividends paid</w:t>
            </w:r>
          </w:p>
        </w:tc>
        <w:tc>
          <w:tcPr>
            <w:tcW w:w="170" w:type="dxa"/>
            <w:shd w:val="clear" w:color="auto" w:fill="CFF0FC"/>
            <w:noWrap/>
            <w:tcMar>
              <w:top w:w="15" w:type="dxa"/>
              <w:left w:w="0" w:type="dxa"/>
              <w:bottom w:w="0" w:type="dxa"/>
              <w:right w:w="15" w:type="dxa"/>
            </w:tcMar>
            <w:vAlign w:val="bottom"/>
            <w:hideMark/>
          </w:tcPr>
          <w:p w14:paraId="3F6AB3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7B79A69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0.62</w:t>
            </w:r>
          </w:p>
        </w:tc>
        <w:tc>
          <w:tcPr>
            <w:tcW w:w="170" w:type="dxa"/>
            <w:shd w:val="clear" w:color="auto" w:fill="CFF0FC"/>
            <w:noWrap/>
            <w:tcMar>
              <w:top w:w="15" w:type="dxa"/>
              <w:left w:w="0" w:type="dxa"/>
              <w:bottom w:w="0" w:type="dxa"/>
              <w:right w:w="15" w:type="dxa"/>
            </w:tcMar>
            <w:vAlign w:val="bottom"/>
            <w:hideMark/>
          </w:tcPr>
          <w:p w14:paraId="04F8C1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562FB24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7ED85C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4D63CE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CFF0FC"/>
            <w:noWrap/>
            <w:tcMar>
              <w:top w:w="15" w:type="dxa"/>
              <w:left w:w="0" w:type="dxa"/>
              <w:bottom w:w="0" w:type="dxa"/>
              <w:right w:w="15" w:type="dxa"/>
            </w:tcMar>
            <w:vAlign w:val="bottom"/>
            <w:hideMark/>
          </w:tcPr>
          <w:p w14:paraId="08EEB0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47F025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62E0E0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68067D7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0" w:type="dxa"/>
            <w:shd w:val="clear" w:color="auto" w:fill="CFF0FC"/>
            <w:noWrap/>
            <w:tcMar>
              <w:top w:w="15" w:type="dxa"/>
              <w:left w:w="0" w:type="dxa"/>
              <w:bottom w:w="0" w:type="dxa"/>
              <w:right w:w="15" w:type="dxa"/>
            </w:tcMar>
            <w:vAlign w:val="bottom"/>
            <w:hideMark/>
          </w:tcPr>
          <w:p w14:paraId="5C071B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17ADB0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0" w:type="dxa"/>
            <w:shd w:val="clear" w:color="auto" w:fill="CFF0FC"/>
            <w:noWrap/>
            <w:tcMar>
              <w:top w:w="15" w:type="dxa"/>
              <w:left w:w="0" w:type="dxa"/>
              <w:bottom w:w="0" w:type="dxa"/>
              <w:right w:w="15" w:type="dxa"/>
            </w:tcMar>
            <w:vAlign w:val="bottom"/>
            <w:hideMark/>
          </w:tcPr>
          <w:p w14:paraId="7D5B21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0" w:type="dxa"/>
            <w:shd w:val="clear" w:color="auto" w:fill="CFF0FC"/>
            <w:noWrap/>
            <w:tcMar>
              <w:top w:w="15" w:type="dxa"/>
              <w:left w:w="0" w:type="dxa"/>
              <w:bottom w:w="0" w:type="dxa"/>
              <w:right w:w="15" w:type="dxa"/>
            </w:tcMar>
            <w:vAlign w:val="bottom"/>
            <w:hideMark/>
          </w:tcPr>
          <w:p w14:paraId="2C30B7D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72" w:type="dxa"/>
            <w:shd w:val="clear" w:color="auto" w:fill="CFF0FC"/>
            <w:noWrap/>
            <w:tcMar>
              <w:top w:w="15" w:type="dxa"/>
              <w:left w:w="0" w:type="dxa"/>
              <w:bottom w:w="0" w:type="dxa"/>
              <w:right w:w="15" w:type="dxa"/>
            </w:tcMar>
            <w:vAlign w:val="bottom"/>
            <w:hideMark/>
          </w:tcPr>
          <w:p w14:paraId="6408B48D"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46964CA5" w14:textId="77777777" w:rsidR="00AC4931" w:rsidRPr="00AC4931" w:rsidRDefault="00AC4931" w:rsidP="00AC4931">
      <w:pPr>
        <w:widowControl/>
        <w:rPr>
          <w:rFonts w:ascii="宋体" w:eastAsia="宋体" w:hAnsi="宋体" w:cs="宋体"/>
          <w:b/>
          <w:bCs/>
          <w:kern w:val="0"/>
          <w:sz w:val="18"/>
          <w:szCs w:val="18"/>
        </w:rPr>
      </w:pPr>
      <w:r w:rsidRPr="00AC4931">
        <w:rPr>
          <w:rFonts w:ascii="宋体" w:eastAsia="宋体" w:hAnsi="宋体" w:cs="宋体"/>
          <w:b/>
          <w:bCs/>
          <w:kern w:val="0"/>
          <w:sz w:val="18"/>
          <w:szCs w:val="18"/>
        </w:rPr>
        <w:t> </w:t>
      </w:r>
    </w:p>
    <w:tbl>
      <w:tblPr>
        <w:tblW w:w="18553" w:type="dxa"/>
        <w:tblCellMar>
          <w:left w:w="0" w:type="dxa"/>
          <w:right w:w="0" w:type="dxa"/>
        </w:tblCellMar>
        <w:tblLook w:val="04A0" w:firstRow="1" w:lastRow="0" w:firstColumn="1" w:lastColumn="0" w:noHBand="0" w:noVBand="1"/>
      </w:tblPr>
      <w:tblGrid>
        <w:gridCol w:w="10562"/>
        <w:gridCol w:w="181"/>
        <w:gridCol w:w="1465"/>
        <w:gridCol w:w="180"/>
        <w:gridCol w:w="231"/>
        <w:gridCol w:w="180"/>
        <w:gridCol w:w="1464"/>
        <w:gridCol w:w="180"/>
        <w:gridCol w:w="231"/>
        <w:gridCol w:w="180"/>
        <w:gridCol w:w="1464"/>
        <w:gridCol w:w="180"/>
        <w:gridCol w:w="231"/>
        <w:gridCol w:w="180"/>
        <w:gridCol w:w="1464"/>
        <w:gridCol w:w="180"/>
      </w:tblGrid>
      <w:tr w:rsidR="00AC4931" w:rsidRPr="00AC4931" w14:paraId="10562BFA" w14:textId="77777777" w:rsidTr="00AC4931">
        <w:tc>
          <w:tcPr>
            <w:tcW w:w="10495" w:type="dxa"/>
            <w:shd w:val="clear" w:color="auto" w:fill="FFFFFF"/>
            <w:tcMar>
              <w:top w:w="15" w:type="dxa"/>
              <w:left w:w="0" w:type="dxa"/>
              <w:bottom w:w="0" w:type="dxa"/>
              <w:right w:w="15" w:type="dxa"/>
            </w:tcMar>
            <w:vAlign w:val="bottom"/>
            <w:hideMark/>
          </w:tcPr>
          <w:p w14:paraId="0F0742B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u w:val="single"/>
              </w:rPr>
              <w:t>2019</w:t>
            </w:r>
          </w:p>
        </w:tc>
        <w:tc>
          <w:tcPr>
            <w:tcW w:w="1626" w:type="dxa"/>
            <w:gridSpan w:val="2"/>
            <w:tcBorders>
              <w:bottom w:val="single" w:sz="6" w:space="0" w:color="000000"/>
            </w:tcBorders>
            <w:shd w:val="clear" w:color="auto" w:fill="FFFFFF"/>
            <w:tcMar>
              <w:top w:w="15" w:type="dxa"/>
              <w:left w:w="0" w:type="dxa"/>
              <w:bottom w:w="0" w:type="dxa"/>
              <w:right w:w="15" w:type="dxa"/>
            </w:tcMar>
            <w:vAlign w:val="bottom"/>
            <w:hideMark/>
          </w:tcPr>
          <w:p w14:paraId="24981C9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Q1</w:t>
            </w:r>
          </w:p>
        </w:tc>
        <w:tc>
          <w:tcPr>
            <w:tcW w:w="171" w:type="dxa"/>
            <w:shd w:val="clear" w:color="auto" w:fill="FFFFFF"/>
            <w:noWrap/>
            <w:tcMar>
              <w:top w:w="15" w:type="dxa"/>
              <w:left w:w="0" w:type="dxa"/>
              <w:bottom w:w="0" w:type="dxa"/>
              <w:right w:w="15" w:type="dxa"/>
            </w:tcMar>
            <w:vAlign w:val="bottom"/>
            <w:hideMark/>
          </w:tcPr>
          <w:p w14:paraId="7A8E5F3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0" w:type="dxa"/>
            <w:shd w:val="clear" w:color="auto" w:fill="FFFFFF"/>
            <w:tcMar>
              <w:top w:w="15" w:type="dxa"/>
              <w:left w:w="0" w:type="dxa"/>
              <w:bottom w:w="0" w:type="dxa"/>
              <w:right w:w="15" w:type="dxa"/>
            </w:tcMar>
            <w:vAlign w:val="bottom"/>
            <w:hideMark/>
          </w:tcPr>
          <w:p w14:paraId="42E8ADC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26" w:type="dxa"/>
            <w:gridSpan w:val="2"/>
            <w:tcBorders>
              <w:bottom w:val="single" w:sz="6" w:space="0" w:color="000000"/>
            </w:tcBorders>
            <w:shd w:val="clear" w:color="auto" w:fill="FFFFFF"/>
            <w:tcMar>
              <w:top w:w="15" w:type="dxa"/>
              <w:left w:w="0" w:type="dxa"/>
              <w:bottom w:w="0" w:type="dxa"/>
              <w:right w:w="15" w:type="dxa"/>
            </w:tcMar>
            <w:vAlign w:val="bottom"/>
            <w:hideMark/>
          </w:tcPr>
          <w:p w14:paraId="7360A16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Q2</w:t>
            </w:r>
          </w:p>
        </w:tc>
        <w:tc>
          <w:tcPr>
            <w:tcW w:w="171" w:type="dxa"/>
            <w:shd w:val="clear" w:color="auto" w:fill="FFFFFF"/>
            <w:noWrap/>
            <w:tcMar>
              <w:top w:w="15" w:type="dxa"/>
              <w:left w:w="0" w:type="dxa"/>
              <w:bottom w:w="0" w:type="dxa"/>
              <w:right w:w="15" w:type="dxa"/>
            </w:tcMar>
            <w:vAlign w:val="bottom"/>
            <w:hideMark/>
          </w:tcPr>
          <w:p w14:paraId="5D1D105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0" w:type="dxa"/>
            <w:shd w:val="clear" w:color="auto" w:fill="FFFFFF"/>
            <w:tcMar>
              <w:top w:w="15" w:type="dxa"/>
              <w:left w:w="0" w:type="dxa"/>
              <w:bottom w:w="0" w:type="dxa"/>
              <w:right w:w="15" w:type="dxa"/>
            </w:tcMar>
            <w:vAlign w:val="bottom"/>
            <w:hideMark/>
          </w:tcPr>
          <w:p w14:paraId="3F0983B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26" w:type="dxa"/>
            <w:gridSpan w:val="2"/>
            <w:tcBorders>
              <w:bottom w:val="single" w:sz="6" w:space="0" w:color="000000"/>
            </w:tcBorders>
            <w:shd w:val="clear" w:color="auto" w:fill="FFFFFF"/>
            <w:tcMar>
              <w:top w:w="15" w:type="dxa"/>
              <w:left w:w="0" w:type="dxa"/>
              <w:bottom w:w="0" w:type="dxa"/>
              <w:right w:w="15" w:type="dxa"/>
            </w:tcMar>
            <w:vAlign w:val="bottom"/>
            <w:hideMark/>
          </w:tcPr>
          <w:p w14:paraId="6B10068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Q3</w:t>
            </w:r>
          </w:p>
        </w:tc>
        <w:tc>
          <w:tcPr>
            <w:tcW w:w="171" w:type="dxa"/>
            <w:shd w:val="clear" w:color="auto" w:fill="FFFFFF"/>
            <w:noWrap/>
            <w:tcMar>
              <w:top w:w="15" w:type="dxa"/>
              <w:left w:w="0" w:type="dxa"/>
              <w:bottom w:w="0" w:type="dxa"/>
              <w:right w:w="15" w:type="dxa"/>
            </w:tcMar>
            <w:vAlign w:val="bottom"/>
            <w:hideMark/>
          </w:tcPr>
          <w:p w14:paraId="60D8836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30" w:type="dxa"/>
            <w:shd w:val="clear" w:color="auto" w:fill="FFFFFF"/>
            <w:tcMar>
              <w:top w:w="15" w:type="dxa"/>
              <w:left w:w="0" w:type="dxa"/>
              <w:bottom w:w="0" w:type="dxa"/>
              <w:right w:w="15" w:type="dxa"/>
            </w:tcMar>
            <w:vAlign w:val="bottom"/>
            <w:hideMark/>
          </w:tcPr>
          <w:p w14:paraId="6D36C09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626" w:type="dxa"/>
            <w:gridSpan w:val="2"/>
            <w:tcBorders>
              <w:bottom w:val="single" w:sz="6" w:space="0" w:color="000000"/>
            </w:tcBorders>
            <w:shd w:val="clear" w:color="auto" w:fill="FFFFFF"/>
            <w:tcMar>
              <w:top w:w="15" w:type="dxa"/>
              <w:left w:w="0" w:type="dxa"/>
              <w:bottom w:w="0" w:type="dxa"/>
              <w:right w:w="15" w:type="dxa"/>
            </w:tcMar>
            <w:vAlign w:val="bottom"/>
            <w:hideMark/>
          </w:tcPr>
          <w:p w14:paraId="6887527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Q4</w:t>
            </w:r>
          </w:p>
        </w:tc>
        <w:tc>
          <w:tcPr>
            <w:tcW w:w="171" w:type="dxa"/>
            <w:shd w:val="clear" w:color="auto" w:fill="FFFFFF"/>
            <w:noWrap/>
            <w:tcMar>
              <w:top w:w="15" w:type="dxa"/>
              <w:left w:w="0" w:type="dxa"/>
              <w:bottom w:w="0" w:type="dxa"/>
              <w:right w:w="15" w:type="dxa"/>
            </w:tcMar>
            <w:vAlign w:val="bottom"/>
            <w:hideMark/>
          </w:tcPr>
          <w:p w14:paraId="2A72C75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39F5E85A" w14:textId="77777777" w:rsidTr="00AC4931">
        <w:tc>
          <w:tcPr>
            <w:tcW w:w="10495" w:type="dxa"/>
            <w:shd w:val="clear" w:color="auto" w:fill="CFF0FC"/>
            <w:tcMar>
              <w:top w:w="15" w:type="dxa"/>
              <w:left w:w="0" w:type="dxa"/>
              <w:bottom w:w="0" w:type="dxa"/>
              <w:right w:w="15" w:type="dxa"/>
            </w:tcMar>
            <w:hideMark/>
          </w:tcPr>
          <w:p w14:paraId="54E1C1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sales</w:t>
            </w:r>
          </w:p>
        </w:tc>
        <w:tc>
          <w:tcPr>
            <w:tcW w:w="171" w:type="dxa"/>
            <w:tcBorders>
              <w:top w:val="single" w:sz="6" w:space="0" w:color="000000"/>
            </w:tcBorders>
            <w:shd w:val="clear" w:color="auto" w:fill="CFF0FC"/>
            <w:noWrap/>
            <w:tcMar>
              <w:top w:w="15" w:type="dxa"/>
              <w:left w:w="0" w:type="dxa"/>
              <w:bottom w:w="0" w:type="dxa"/>
              <w:right w:w="15" w:type="dxa"/>
            </w:tcMar>
            <w:vAlign w:val="bottom"/>
            <w:hideMark/>
          </w:tcPr>
          <w:p w14:paraId="73C387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41" w:type="dxa"/>
            <w:tcBorders>
              <w:top w:val="single" w:sz="6" w:space="0" w:color="000000"/>
            </w:tcBorders>
            <w:shd w:val="clear" w:color="auto" w:fill="CFF0FC"/>
            <w:noWrap/>
            <w:tcMar>
              <w:top w:w="15" w:type="dxa"/>
              <w:left w:w="0" w:type="dxa"/>
              <w:bottom w:w="0" w:type="dxa"/>
              <w:right w:w="15" w:type="dxa"/>
            </w:tcMar>
            <w:vAlign w:val="bottom"/>
            <w:hideMark/>
          </w:tcPr>
          <w:p w14:paraId="2F44DD2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2,174.0</w:t>
            </w:r>
          </w:p>
        </w:tc>
        <w:tc>
          <w:tcPr>
            <w:tcW w:w="171" w:type="dxa"/>
            <w:shd w:val="clear" w:color="auto" w:fill="CFF0FC"/>
            <w:noWrap/>
            <w:tcMar>
              <w:top w:w="15" w:type="dxa"/>
              <w:left w:w="0" w:type="dxa"/>
              <w:bottom w:w="0" w:type="dxa"/>
              <w:right w:w="15" w:type="dxa"/>
            </w:tcMar>
            <w:vAlign w:val="bottom"/>
            <w:hideMark/>
          </w:tcPr>
          <w:p w14:paraId="7FE454A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7590EC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tcBorders>
            <w:shd w:val="clear" w:color="auto" w:fill="CFF0FC"/>
            <w:noWrap/>
            <w:tcMar>
              <w:top w:w="15" w:type="dxa"/>
              <w:left w:w="0" w:type="dxa"/>
              <w:bottom w:w="0" w:type="dxa"/>
              <w:right w:w="15" w:type="dxa"/>
            </w:tcMar>
            <w:vAlign w:val="bottom"/>
            <w:hideMark/>
          </w:tcPr>
          <w:p w14:paraId="53CDD65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41" w:type="dxa"/>
            <w:tcBorders>
              <w:top w:val="single" w:sz="6" w:space="0" w:color="000000"/>
            </w:tcBorders>
            <w:shd w:val="clear" w:color="auto" w:fill="CFF0FC"/>
            <w:noWrap/>
            <w:tcMar>
              <w:top w:w="15" w:type="dxa"/>
              <w:left w:w="0" w:type="dxa"/>
              <w:bottom w:w="0" w:type="dxa"/>
              <w:right w:w="15" w:type="dxa"/>
            </w:tcMar>
            <w:vAlign w:val="bottom"/>
            <w:hideMark/>
          </w:tcPr>
          <w:p w14:paraId="1AA3F05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2,154.7</w:t>
            </w:r>
          </w:p>
        </w:tc>
        <w:tc>
          <w:tcPr>
            <w:tcW w:w="171" w:type="dxa"/>
            <w:shd w:val="clear" w:color="auto" w:fill="CFF0FC"/>
            <w:noWrap/>
            <w:tcMar>
              <w:top w:w="15" w:type="dxa"/>
              <w:left w:w="0" w:type="dxa"/>
              <w:bottom w:w="0" w:type="dxa"/>
              <w:right w:w="15" w:type="dxa"/>
            </w:tcMar>
            <w:vAlign w:val="bottom"/>
            <w:hideMark/>
          </w:tcPr>
          <w:p w14:paraId="1E4715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281CA3D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tcBorders>
            <w:shd w:val="clear" w:color="auto" w:fill="CFF0FC"/>
            <w:noWrap/>
            <w:tcMar>
              <w:top w:w="15" w:type="dxa"/>
              <w:left w:w="0" w:type="dxa"/>
              <w:bottom w:w="0" w:type="dxa"/>
              <w:right w:w="15" w:type="dxa"/>
            </w:tcMar>
            <w:vAlign w:val="bottom"/>
            <w:hideMark/>
          </w:tcPr>
          <w:p w14:paraId="6DC6D37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41" w:type="dxa"/>
            <w:tcBorders>
              <w:top w:val="single" w:sz="6" w:space="0" w:color="000000"/>
            </w:tcBorders>
            <w:shd w:val="clear" w:color="auto" w:fill="CFF0FC"/>
            <w:noWrap/>
            <w:tcMar>
              <w:top w:w="15" w:type="dxa"/>
              <w:left w:w="0" w:type="dxa"/>
              <w:bottom w:w="0" w:type="dxa"/>
              <w:right w:w="15" w:type="dxa"/>
            </w:tcMar>
            <w:vAlign w:val="bottom"/>
            <w:hideMark/>
          </w:tcPr>
          <w:p w14:paraId="7FAC2E7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2,027.7</w:t>
            </w:r>
          </w:p>
        </w:tc>
        <w:tc>
          <w:tcPr>
            <w:tcW w:w="171" w:type="dxa"/>
            <w:shd w:val="clear" w:color="auto" w:fill="CFF0FC"/>
            <w:noWrap/>
            <w:tcMar>
              <w:top w:w="15" w:type="dxa"/>
              <w:left w:w="0" w:type="dxa"/>
              <w:bottom w:w="0" w:type="dxa"/>
              <w:right w:w="15" w:type="dxa"/>
            </w:tcMar>
            <w:vAlign w:val="bottom"/>
            <w:hideMark/>
          </w:tcPr>
          <w:p w14:paraId="0B7F4C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2DB1DF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tcBorders>
              <w:top w:val="single" w:sz="6" w:space="0" w:color="000000"/>
            </w:tcBorders>
            <w:shd w:val="clear" w:color="auto" w:fill="CFF0FC"/>
            <w:noWrap/>
            <w:tcMar>
              <w:top w:w="15" w:type="dxa"/>
              <w:left w:w="0" w:type="dxa"/>
              <w:bottom w:w="0" w:type="dxa"/>
              <w:right w:w="15" w:type="dxa"/>
            </w:tcMar>
            <w:vAlign w:val="bottom"/>
            <w:hideMark/>
          </w:tcPr>
          <w:p w14:paraId="1BCC0D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441" w:type="dxa"/>
            <w:tcBorders>
              <w:top w:val="single" w:sz="6" w:space="0" w:color="000000"/>
            </w:tcBorders>
            <w:shd w:val="clear" w:color="auto" w:fill="CFF0FC"/>
            <w:noWrap/>
            <w:tcMar>
              <w:top w:w="15" w:type="dxa"/>
              <w:left w:w="0" w:type="dxa"/>
              <w:bottom w:w="0" w:type="dxa"/>
              <w:right w:w="15" w:type="dxa"/>
            </w:tcMar>
            <w:vAlign w:val="bottom"/>
            <w:hideMark/>
          </w:tcPr>
          <w:p w14:paraId="7E272D2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2,191.2</w:t>
            </w:r>
          </w:p>
        </w:tc>
        <w:tc>
          <w:tcPr>
            <w:tcW w:w="171" w:type="dxa"/>
            <w:shd w:val="clear" w:color="auto" w:fill="CFF0FC"/>
            <w:noWrap/>
            <w:tcMar>
              <w:top w:w="15" w:type="dxa"/>
              <w:left w:w="0" w:type="dxa"/>
              <w:bottom w:w="0" w:type="dxa"/>
              <w:right w:w="15" w:type="dxa"/>
            </w:tcMar>
            <w:vAlign w:val="bottom"/>
            <w:hideMark/>
          </w:tcPr>
          <w:p w14:paraId="3FFBCD0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390408E0" w14:textId="77777777" w:rsidTr="00AC4931">
        <w:tc>
          <w:tcPr>
            <w:tcW w:w="10495" w:type="dxa"/>
            <w:shd w:val="clear" w:color="auto" w:fill="FFFFFF"/>
            <w:tcMar>
              <w:top w:w="15" w:type="dxa"/>
              <w:left w:w="0" w:type="dxa"/>
              <w:bottom w:w="0" w:type="dxa"/>
              <w:right w:w="15" w:type="dxa"/>
            </w:tcMar>
            <w:hideMark/>
          </w:tcPr>
          <w:p w14:paraId="29DF97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Gross profit</w:t>
            </w:r>
          </w:p>
        </w:tc>
        <w:tc>
          <w:tcPr>
            <w:tcW w:w="171" w:type="dxa"/>
            <w:shd w:val="clear" w:color="auto" w:fill="FFFFFF"/>
            <w:noWrap/>
            <w:tcMar>
              <w:top w:w="15" w:type="dxa"/>
              <w:left w:w="0" w:type="dxa"/>
              <w:bottom w:w="0" w:type="dxa"/>
              <w:right w:w="15" w:type="dxa"/>
            </w:tcMar>
            <w:vAlign w:val="bottom"/>
            <w:hideMark/>
          </w:tcPr>
          <w:p w14:paraId="01D1EA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6D2F5B2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378.8</w:t>
            </w:r>
          </w:p>
        </w:tc>
        <w:tc>
          <w:tcPr>
            <w:tcW w:w="171" w:type="dxa"/>
            <w:shd w:val="clear" w:color="auto" w:fill="FFFFFF"/>
            <w:noWrap/>
            <w:tcMar>
              <w:top w:w="15" w:type="dxa"/>
              <w:left w:w="0" w:type="dxa"/>
              <w:bottom w:w="0" w:type="dxa"/>
              <w:right w:w="15" w:type="dxa"/>
            </w:tcMar>
            <w:vAlign w:val="bottom"/>
            <w:hideMark/>
          </w:tcPr>
          <w:p w14:paraId="4CC97A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686312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3BD18B7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70E0024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399.7</w:t>
            </w:r>
          </w:p>
        </w:tc>
        <w:tc>
          <w:tcPr>
            <w:tcW w:w="171" w:type="dxa"/>
            <w:shd w:val="clear" w:color="auto" w:fill="FFFFFF"/>
            <w:noWrap/>
            <w:tcMar>
              <w:top w:w="15" w:type="dxa"/>
              <w:left w:w="0" w:type="dxa"/>
              <w:bottom w:w="0" w:type="dxa"/>
              <w:right w:w="15" w:type="dxa"/>
            </w:tcMar>
            <w:vAlign w:val="bottom"/>
            <w:hideMark/>
          </w:tcPr>
          <w:p w14:paraId="5CC585B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20A8730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7950FB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32C4ADA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379.1</w:t>
            </w:r>
          </w:p>
        </w:tc>
        <w:tc>
          <w:tcPr>
            <w:tcW w:w="171" w:type="dxa"/>
            <w:shd w:val="clear" w:color="auto" w:fill="FFFFFF"/>
            <w:noWrap/>
            <w:tcMar>
              <w:top w:w="15" w:type="dxa"/>
              <w:left w:w="0" w:type="dxa"/>
              <w:bottom w:w="0" w:type="dxa"/>
              <w:right w:w="15" w:type="dxa"/>
            </w:tcMar>
            <w:vAlign w:val="bottom"/>
            <w:hideMark/>
          </w:tcPr>
          <w:p w14:paraId="3E47D2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646E5C6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78DBF7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29B2845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426.8</w:t>
            </w:r>
          </w:p>
        </w:tc>
        <w:tc>
          <w:tcPr>
            <w:tcW w:w="171" w:type="dxa"/>
            <w:shd w:val="clear" w:color="auto" w:fill="FFFFFF"/>
            <w:noWrap/>
            <w:tcMar>
              <w:top w:w="15" w:type="dxa"/>
              <w:left w:w="0" w:type="dxa"/>
              <w:bottom w:w="0" w:type="dxa"/>
              <w:right w:w="15" w:type="dxa"/>
            </w:tcMar>
            <w:vAlign w:val="bottom"/>
            <w:hideMark/>
          </w:tcPr>
          <w:p w14:paraId="408B3F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936A9A2" w14:textId="77777777" w:rsidTr="00AC4931">
        <w:tc>
          <w:tcPr>
            <w:tcW w:w="10495" w:type="dxa"/>
            <w:shd w:val="clear" w:color="auto" w:fill="CFF0FC"/>
            <w:tcMar>
              <w:top w:w="15" w:type="dxa"/>
              <w:left w:w="0" w:type="dxa"/>
              <w:bottom w:w="0" w:type="dxa"/>
              <w:right w:w="15" w:type="dxa"/>
            </w:tcMar>
            <w:hideMark/>
          </w:tcPr>
          <w:p w14:paraId="6AD55D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Income before income taxes</w:t>
            </w:r>
          </w:p>
        </w:tc>
        <w:tc>
          <w:tcPr>
            <w:tcW w:w="171" w:type="dxa"/>
            <w:shd w:val="clear" w:color="auto" w:fill="CFF0FC"/>
            <w:noWrap/>
            <w:tcMar>
              <w:top w:w="15" w:type="dxa"/>
              <w:left w:w="0" w:type="dxa"/>
              <w:bottom w:w="0" w:type="dxa"/>
              <w:right w:w="15" w:type="dxa"/>
            </w:tcMar>
            <w:vAlign w:val="bottom"/>
            <w:hideMark/>
          </w:tcPr>
          <w:p w14:paraId="1672E4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50C092F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153.6</w:t>
            </w:r>
          </w:p>
        </w:tc>
        <w:tc>
          <w:tcPr>
            <w:tcW w:w="171" w:type="dxa"/>
            <w:shd w:val="clear" w:color="auto" w:fill="CFF0FC"/>
            <w:noWrap/>
            <w:tcMar>
              <w:top w:w="15" w:type="dxa"/>
              <w:left w:w="0" w:type="dxa"/>
              <w:bottom w:w="0" w:type="dxa"/>
              <w:right w:w="15" w:type="dxa"/>
            </w:tcMar>
            <w:vAlign w:val="bottom"/>
            <w:hideMark/>
          </w:tcPr>
          <w:p w14:paraId="06D30F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6A0C78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7B7874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57076DE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150.8</w:t>
            </w:r>
          </w:p>
        </w:tc>
        <w:tc>
          <w:tcPr>
            <w:tcW w:w="171" w:type="dxa"/>
            <w:shd w:val="clear" w:color="auto" w:fill="CFF0FC"/>
            <w:noWrap/>
            <w:tcMar>
              <w:top w:w="15" w:type="dxa"/>
              <w:left w:w="0" w:type="dxa"/>
              <w:bottom w:w="0" w:type="dxa"/>
              <w:right w:w="15" w:type="dxa"/>
            </w:tcMar>
            <w:vAlign w:val="bottom"/>
            <w:hideMark/>
          </w:tcPr>
          <w:p w14:paraId="531131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55A041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001042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0AC1EC7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134.4</w:t>
            </w:r>
          </w:p>
        </w:tc>
        <w:tc>
          <w:tcPr>
            <w:tcW w:w="171" w:type="dxa"/>
            <w:shd w:val="clear" w:color="auto" w:fill="CFF0FC"/>
            <w:noWrap/>
            <w:tcMar>
              <w:top w:w="15" w:type="dxa"/>
              <w:left w:w="0" w:type="dxa"/>
              <w:bottom w:w="0" w:type="dxa"/>
              <w:right w:w="15" w:type="dxa"/>
            </w:tcMar>
            <w:vAlign w:val="bottom"/>
            <w:hideMark/>
          </w:tcPr>
          <w:p w14:paraId="4C98AC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181CB9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21137E9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03EB89B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209.7</w:t>
            </w:r>
          </w:p>
        </w:tc>
        <w:tc>
          <w:tcPr>
            <w:tcW w:w="171" w:type="dxa"/>
            <w:shd w:val="clear" w:color="auto" w:fill="CFF0FC"/>
            <w:noWrap/>
            <w:tcMar>
              <w:top w:w="15" w:type="dxa"/>
              <w:left w:w="0" w:type="dxa"/>
              <w:bottom w:w="0" w:type="dxa"/>
              <w:right w:w="15" w:type="dxa"/>
            </w:tcMar>
            <w:vAlign w:val="bottom"/>
            <w:hideMark/>
          </w:tcPr>
          <w:p w14:paraId="7E0F3A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70FD8A7" w14:textId="77777777" w:rsidTr="00AC4931">
        <w:tc>
          <w:tcPr>
            <w:tcW w:w="10495" w:type="dxa"/>
            <w:shd w:val="clear" w:color="auto" w:fill="FFFFFF"/>
            <w:tcMar>
              <w:top w:w="15" w:type="dxa"/>
              <w:left w:w="0" w:type="dxa"/>
              <w:bottom w:w="0" w:type="dxa"/>
              <w:right w:w="15" w:type="dxa"/>
            </w:tcMar>
            <w:hideMark/>
          </w:tcPr>
          <w:p w14:paraId="31167FF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w:t>
            </w:r>
          </w:p>
        </w:tc>
        <w:tc>
          <w:tcPr>
            <w:tcW w:w="171" w:type="dxa"/>
            <w:shd w:val="clear" w:color="auto" w:fill="FFFFFF"/>
            <w:noWrap/>
            <w:tcMar>
              <w:top w:w="15" w:type="dxa"/>
              <w:left w:w="0" w:type="dxa"/>
              <w:bottom w:w="0" w:type="dxa"/>
              <w:right w:w="15" w:type="dxa"/>
            </w:tcMar>
            <w:vAlign w:val="bottom"/>
            <w:hideMark/>
          </w:tcPr>
          <w:p w14:paraId="473932C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785EC22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111.5</w:t>
            </w:r>
          </w:p>
        </w:tc>
        <w:tc>
          <w:tcPr>
            <w:tcW w:w="171" w:type="dxa"/>
            <w:shd w:val="clear" w:color="auto" w:fill="FFFFFF"/>
            <w:noWrap/>
            <w:tcMar>
              <w:top w:w="15" w:type="dxa"/>
              <w:left w:w="0" w:type="dxa"/>
              <w:bottom w:w="0" w:type="dxa"/>
              <w:right w:w="15" w:type="dxa"/>
            </w:tcMar>
            <w:vAlign w:val="bottom"/>
            <w:hideMark/>
          </w:tcPr>
          <w:p w14:paraId="664B50A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7261BB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2A55D8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3A71DAF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109.4</w:t>
            </w:r>
          </w:p>
        </w:tc>
        <w:tc>
          <w:tcPr>
            <w:tcW w:w="171" w:type="dxa"/>
            <w:shd w:val="clear" w:color="auto" w:fill="FFFFFF"/>
            <w:noWrap/>
            <w:tcMar>
              <w:top w:w="15" w:type="dxa"/>
              <w:left w:w="0" w:type="dxa"/>
              <w:bottom w:w="0" w:type="dxa"/>
              <w:right w:w="15" w:type="dxa"/>
            </w:tcMar>
            <w:vAlign w:val="bottom"/>
            <w:hideMark/>
          </w:tcPr>
          <w:p w14:paraId="3CE92D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5883CBE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5331A0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31E265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86.0</w:t>
            </w:r>
          </w:p>
        </w:tc>
        <w:tc>
          <w:tcPr>
            <w:tcW w:w="171" w:type="dxa"/>
            <w:shd w:val="clear" w:color="auto" w:fill="FFFFFF"/>
            <w:noWrap/>
            <w:tcMar>
              <w:top w:w="15" w:type="dxa"/>
              <w:left w:w="0" w:type="dxa"/>
              <w:bottom w:w="0" w:type="dxa"/>
              <w:right w:w="15" w:type="dxa"/>
            </w:tcMar>
            <w:vAlign w:val="bottom"/>
            <w:hideMark/>
          </w:tcPr>
          <w:p w14:paraId="55649A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0F8D16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32A29B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2334956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155.9</w:t>
            </w:r>
          </w:p>
        </w:tc>
        <w:tc>
          <w:tcPr>
            <w:tcW w:w="171" w:type="dxa"/>
            <w:shd w:val="clear" w:color="auto" w:fill="FFFFFF"/>
            <w:noWrap/>
            <w:tcMar>
              <w:top w:w="15" w:type="dxa"/>
              <w:left w:w="0" w:type="dxa"/>
              <w:bottom w:w="0" w:type="dxa"/>
              <w:right w:w="15" w:type="dxa"/>
            </w:tcMar>
            <w:vAlign w:val="bottom"/>
            <w:hideMark/>
          </w:tcPr>
          <w:p w14:paraId="33538B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1FA5448" w14:textId="77777777" w:rsidTr="00AC4931">
        <w:tc>
          <w:tcPr>
            <w:tcW w:w="10495" w:type="dxa"/>
            <w:shd w:val="clear" w:color="auto" w:fill="CFF0FC"/>
            <w:tcMar>
              <w:top w:w="15" w:type="dxa"/>
              <w:left w:w="0" w:type="dxa"/>
              <w:bottom w:w="0" w:type="dxa"/>
              <w:right w:w="15" w:type="dxa"/>
            </w:tcMar>
            <w:hideMark/>
          </w:tcPr>
          <w:p w14:paraId="25F7503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 attributable to controlling interest</w:t>
            </w:r>
          </w:p>
        </w:tc>
        <w:tc>
          <w:tcPr>
            <w:tcW w:w="171" w:type="dxa"/>
            <w:shd w:val="clear" w:color="auto" w:fill="CFF0FC"/>
            <w:noWrap/>
            <w:tcMar>
              <w:top w:w="15" w:type="dxa"/>
              <w:left w:w="0" w:type="dxa"/>
              <w:bottom w:w="0" w:type="dxa"/>
              <w:right w:w="15" w:type="dxa"/>
            </w:tcMar>
            <w:vAlign w:val="bottom"/>
            <w:hideMark/>
          </w:tcPr>
          <w:p w14:paraId="1BCC334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03D71B1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111.4</w:t>
            </w:r>
          </w:p>
        </w:tc>
        <w:tc>
          <w:tcPr>
            <w:tcW w:w="171" w:type="dxa"/>
            <w:shd w:val="clear" w:color="auto" w:fill="CFF0FC"/>
            <w:noWrap/>
            <w:tcMar>
              <w:top w:w="15" w:type="dxa"/>
              <w:left w:w="0" w:type="dxa"/>
              <w:bottom w:w="0" w:type="dxa"/>
              <w:right w:w="15" w:type="dxa"/>
            </w:tcMar>
            <w:vAlign w:val="bottom"/>
            <w:hideMark/>
          </w:tcPr>
          <w:p w14:paraId="6E36BF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45627C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6E5D5A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0E6EFBC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109.1</w:t>
            </w:r>
          </w:p>
        </w:tc>
        <w:tc>
          <w:tcPr>
            <w:tcW w:w="171" w:type="dxa"/>
            <w:shd w:val="clear" w:color="auto" w:fill="CFF0FC"/>
            <w:noWrap/>
            <w:tcMar>
              <w:top w:w="15" w:type="dxa"/>
              <w:left w:w="0" w:type="dxa"/>
              <w:bottom w:w="0" w:type="dxa"/>
              <w:right w:w="15" w:type="dxa"/>
            </w:tcMar>
            <w:vAlign w:val="bottom"/>
            <w:hideMark/>
          </w:tcPr>
          <w:p w14:paraId="52BE93C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74373A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05C6E7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3A9F06F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85.4</w:t>
            </w:r>
          </w:p>
        </w:tc>
        <w:tc>
          <w:tcPr>
            <w:tcW w:w="171" w:type="dxa"/>
            <w:shd w:val="clear" w:color="auto" w:fill="CFF0FC"/>
            <w:noWrap/>
            <w:tcMar>
              <w:top w:w="15" w:type="dxa"/>
              <w:left w:w="0" w:type="dxa"/>
              <w:bottom w:w="0" w:type="dxa"/>
              <w:right w:w="15" w:type="dxa"/>
            </w:tcMar>
            <w:vAlign w:val="bottom"/>
            <w:hideMark/>
          </w:tcPr>
          <w:p w14:paraId="01DAB0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3DB32E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1E18DB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3AA3F61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155.6</w:t>
            </w:r>
          </w:p>
        </w:tc>
        <w:tc>
          <w:tcPr>
            <w:tcW w:w="171" w:type="dxa"/>
            <w:shd w:val="clear" w:color="auto" w:fill="CFF0FC"/>
            <w:noWrap/>
            <w:tcMar>
              <w:top w:w="15" w:type="dxa"/>
              <w:left w:w="0" w:type="dxa"/>
              <w:bottom w:w="0" w:type="dxa"/>
              <w:right w:w="15" w:type="dxa"/>
            </w:tcMar>
            <w:vAlign w:val="bottom"/>
            <w:hideMark/>
          </w:tcPr>
          <w:p w14:paraId="3F24CDD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1DE9318" w14:textId="77777777" w:rsidTr="00AC4931">
        <w:tc>
          <w:tcPr>
            <w:tcW w:w="10495" w:type="dxa"/>
            <w:shd w:val="clear" w:color="auto" w:fill="FFFFFF"/>
            <w:tcMar>
              <w:top w:w="15" w:type="dxa"/>
              <w:left w:w="0" w:type="dxa"/>
              <w:bottom w:w="0" w:type="dxa"/>
              <w:right w:w="15" w:type="dxa"/>
            </w:tcMar>
            <w:hideMark/>
          </w:tcPr>
          <w:p w14:paraId="7B7FFC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Earnings per share</w:t>
            </w:r>
          </w:p>
        </w:tc>
        <w:tc>
          <w:tcPr>
            <w:tcW w:w="171" w:type="dxa"/>
            <w:shd w:val="clear" w:color="auto" w:fill="FFFFFF"/>
            <w:noWrap/>
            <w:tcMar>
              <w:top w:w="15" w:type="dxa"/>
              <w:left w:w="0" w:type="dxa"/>
              <w:bottom w:w="0" w:type="dxa"/>
              <w:right w:w="15" w:type="dxa"/>
            </w:tcMar>
            <w:vAlign w:val="bottom"/>
            <w:hideMark/>
          </w:tcPr>
          <w:p w14:paraId="77F6BF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500DEA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40DFFD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6BF9D6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6AB4013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16A0B3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2E1587C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0B07EA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49C152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187DFFD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34CD1F6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3C3B21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438D0F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1599047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2A4CDD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682B936" w14:textId="77777777" w:rsidTr="00AC4931">
        <w:tc>
          <w:tcPr>
            <w:tcW w:w="10495" w:type="dxa"/>
            <w:shd w:val="clear" w:color="auto" w:fill="CFF0FC"/>
            <w:tcMar>
              <w:top w:w="15" w:type="dxa"/>
              <w:left w:w="0" w:type="dxa"/>
              <w:bottom w:w="0" w:type="dxa"/>
              <w:right w:w="15" w:type="dxa"/>
            </w:tcMar>
            <w:hideMark/>
          </w:tcPr>
          <w:p w14:paraId="32BDEF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basic</w:t>
            </w:r>
          </w:p>
        </w:tc>
        <w:tc>
          <w:tcPr>
            <w:tcW w:w="171" w:type="dxa"/>
            <w:shd w:val="clear" w:color="auto" w:fill="CFF0FC"/>
            <w:noWrap/>
            <w:tcMar>
              <w:top w:w="15" w:type="dxa"/>
              <w:left w:w="0" w:type="dxa"/>
              <w:bottom w:w="0" w:type="dxa"/>
              <w:right w:w="15" w:type="dxa"/>
            </w:tcMar>
            <w:vAlign w:val="bottom"/>
            <w:hideMark/>
          </w:tcPr>
          <w:p w14:paraId="3B948E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4D3E4F5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1.28</w:t>
            </w:r>
          </w:p>
        </w:tc>
        <w:tc>
          <w:tcPr>
            <w:tcW w:w="171" w:type="dxa"/>
            <w:shd w:val="clear" w:color="auto" w:fill="CFF0FC"/>
            <w:noWrap/>
            <w:tcMar>
              <w:top w:w="15" w:type="dxa"/>
              <w:left w:w="0" w:type="dxa"/>
              <w:bottom w:w="0" w:type="dxa"/>
              <w:right w:w="15" w:type="dxa"/>
            </w:tcMar>
            <w:vAlign w:val="bottom"/>
            <w:hideMark/>
          </w:tcPr>
          <w:p w14:paraId="6A765E6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5A1045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3D53702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4502E42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1.25</w:t>
            </w:r>
          </w:p>
        </w:tc>
        <w:tc>
          <w:tcPr>
            <w:tcW w:w="171" w:type="dxa"/>
            <w:shd w:val="clear" w:color="auto" w:fill="CFF0FC"/>
            <w:noWrap/>
            <w:tcMar>
              <w:top w:w="15" w:type="dxa"/>
              <w:left w:w="0" w:type="dxa"/>
              <w:bottom w:w="0" w:type="dxa"/>
              <w:right w:w="15" w:type="dxa"/>
            </w:tcMar>
            <w:vAlign w:val="bottom"/>
            <w:hideMark/>
          </w:tcPr>
          <w:p w14:paraId="1AF7B7C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2C5176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4C3CE5D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574A704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0.98</w:t>
            </w:r>
          </w:p>
        </w:tc>
        <w:tc>
          <w:tcPr>
            <w:tcW w:w="171" w:type="dxa"/>
            <w:shd w:val="clear" w:color="auto" w:fill="CFF0FC"/>
            <w:noWrap/>
            <w:tcMar>
              <w:top w:w="15" w:type="dxa"/>
              <w:left w:w="0" w:type="dxa"/>
              <w:bottom w:w="0" w:type="dxa"/>
              <w:right w:w="15" w:type="dxa"/>
            </w:tcMar>
            <w:vAlign w:val="bottom"/>
            <w:hideMark/>
          </w:tcPr>
          <w:p w14:paraId="5DC221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7B8606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5FBD250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76414E9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1.78</w:t>
            </w:r>
          </w:p>
        </w:tc>
        <w:tc>
          <w:tcPr>
            <w:tcW w:w="171" w:type="dxa"/>
            <w:shd w:val="clear" w:color="auto" w:fill="CFF0FC"/>
            <w:noWrap/>
            <w:tcMar>
              <w:top w:w="15" w:type="dxa"/>
              <w:left w:w="0" w:type="dxa"/>
              <w:bottom w:w="0" w:type="dxa"/>
              <w:right w:w="15" w:type="dxa"/>
            </w:tcMar>
            <w:vAlign w:val="bottom"/>
            <w:hideMark/>
          </w:tcPr>
          <w:p w14:paraId="4270A5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6F343DF" w14:textId="77777777" w:rsidTr="00AC4931">
        <w:tc>
          <w:tcPr>
            <w:tcW w:w="10495" w:type="dxa"/>
            <w:shd w:val="clear" w:color="auto" w:fill="FFFFFF"/>
            <w:tcMar>
              <w:top w:w="15" w:type="dxa"/>
              <w:left w:w="0" w:type="dxa"/>
              <w:bottom w:w="0" w:type="dxa"/>
              <w:right w:w="15" w:type="dxa"/>
            </w:tcMar>
            <w:hideMark/>
          </w:tcPr>
          <w:p w14:paraId="100853F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diluted</w:t>
            </w:r>
          </w:p>
        </w:tc>
        <w:tc>
          <w:tcPr>
            <w:tcW w:w="171" w:type="dxa"/>
            <w:shd w:val="clear" w:color="auto" w:fill="FFFFFF"/>
            <w:noWrap/>
            <w:tcMar>
              <w:top w:w="15" w:type="dxa"/>
              <w:left w:w="0" w:type="dxa"/>
              <w:bottom w:w="0" w:type="dxa"/>
              <w:right w:w="15" w:type="dxa"/>
            </w:tcMar>
            <w:vAlign w:val="bottom"/>
            <w:hideMark/>
          </w:tcPr>
          <w:p w14:paraId="2A88F9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63E4F31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1.27</w:t>
            </w:r>
          </w:p>
        </w:tc>
        <w:tc>
          <w:tcPr>
            <w:tcW w:w="171" w:type="dxa"/>
            <w:shd w:val="clear" w:color="auto" w:fill="FFFFFF"/>
            <w:noWrap/>
            <w:tcMar>
              <w:top w:w="15" w:type="dxa"/>
              <w:left w:w="0" w:type="dxa"/>
              <w:bottom w:w="0" w:type="dxa"/>
              <w:right w:w="15" w:type="dxa"/>
            </w:tcMar>
            <w:vAlign w:val="bottom"/>
            <w:hideMark/>
          </w:tcPr>
          <w:p w14:paraId="614F62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3D8C109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4165CE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79A6FD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1.25</w:t>
            </w:r>
          </w:p>
        </w:tc>
        <w:tc>
          <w:tcPr>
            <w:tcW w:w="171" w:type="dxa"/>
            <w:shd w:val="clear" w:color="auto" w:fill="FFFFFF"/>
            <w:noWrap/>
            <w:tcMar>
              <w:top w:w="15" w:type="dxa"/>
              <w:left w:w="0" w:type="dxa"/>
              <w:bottom w:w="0" w:type="dxa"/>
              <w:right w:w="15" w:type="dxa"/>
            </w:tcMar>
            <w:vAlign w:val="bottom"/>
            <w:hideMark/>
          </w:tcPr>
          <w:p w14:paraId="164DF4A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47AEE53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1B9C13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4DB22D6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0.98</w:t>
            </w:r>
          </w:p>
        </w:tc>
        <w:tc>
          <w:tcPr>
            <w:tcW w:w="171" w:type="dxa"/>
            <w:shd w:val="clear" w:color="auto" w:fill="FFFFFF"/>
            <w:noWrap/>
            <w:tcMar>
              <w:top w:w="15" w:type="dxa"/>
              <w:left w:w="0" w:type="dxa"/>
              <w:bottom w:w="0" w:type="dxa"/>
              <w:right w:w="15" w:type="dxa"/>
            </w:tcMar>
            <w:vAlign w:val="bottom"/>
            <w:hideMark/>
          </w:tcPr>
          <w:p w14:paraId="4784530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FFFFFF"/>
            <w:tcMar>
              <w:top w:w="15" w:type="dxa"/>
              <w:left w:w="0" w:type="dxa"/>
              <w:bottom w:w="0" w:type="dxa"/>
              <w:right w:w="15" w:type="dxa"/>
            </w:tcMar>
            <w:vAlign w:val="bottom"/>
            <w:hideMark/>
          </w:tcPr>
          <w:p w14:paraId="3A73385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FFFFFF"/>
            <w:noWrap/>
            <w:tcMar>
              <w:top w:w="15" w:type="dxa"/>
              <w:left w:w="0" w:type="dxa"/>
              <w:bottom w:w="0" w:type="dxa"/>
              <w:right w:w="15" w:type="dxa"/>
            </w:tcMar>
            <w:vAlign w:val="bottom"/>
            <w:hideMark/>
          </w:tcPr>
          <w:p w14:paraId="7145764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FFFFFF"/>
            <w:noWrap/>
            <w:tcMar>
              <w:top w:w="15" w:type="dxa"/>
              <w:left w:w="0" w:type="dxa"/>
              <w:bottom w:w="0" w:type="dxa"/>
              <w:right w:w="15" w:type="dxa"/>
            </w:tcMar>
            <w:vAlign w:val="bottom"/>
            <w:hideMark/>
          </w:tcPr>
          <w:p w14:paraId="10D6D09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1.78</w:t>
            </w:r>
          </w:p>
        </w:tc>
        <w:tc>
          <w:tcPr>
            <w:tcW w:w="171" w:type="dxa"/>
            <w:shd w:val="clear" w:color="auto" w:fill="FFFFFF"/>
            <w:noWrap/>
            <w:tcMar>
              <w:top w:w="15" w:type="dxa"/>
              <w:left w:w="0" w:type="dxa"/>
              <w:bottom w:w="0" w:type="dxa"/>
              <w:right w:w="15" w:type="dxa"/>
            </w:tcMar>
            <w:vAlign w:val="bottom"/>
            <w:hideMark/>
          </w:tcPr>
          <w:p w14:paraId="1C0C17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1F07BDD3" w14:textId="77777777" w:rsidTr="00AC4931">
        <w:tc>
          <w:tcPr>
            <w:tcW w:w="10495" w:type="dxa"/>
            <w:shd w:val="clear" w:color="auto" w:fill="CFF0FC"/>
            <w:tcMar>
              <w:top w:w="15" w:type="dxa"/>
              <w:left w:w="0" w:type="dxa"/>
              <w:bottom w:w="0" w:type="dxa"/>
              <w:right w:w="15" w:type="dxa"/>
            </w:tcMar>
            <w:hideMark/>
          </w:tcPr>
          <w:p w14:paraId="0D7F875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Dividends paid</w:t>
            </w:r>
          </w:p>
        </w:tc>
        <w:tc>
          <w:tcPr>
            <w:tcW w:w="171" w:type="dxa"/>
            <w:shd w:val="clear" w:color="auto" w:fill="CFF0FC"/>
            <w:noWrap/>
            <w:tcMar>
              <w:top w:w="15" w:type="dxa"/>
              <w:left w:w="0" w:type="dxa"/>
              <w:bottom w:w="0" w:type="dxa"/>
              <w:right w:w="15" w:type="dxa"/>
            </w:tcMar>
            <w:vAlign w:val="bottom"/>
            <w:hideMark/>
          </w:tcPr>
          <w:p w14:paraId="70772F4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275E86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0.62</w:t>
            </w:r>
          </w:p>
        </w:tc>
        <w:tc>
          <w:tcPr>
            <w:tcW w:w="171" w:type="dxa"/>
            <w:shd w:val="clear" w:color="auto" w:fill="CFF0FC"/>
            <w:noWrap/>
            <w:tcMar>
              <w:top w:w="15" w:type="dxa"/>
              <w:left w:w="0" w:type="dxa"/>
              <w:bottom w:w="0" w:type="dxa"/>
              <w:right w:w="15" w:type="dxa"/>
            </w:tcMar>
            <w:vAlign w:val="bottom"/>
            <w:hideMark/>
          </w:tcPr>
          <w:p w14:paraId="706DBF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3D539E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4BF2238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2348C62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0.62</w:t>
            </w:r>
          </w:p>
        </w:tc>
        <w:tc>
          <w:tcPr>
            <w:tcW w:w="171" w:type="dxa"/>
            <w:shd w:val="clear" w:color="auto" w:fill="CFF0FC"/>
            <w:noWrap/>
            <w:tcMar>
              <w:top w:w="15" w:type="dxa"/>
              <w:left w:w="0" w:type="dxa"/>
              <w:bottom w:w="0" w:type="dxa"/>
              <w:right w:w="15" w:type="dxa"/>
            </w:tcMar>
            <w:vAlign w:val="bottom"/>
            <w:hideMark/>
          </w:tcPr>
          <w:p w14:paraId="39E6D2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6726A73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50EA72C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4D41144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0.62</w:t>
            </w:r>
          </w:p>
        </w:tc>
        <w:tc>
          <w:tcPr>
            <w:tcW w:w="171" w:type="dxa"/>
            <w:shd w:val="clear" w:color="auto" w:fill="CFF0FC"/>
            <w:noWrap/>
            <w:tcMar>
              <w:top w:w="15" w:type="dxa"/>
              <w:left w:w="0" w:type="dxa"/>
              <w:bottom w:w="0" w:type="dxa"/>
              <w:right w:w="15" w:type="dxa"/>
            </w:tcMar>
            <w:vAlign w:val="bottom"/>
            <w:hideMark/>
          </w:tcPr>
          <w:p w14:paraId="54B4C50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30" w:type="dxa"/>
            <w:shd w:val="clear" w:color="auto" w:fill="CFF0FC"/>
            <w:tcMar>
              <w:top w:w="15" w:type="dxa"/>
              <w:left w:w="0" w:type="dxa"/>
              <w:bottom w:w="0" w:type="dxa"/>
              <w:right w:w="15" w:type="dxa"/>
            </w:tcMar>
            <w:vAlign w:val="bottom"/>
            <w:hideMark/>
          </w:tcPr>
          <w:p w14:paraId="35F7B5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71" w:type="dxa"/>
            <w:shd w:val="clear" w:color="auto" w:fill="CFF0FC"/>
            <w:noWrap/>
            <w:tcMar>
              <w:top w:w="15" w:type="dxa"/>
              <w:left w:w="0" w:type="dxa"/>
              <w:bottom w:w="0" w:type="dxa"/>
              <w:right w:w="15" w:type="dxa"/>
            </w:tcMar>
            <w:vAlign w:val="bottom"/>
            <w:hideMark/>
          </w:tcPr>
          <w:p w14:paraId="7B06308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441" w:type="dxa"/>
            <w:shd w:val="clear" w:color="auto" w:fill="CFF0FC"/>
            <w:noWrap/>
            <w:tcMar>
              <w:top w:w="15" w:type="dxa"/>
              <w:left w:w="0" w:type="dxa"/>
              <w:bottom w:w="0" w:type="dxa"/>
              <w:right w:w="15" w:type="dxa"/>
            </w:tcMar>
            <w:vAlign w:val="bottom"/>
            <w:hideMark/>
          </w:tcPr>
          <w:p w14:paraId="378131B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0.62</w:t>
            </w:r>
          </w:p>
        </w:tc>
        <w:tc>
          <w:tcPr>
            <w:tcW w:w="171" w:type="dxa"/>
            <w:shd w:val="clear" w:color="auto" w:fill="CFF0FC"/>
            <w:noWrap/>
            <w:tcMar>
              <w:top w:w="15" w:type="dxa"/>
              <w:left w:w="0" w:type="dxa"/>
              <w:bottom w:w="0" w:type="dxa"/>
              <w:right w:w="15" w:type="dxa"/>
            </w:tcMar>
            <w:vAlign w:val="bottom"/>
            <w:hideMark/>
          </w:tcPr>
          <w:p w14:paraId="725E1991"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0709FBBB" w14:textId="77777777" w:rsidR="00AC4931" w:rsidRPr="00AC4931" w:rsidRDefault="00AC4931" w:rsidP="00AC4931">
      <w:pPr>
        <w:widowControl/>
        <w:rPr>
          <w:rFonts w:ascii="宋体" w:eastAsia="宋体" w:hAnsi="宋体" w:cs="宋体"/>
          <w:b/>
          <w:bCs/>
          <w:kern w:val="0"/>
          <w:sz w:val="24"/>
          <w:szCs w:val="24"/>
        </w:rPr>
      </w:pPr>
      <w:r w:rsidRPr="00AC4931">
        <w:rPr>
          <w:rFonts w:ascii="宋体" w:eastAsia="宋体" w:hAnsi="宋体" w:cs="宋体"/>
          <w:b/>
          <w:bCs/>
          <w:kern w:val="0"/>
          <w:sz w:val="24"/>
          <w:szCs w:val="24"/>
        </w:rPr>
        <w:t> </w:t>
      </w:r>
    </w:p>
    <w:p w14:paraId="250AF1A1" w14:textId="77777777" w:rsidR="00AC4931" w:rsidRPr="00AC4931" w:rsidRDefault="00AC4931" w:rsidP="00AC4931">
      <w:pPr>
        <w:widowControl/>
        <w:spacing w:before="100"/>
        <w:rPr>
          <w:rFonts w:ascii="Arial" w:eastAsia="宋体" w:hAnsi="Arial" w:cs="Arial"/>
          <w:b/>
          <w:bCs/>
          <w:kern w:val="0"/>
          <w:sz w:val="18"/>
          <w:szCs w:val="18"/>
        </w:rPr>
      </w:pPr>
      <w:r w:rsidRPr="00AC4931">
        <w:rPr>
          <w:rFonts w:ascii="Arial" w:eastAsia="宋体" w:hAnsi="Arial" w:cs="Arial"/>
          <w:b/>
          <w:bCs/>
          <w:kern w:val="0"/>
          <w:sz w:val="18"/>
          <w:szCs w:val="18"/>
        </w:rPr>
        <w:t>Quarterly movements</w:t>
      </w:r>
    </w:p>
    <w:p w14:paraId="2FE465E9"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lastRenderedPageBreak/>
        <w:t>In the second quarter of 2020, COVID-19 negatively impacted Net Income due to several plant closures as customers’ plants were also closed for several weeks and operated at low levels during Q2. A large number of customer plants were closed in April and parts of May, followed by a ramp-up in June. According to IHS, global light vehicle production (LVP) declined by 45% in Q2 2020 compared to Q2 2019. In addition to the decline in global LVP, the slow and volatile restart and ramp-up of production had a significant impact on our sales and profitability in the first half of 2020.</w:t>
      </w:r>
    </w:p>
    <w:p w14:paraId="68266CDD"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EXCHANGE RATES FOR KEY CURRENCIES VS. U.S.</w:t>
      </w:r>
    </w:p>
    <w:p w14:paraId="252B569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3102"/>
        <w:gridCol w:w="192"/>
        <w:gridCol w:w="200"/>
        <w:gridCol w:w="1181"/>
        <w:gridCol w:w="200"/>
        <w:gridCol w:w="193"/>
        <w:gridCol w:w="201"/>
        <w:gridCol w:w="1181"/>
        <w:gridCol w:w="201"/>
        <w:gridCol w:w="193"/>
        <w:gridCol w:w="201"/>
        <w:gridCol w:w="1182"/>
        <w:gridCol w:w="201"/>
        <w:gridCol w:w="193"/>
        <w:gridCol w:w="201"/>
        <w:gridCol w:w="1181"/>
        <w:gridCol w:w="201"/>
        <w:gridCol w:w="193"/>
        <w:gridCol w:w="201"/>
        <w:gridCol w:w="1182"/>
        <w:gridCol w:w="201"/>
        <w:gridCol w:w="193"/>
        <w:gridCol w:w="201"/>
        <w:gridCol w:w="1181"/>
        <w:gridCol w:w="201"/>
        <w:gridCol w:w="193"/>
        <w:gridCol w:w="201"/>
        <w:gridCol w:w="1182"/>
        <w:gridCol w:w="201"/>
        <w:gridCol w:w="193"/>
        <w:gridCol w:w="201"/>
        <w:gridCol w:w="1182"/>
        <w:gridCol w:w="201"/>
        <w:gridCol w:w="193"/>
        <w:gridCol w:w="201"/>
        <w:gridCol w:w="1182"/>
        <w:gridCol w:w="201"/>
        <w:gridCol w:w="193"/>
        <w:gridCol w:w="201"/>
        <w:gridCol w:w="1065"/>
        <w:gridCol w:w="67"/>
      </w:tblGrid>
      <w:tr w:rsidR="00AC4931" w:rsidRPr="00AC4931" w14:paraId="494858D4" w14:textId="77777777" w:rsidTr="00AC4931">
        <w:tc>
          <w:tcPr>
            <w:tcW w:w="3057" w:type="dxa"/>
            <w:shd w:val="clear" w:color="auto" w:fill="FFFFFF"/>
            <w:tcMar>
              <w:top w:w="15" w:type="dxa"/>
              <w:left w:w="0" w:type="dxa"/>
              <w:bottom w:w="0" w:type="dxa"/>
              <w:right w:w="15" w:type="dxa"/>
            </w:tcMar>
            <w:vAlign w:val="bottom"/>
            <w:hideMark/>
          </w:tcPr>
          <w:p w14:paraId="0AA5C5CF" w14:textId="77777777" w:rsidR="00AC4931" w:rsidRPr="00AC4931" w:rsidRDefault="00AC4931" w:rsidP="00AC4931">
            <w:pPr>
              <w:widowControl/>
              <w:jc w:val="center"/>
              <w:rPr>
                <w:rFonts w:ascii="Arial" w:eastAsia="宋体" w:hAnsi="Arial" w:cs="Arial" w:hint="eastAsia"/>
                <w:kern w:val="0"/>
                <w:sz w:val="16"/>
                <w:szCs w:val="16"/>
              </w:rPr>
            </w:pPr>
            <w:r w:rsidRPr="00AC4931">
              <w:rPr>
                <w:rFonts w:ascii="Arial" w:eastAsia="宋体" w:hAnsi="Arial" w:cs="Arial"/>
                <w:kern w:val="0"/>
                <w:sz w:val="16"/>
                <w:szCs w:val="16"/>
              </w:rPr>
              <w:t> </w:t>
            </w:r>
          </w:p>
        </w:tc>
        <w:tc>
          <w:tcPr>
            <w:tcW w:w="190" w:type="dxa"/>
            <w:shd w:val="clear" w:color="auto" w:fill="FFFFFF"/>
            <w:tcMar>
              <w:top w:w="15" w:type="dxa"/>
              <w:left w:w="0" w:type="dxa"/>
              <w:bottom w:w="0" w:type="dxa"/>
              <w:right w:w="15" w:type="dxa"/>
            </w:tcMar>
            <w:vAlign w:val="bottom"/>
            <w:hideMark/>
          </w:tcPr>
          <w:p w14:paraId="14A25FB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shd w:val="clear" w:color="auto" w:fill="FFFFFF"/>
            <w:tcMar>
              <w:top w:w="15" w:type="dxa"/>
              <w:left w:w="0" w:type="dxa"/>
              <w:bottom w:w="0" w:type="dxa"/>
              <w:right w:w="15" w:type="dxa"/>
            </w:tcMar>
            <w:vAlign w:val="bottom"/>
            <w:hideMark/>
          </w:tcPr>
          <w:p w14:paraId="343E5D80"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0" w:type="dxa"/>
            <w:shd w:val="clear" w:color="auto" w:fill="FFFFFF"/>
            <w:noWrap/>
            <w:tcMar>
              <w:top w:w="15" w:type="dxa"/>
              <w:left w:w="0" w:type="dxa"/>
              <w:bottom w:w="0" w:type="dxa"/>
              <w:right w:w="15" w:type="dxa"/>
            </w:tcMar>
            <w:vAlign w:val="bottom"/>
            <w:hideMark/>
          </w:tcPr>
          <w:p w14:paraId="5795BA8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2622EF9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3" w:type="dxa"/>
            <w:gridSpan w:val="2"/>
            <w:shd w:val="clear" w:color="auto" w:fill="FFFFFF"/>
            <w:tcMar>
              <w:top w:w="15" w:type="dxa"/>
              <w:left w:w="0" w:type="dxa"/>
              <w:bottom w:w="0" w:type="dxa"/>
              <w:right w:w="15" w:type="dxa"/>
            </w:tcMar>
            <w:vAlign w:val="bottom"/>
            <w:hideMark/>
          </w:tcPr>
          <w:p w14:paraId="254E666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2020</w:t>
            </w:r>
          </w:p>
        </w:tc>
        <w:tc>
          <w:tcPr>
            <w:tcW w:w="190" w:type="dxa"/>
            <w:shd w:val="clear" w:color="auto" w:fill="FFFFFF"/>
            <w:noWrap/>
            <w:tcMar>
              <w:top w:w="15" w:type="dxa"/>
              <w:left w:w="0" w:type="dxa"/>
              <w:bottom w:w="0" w:type="dxa"/>
              <w:right w:w="15" w:type="dxa"/>
            </w:tcMar>
            <w:vAlign w:val="bottom"/>
            <w:hideMark/>
          </w:tcPr>
          <w:p w14:paraId="4BBC0CA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083E778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shd w:val="clear" w:color="auto" w:fill="FFFFFF"/>
            <w:tcMar>
              <w:top w:w="15" w:type="dxa"/>
              <w:left w:w="0" w:type="dxa"/>
              <w:bottom w:w="0" w:type="dxa"/>
              <w:right w:w="15" w:type="dxa"/>
            </w:tcMar>
            <w:vAlign w:val="bottom"/>
            <w:hideMark/>
          </w:tcPr>
          <w:p w14:paraId="5F7D32F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0" w:type="dxa"/>
            <w:shd w:val="clear" w:color="auto" w:fill="FFFFFF"/>
            <w:noWrap/>
            <w:tcMar>
              <w:top w:w="15" w:type="dxa"/>
              <w:left w:w="0" w:type="dxa"/>
              <w:bottom w:w="0" w:type="dxa"/>
              <w:right w:w="15" w:type="dxa"/>
            </w:tcMar>
            <w:vAlign w:val="bottom"/>
            <w:hideMark/>
          </w:tcPr>
          <w:p w14:paraId="6119FAC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3CB6D9EB"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3" w:type="dxa"/>
            <w:gridSpan w:val="2"/>
            <w:shd w:val="clear" w:color="auto" w:fill="FFFFFF"/>
            <w:tcMar>
              <w:top w:w="15" w:type="dxa"/>
              <w:left w:w="0" w:type="dxa"/>
              <w:bottom w:w="0" w:type="dxa"/>
              <w:right w:w="15" w:type="dxa"/>
            </w:tcMar>
            <w:vAlign w:val="bottom"/>
            <w:hideMark/>
          </w:tcPr>
          <w:p w14:paraId="4DD2F19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2019</w:t>
            </w:r>
          </w:p>
        </w:tc>
        <w:tc>
          <w:tcPr>
            <w:tcW w:w="190" w:type="dxa"/>
            <w:shd w:val="clear" w:color="auto" w:fill="FFFFFF"/>
            <w:noWrap/>
            <w:tcMar>
              <w:top w:w="15" w:type="dxa"/>
              <w:left w:w="0" w:type="dxa"/>
              <w:bottom w:w="0" w:type="dxa"/>
              <w:right w:w="15" w:type="dxa"/>
            </w:tcMar>
            <w:vAlign w:val="bottom"/>
            <w:hideMark/>
          </w:tcPr>
          <w:p w14:paraId="308B63A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6E7A0AA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shd w:val="clear" w:color="auto" w:fill="FFFFFF"/>
            <w:tcMar>
              <w:top w:w="15" w:type="dxa"/>
              <w:left w:w="0" w:type="dxa"/>
              <w:bottom w:w="0" w:type="dxa"/>
              <w:right w:w="15" w:type="dxa"/>
            </w:tcMar>
            <w:vAlign w:val="bottom"/>
            <w:hideMark/>
          </w:tcPr>
          <w:p w14:paraId="5AF7897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90" w:type="dxa"/>
            <w:shd w:val="clear" w:color="auto" w:fill="FFFFFF"/>
            <w:noWrap/>
            <w:tcMar>
              <w:top w:w="15" w:type="dxa"/>
              <w:left w:w="0" w:type="dxa"/>
              <w:bottom w:w="0" w:type="dxa"/>
              <w:right w:w="15" w:type="dxa"/>
            </w:tcMar>
            <w:vAlign w:val="bottom"/>
            <w:hideMark/>
          </w:tcPr>
          <w:p w14:paraId="6561DAD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761676C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3" w:type="dxa"/>
            <w:gridSpan w:val="2"/>
            <w:shd w:val="clear" w:color="auto" w:fill="FFFFFF"/>
            <w:tcMar>
              <w:top w:w="15" w:type="dxa"/>
              <w:left w:w="0" w:type="dxa"/>
              <w:bottom w:w="0" w:type="dxa"/>
              <w:right w:w="15" w:type="dxa"/>
            </w:tcMar>
            <w:vAlign w:val="bottom"/>
            <w:hideMark/>
          </w:tcPr>
          <w:p w14:paraId="56D77AF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2018</w:t>
            </w:r>
          </w:p>
        </w:tc>
        <w:tc>
          <w:tcPr>
            <w:tcW w:w="190" w:type="dxa"/>
            <w:shd w:val="clear" w:color="auto" w:fill="FFFFFF"/>
            <w:noWrap/>
            <w:tcMar>
              <w:top w:w="15" w:type="dxa"/>
              <w:left w:w="0" w:type="dxa"/>
              <w:bottom w:w="0" w:type="dxa"/>
              <w:right w:w="15" w:type="dxa"/>
            </w:tcMar>
            <w:vAlign w:val="bottom"/>
            <w:hideMark/>
          </w:tcPr>
          <w:p w14:paraId="23966639"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5BDC6D8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shd w:val="clear" w:color="auto" w:fill="FFFFFF"/>
            <w:tcMar>
              <w:top w:w="15" w:type="dxa"/>
              <w:left w:w="0" w:type="dxa"/>
              <w:bottom w:w="0" w:type="dxa"/>
              <w:right w:w="15" w:type="dxa"/>
            </w:tcMar>
            <w:vAlign w:val="bottom"/>
            <w:hideMark/>
          </w:tcPr>
          <w:p w14:paraId="32629F3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2017</w:t>
            </w:r>
          </w:p>
        </w:tc>
        <w:tc>
          <w:tcPr>
            <w:tcW w:w="190" w:type="dxa"/>
            <w:shd w:val="clear" w:color="auto" w:fill="FFFFFF"/>
            <w:noWrap/>
            <w:tcMar>
              <w:top w:w="15" w:type="dxa"/>
              <w:left w:w="0" w:type="dxa"/>
              <w:bottom w:w="0" w:type="dxa"/>
              <w:right w:w="15" w:type="dxa"/>
            </w:tcMar>
            <w:vAlign w:val="bottom"/>
            <w:hideMark/>
          </w:tcPr>
          <w:p w14:paraId="0C82222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7763DAB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shd w:val="clear" w:color="auto" w:fill="FFFFFF"/>
            <w:tcMar>
              <w:top w:w="15" w:type="dxa"/>
              <w:left w:w="0" w:type="dxa"/>
              <w:bottom w:w="0" w:type="dxa"/>
              <w:right w:w="15" w:type="dxa"/>
            </w:tcMar>
            <w:vAlign w:val="bottom"/>
            <w:hideMark/>
          </w:tcPr>
          <w:p w14:paraId="4CCBC94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2017</w:t>
            </w:r>
          </w:p>
        </w:tc>
        <w:tc>
          <w:tcPr>
            <w:tcW w:w="190" w:type="dxa"/>
            <w:shd w:val="clear" w:color="auto" w:fill="FFFFFF"/>
            <w:noWrap/>
            <w:tcMar>
              <w:top w:w="15" w:type="dxa"/>
              <w:left w:w="0" w:type="dxa"/>
              <w:bottom w:w="0" w:type="dxa"/>
              <w:right w:w="15" w:type="dxa"/>
            </w:tcMar>
            <w:vAlign w:val="bottom"/>
            <w:hideMark/>
          </w:tcPr>
          <w:p w14:paraId="40F54DE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1DB9AD9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shd w:val="clear" w:color="auto" w:fill="FFFFFF"/>
            <w:tcMar>
              <w:top w:w="15" w:type="dxa"/>
              <w:left w:w="0" w:type="dxa"/>
              <w:bottom w:w="0" w:type="dxa"/>
              <w:right w:w="15" w:type="dxa"/>
            </w:tcMar>
            <w:vAlign w:val="bottom"/>
            <w:hideMark/>
          </w:tcPr>
          <w:p w14:paraId="7744850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2016</w:t>
            </w:r>
          </w:p>
        </w:tc>
        <w:tc>
          <w:tcPr>
            <w:tcW w:w="190" w:type="dxa"/>
            <w:shd w:val="clear" w:color="auto" w:fill="FFFFFF"/>
            <w:noWrap/>
            <w:tcMar>
              <w:top w:w="15" w:type="dxa"/>
              <w:left w:w="0" w:type="dxa"/>
              <w:bottom w:w="0" w:type="dxa"/>
              <w:right w:w="15" w:type="dxa"/>
            </w:tcMar>
            <w:vAlign w:val="bottom"/>
            <w:hideMark/>
          </w:tcPr>
          <w:p w14:paraId="1AB0CA0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0B42DF3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239" w:type="dxa"/>
            <w:gridSpan w:val="2"/>
            <w:shd w:val="clear" w:color="auto" w:fill="FFFFFF"/>
            <w:tcMar>
              <w:top w:w="15" w:type="dxa"/>
              <w:left w:w="0" w:type="dxa"/>
              <w:bottom w:w="0" w:type="dxa"/>
              <w:right w:w="15" w:type="dxa"/>
            </w:tcMar>
            <w:vAlign w:val="bottom"/>
            <w:hideMark/>
          </w:tcPr>
          <w:p w14:paraId="1F78DED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2016</w:t>
            </w:r>
          </w:p>
        </w:tc>
        <w:tc>
          <w:tcPr>
            <w:tcW w:w="53" w:type="dxa"/>
            <w:shd w:val="clear" w:color="auto" w:fill="FFFFFF"/>
            <w:noWrap/>
            <w:tcMar>
              <w:top w:w="15" w:type="dxa"/>
              <w:left w:w="0" w:type="dxa"/>
              <w:bottom w:w="0" w:type="dxa"/>
              <w:right w:w="15" w:type="dxa"/>
            </w:tcMar>
            <w:vAlign w:val="bottom"/>
            <w:hideMark/>
          </w:tcPr>
          <w:p w14:paraId="7B09FD5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4E2BE2D5" w14:textId="77777777" w:rsidTr="00AC4931">
        <w:tc>
          <w:tcPr>
            <w:tcW w:w="3057" w:type="dxa"/>
            <w:shd w:val="clear" w:color="auto" w:fill="FFFFFF"/>
            <w:tcMar>
              <w:top w:w="15" w:type="dxa"/>
              <w:left w:w="0" w:type="dxa"/>
              <w:bottom w:w="0" w:type="dxa"/>
              <w:right w:w="15" w:type="dxa"/>
            </w:tcMar>
            <w:vAlign w:val="bottom"/>
            <w:hideMark/>
          </w:tcPr>
          <w:p w14:paraId="7784AAA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3792FF1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tcBorders>
              <w:bottom w:val="single" w:sz="6" w:space="0" w:color="000000"/>
            </w:tcBorders>
            <w:shd w:val="clear" w:color="auto" w:fill="FFFFFF"/>
            <w:tcMar>
              <w:top w:w="15" w:type="dxa"/>
              <w:left w:w="0" w:type="dxa"/>
              <w:bottom w:w="0" w:type="dxa"/>
              <w:right w:w="15" w:type="dxa"/>
            </w:tcMar>
            <w:vAlign w:val="bottom"/>
            <w:hideMark/>
          </w:tcPr>
          <w:p w14:paraId="1D50E11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Average</w:t>
            </w:r>
          </w:p>
        </w:tc>
        <w:tc>
          <w:tcPr>
            <w:tcW w:w="190" w:type="dxa"/>
            <w:shd w:val="clear" w:color="auto" w:fill="FFFFFF"/>
            <w:noWrap/>
            <w:tcMar>
              <w:top w:w="15" w:type="dxa"/>
              <w:left w:w="0" w:type="dxa"/>
              <w:bottom w:w="0" w:type="dxa"/>
              <w:right w:w="15" w:type="dxa"/>
            </w:tcMar>
            <w:vAlign w:val="bottom"/>
            <w:hideMark/>
          </w:tcPr>
          <w:p w14:paraId="42D8BB2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0F9081B1"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3" w:type="dxa"/>
            <w:gridSpan w:val="2"/>
            <w:tcBorders>
              <w:bottom w:val="single" w:sz="6" w:space="0" w:color="000000"/>
            </w:tcBorders>
            <w:shd w:val="clear" w:color="auto" w:fill="FFFFFF"/>
            <w:tcMar>
              <w:top w:w="15" w:type="dxa"/>
              <w:left w:w="0" w:type="dxa"/>
              <w:bottom w:w="0" w:type="dxa"/>
              <w:right w:w="15" w:type="dxa"/>
            </w:tcMar>
            <w:vAlign w:val="bottom"/>
            <w:hideMark/>
          </w:tcPr>
          <w:p w14:paraId="35CC117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 end</w:t>
            </w:r>
          </w:p>
        </w:tc>
        <w:tc>
          <w:tcPr>
            <w:tcW w:w="190" w:type="dxa"/>
            <w:shd w:val="clear" w:color="auto" w:fill="FFFFFF"/>
            <w:noWrap/>
            <w:tcMar>
              <w:top w:w="15" w:type="dxa"/>
              <w:left w:w="0" w:type="dxa"/>
              <w:bottom w:w="0" w:type="dxa"/>
              <w:right w:w="15" w:type="dxa"/>
            </w:tcMar>
            <w:vAlign w:val="bottom"/>
            <w:hideMark/>
          </w:tcPr>
          <w:p w14:paraId="70C68B2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0BD4FBE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tcBorders>
              <w:bottom w:val="single" w:sz="6" w:space="0" w:color="000000"/>
            </w:tcBorders>
            <w:shd w:val="clear" w:color="auto" w:fill="FFFFFF"/>
            <w:tcMar>
              <w:top w:w="15" w:type="dxa"/>
              <w:left w:w="0" w:type="dxa"/>
              <w:bottom w:w="0" w:type="dxa"/>
              <w:right w:w="15" w:type="dxa"/>
            </w:tcMar>
            <w:vAlign w:val="bottom"/>
            <w:hideMark/>
          </w:tcPr>
          <w:p w14:paraId="04CFE73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Average</w:t>
            </w:r>
          </w:p>
        </w:tc>
        <w:tc>
          <w:tcPr>
            <w:tcW w:w="190" w:type="dxa"/>
            <w:shd w:val="clear" w:color="auto" w:fill="FFFFFF"/>
            <w:noWrap/>
            <w:tcMar>
              <w:top w:w="15" w:type="dxa"/>
              <w:left w:w="0" w:type="dxa"/>
              <w:bottom w:w="0" w:type="dxa"/>
              <w:right w:w="15" w:type="dxa"/>
            </w:tcMar>
            <w:vAlign w:val="bottom"/>
            <w:hideMark/>
          </w:tcPr>
          <w:p w14:paraId="36E6FCB5"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567974A8"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3" w:type="dxa"/>
            <w:gridSpan w:val="2"/>
            <w:tcBorders>
              <w:bottom w:val="single" w:sz="6" w:space="0" w:color="000000"/>
            </w:tcBorders>
            <w:shd w:val="clear" w:color="auto" w:fill="FFFFFF"/>
            <w:tcMar>
              <w:top w:w="15" w:type="dxa"/>
              <w:left w:w="0" w:type="dxa"/>
              <w:bottom w:w="0" w:type="dxa"/>
              <w:right w:w="15" w:type="dxa"/>
            </w:tcMar>
            <w:vAlign w:val="bottom"/>
            <w:hideMark/>
          </w:tcPr>
          <w:p w14:paraId="0C7D471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 end</w:t>
            </w:r>
          </w:p>
        </w:tc>
        <w:tc>
          <w:tcPr>
            <w:tcW w:w="190" w:type="dxa"/>
            <w:shd w:val="clear" w:color="auto" w:fill="FFFFFF"/>
            <w:noWrap/>
            <w:tcMar>
              <w:top w:w="15" w:type="dxa"/>
              <w:left w:w="0" w:type="dxa"/>
              <w:bottom w:w="0" w:type="dxa"/>
              <w:right w:w="15" w:type="dxa"/>
            </w:tcMar>
            <w:vAlign w:val="bottom"/>
            <w:hideMark/>
          </w:tcPr>
          <w:p w14:paraId="3D1E2DE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49D4C9BE"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tcBorders>
              <w:bottom w:val="single" w:sz="6" w:space="0" w:color="000000"/>
            </w:tcBorders>
            <w:shd w:val="clear" w:color="auto" w:fill="FFFFFF"/>
            <w:tcMar>
              <w:top w:w="15" w:type="dxa"/>
              <w:left w:w="0" w:type="dxa"/>
              <w:bottom w:w="0" w:type="dxa"/>
              <w:right w:w="15" w:type="dxa"/>
            </w:tcMar>
            <w:vAlign w:val="bottom"/>
            <w:hideMark/>
          </w:tcPr>
          <w:p w14:paraId="034C666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Average</w:t>
            </w:r>
          </w:p>
        </w:tc>
        <w:tc>
          <w:tcPr>
            <w:tcW w:w="190" w:type="dxa"/>
            <w:shd w:val="clear" w:color="auto" w:fill="FFFFFF"/>
            <w:noWrap/>
            <w:tcMar>
              <w:top w:w="15" w:type="dxa"/>
              <w:left w:w="0" w:type="dxa"/>
              <w:bottom w:w="0" w:type="dxa"/>
              <w:right w:w="15" w:type="dxa"/>
            </w:tcMar>
            <w:vAlign w:val="bottom"/>
            <w:hideMark/>
          </w:tcPr>
          <w:p w14:paraId="250131D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39E2F12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3" w:type="dxa"/>
            <w:gridSpan w:val="2"/>
            <w:tcBorders>
              <w:bottom w:val="single" w:sz="6" w:space="0" w:color="000000"/>
            </w:tcBorders>
            <w:shd w:val="clear" w:color="auto" w:fill="FFFFFF"/>
            <w:tcMar>
              <w:top w:w="15" w:type="dxa"/>
              <w:left w:w="0" w:type="dxa"/>
              <w:bottom w:w="0" w:type="dxa"/>
              <w:right w:w="15" w:type="dxa"/>
            </w:tcMar>
            <w:vAlign w:val="bottom"/>
            <w:hideMark/>
          </w:tcPr>
          <w:p w14:paraId="524B794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 end</w:t>
            </w:r>
          </w:p>
        </w:tc>
        <w:tc>
          <w:tcPr>
            <w:tcW w:w="190" w:type="dxa"/>
            <w:shd w:val="clear" w:color="auto" w:fill="FFFFFF"/>
            <w:noWrap/>
            <w:tcMar>
              <w:top w:w="15" w:type="dxa"/>
              <w:left w:w="0" w:type="dxa"/>
              <w:bottom w:w="0" w:type="dxa"/>
              <w:right w:w="15" w:type="dxa"/>
            </w:tcMar>
            <w:vAlign w:val="bottom"/>
            <w:hideMark/>
          </w:tcPr>
          <w:p w14:paraId="3477A30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6CB548E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tcBorders>
              <w:bottom w:val="single" w:sz="6" w:space="0" w:color="000000"/>
            </w:tcBorders>
            <w:shd w:val="clear" w:color="auto" w:fill="FFFFFF"/>
            <w:tcMar>
              <w:top w:w="15" w:type="dxa"/>
              <w:left w:w="0" w:type="dxa"/>
              <w:bottom w:w="0" w:type="dxa"/>
              <w:right w:w="15" w:type="dxa"/>
            </w:tcMar>
            <w:vAlign w:val="bottom"/>
            <w:hideMark/>
          </w:tcPr>
          <w:p w14:paraId="01B9F90C"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Average</w:t>
            </w:r>
          </w:p>
        </w:tc>
        <w:tc>
          <w:tcPr>
            <w:tcW w:w="190" w:type="dxa"/>
            <w:shd w:val="clear" w:color="auto" w:fill="FFFFFF"/>
            <w:noWrap/>
            <w:tcMar>
              <w:top w:w="15" w:type="dxa"/>
              <w:left w:w="0" w:type="dxa"/>
              <w:bottom w:w="0" w:type="dxa"/>
              <w:right w:w="15" w:type="dxa"/>
            </w:tcMar>
            <w:vAlign w:val="bottom"/>
            <w:hideMark/>
          </w:tcPr>
          <w:p w14:paraId="5693E70C"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tcBorders>
              <w:bottom w:val="single" w:sz="6" w:space="0" w:color="000000"/>
            </w:tcBorders>
            <w:shd w:val="clear" w:color="auto" w:fill="FFFFFF"/>
            <w:tcMar>
              <w:top w:w="15" w:type="dxa"/>
              <w:left w:w="0" w:type="dxa"/>
              <w:bottom w:w="0" w:type="dxa"/>
              <w:right w:w="15" w:type="dxa"/>
            </w:tcMar>
            <w:vAlign w:val="bottom"/>
            <w:hideMark/>
          </w:tcPr>
          <w:p w14:paraId="03139F37"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tcBorders>
              <w:bottom w:val="single" w:sz="6" w:space="0" w:color="000000"/>
            </w:tcBorders>
            <w:shd w:val="clear" w:color="auto" w:fill="FFFFFF"/>
            <w:tcMar>
              <w:top w:w="15" w:type="dxa"/>
              <w:left w:w="0" w:type="dxa"/>
              <w:bottom w:w="0" w:type="dxa"/>
              <w:right w:w="15" w:type="dxa"/>
            </w:tcMar>
            <w:vAlign w:val="bottom"/>
            <w:hideMark/>
          </w:tcPr>
          <w:p w14:paraId="22CFC205"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 end</w:t>
            </w:r>
          </w:p>
        </w:tc>
        <w:tc>
          <w:tcPr>
            <w:tcW w:w="190" w:type="dxa"/>
            <w:shd w:val="clear" w:color="auto" w:fill="FFFFFF"/>
            <w:noWrap/>
            <w:tcMar>
              <w:top w:w="15" w:type="dxa"/>
              <w:left w:w="0" w:type="dxa"/>
              <w:bottom w:w="0" w:type="dxa"/>
              <w:right w:w="15" w:type="dxa"/>
            </w:tcMar>
            <w:vAlign w:val="bottom"/>
            <w:hideMark/>
          </w:tcPr>
          <w:p w14:paraId="175306C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673792F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354" w:type="dxa"/>
            <w:gridSpan w:val="2"/>
            <w:tcBorders>
              <w:bottom w:val="single" w:sz="6" w:space="0" w:color="000000"/>
            </w:tcBorders>
            <w:shd w:val="clear" w:color="auto" w:fill="FFFFFF"/>
            <w:tcMar>
              <w:top w:w="15" w:type="dxa"/>
              <w:left w:w="0" w:type="dxa"/>
              <w:bottom w:w="0" w:type="dxa"/>
              <w:right w:w="15" w:type="dxa"/>
            </w:tcMar>
            <w:vAlign w:val="bottom"/>
            <w:hideMark/>
          </w:tcPr>
          <w:p w14:paraId="5A0D56E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Average</w:t>
            </w:r>
          </w:p>
        </w:tc>
        <w:tc>
          <w:tcPr>
            <w:tcW w:w="190" w:type="dxa"/>
            <w:shd w:val="clear" w:color="auto" w:fill="FFFFFF"/>
            <w:noWrap/>
            <w:tcMar>
              <w:top w:w="15" w:type="dxa"/>
              <w:left w:w="0" w:type="dxa"/>
              <w:bottom w:w="0" w:type="dxa"/>
              <w:right w:w="15" w:type="dxa"/>
            </w:tcMar>
            <w:vAlign w:val="bottom"/>
            <w:hideMark/>
          </w:tcPr>
          <w:p w14:paraId="4CCAF770"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90" w:type="dxa"/>
            <w:shd w:val="clear" w:color="auto" w:fill="FFFFFF"/>
            <w:tcMar>
              <w:top w:w="15" w:type="dxa"/>
              <w:left w:w="0" w:type="dxa"/>
              <w:bottom w:w="0" w:type="dxa"/>
              <w:right w:w="15" w:type="dxa"/>
            </w:tcMar>
            <w:vAlign w:val="bottom"/>
            <w:hideMark/>
          </w:tcPr>
          <w:p w14:paraId="21836DA3"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1239" w:type="dxa"/>
            <w:gridSpan w:val="2"/>
            <w:tcBorders>
              <w:bottom w:val="single" w:sz="6" w:space="0" w:color="000000"/>
            </w:tcBorders>
            <w:shd w:val="clear" w:color="auto" w:fill="FFFFFF"/>
            <w:tcMar>
              <w:top w:w="15" w:type="dxa"/>
              <w:left w:w="0" w:type="dxa"/>
              <w:bottom w:w="0" w:type="dxa"/>
              <w:right w:w="15" w:type="dxa"/>
            </w:tcMar>
            <w:vAlign w:val="bottom"/>
            <w:hideMark/>
          </w:tcPr>
          <w:p w14:paraId="4A11D9E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Year end</w:t>
            </w:r>
          </w:p>
        </w:tc>
        <w:tc>
          <w:tcPr>
            <w:tcW w:w="53" w:type="dxa"/>
            <w:shd w:val="clear" w:color="auto" w:fill="FFFFFF"/>
            <w:noWrap/>
            <w:tcMar>
              <w:top w:w="15" w:type="dxa"/>
              <w:left w:w="0" w:type="dxa"/>
              <w:bottom w:w="0" w:type="dxa"/>
              <w:right w:w="15" w:type="dxa"/>
            </w:tcMar>
            <w:vAlign w:val="bottom"/>
            <w:hideMark/>
          </w:tcPr>
          <w:p w14:paraId="29E1955D"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381FF15E" w14:textId="77777777" w:rsidTr="00AC4931">
        <w:tc>
          <w:tcPr>
            <w:tcW w:w="3057" w:type="dxa"/>
            <w:shd w:val="clear" w:color="auto" w:fill="CFF0FC"/>
            <w:tcMar>
              <w:top w:w="15" w:type="dxa"/>
              <w:left w:w="0" w:type="dxa"/>
              <w:bottom w:w="0" w:type="dxa"/>
              <w:right w:w="15" w:type="dxa"/>
            </w:tcMar>
            <w:hideMark/>
          </w:tcPr>
          <w:p w14:paraId="04A9DB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EUR</w:t>
            </w:r>
          </w:p>
        </w:tc>
        <w:tc>
          <w:tcPr>
            <w:tcW w:w="190" w:type="dxa"/>
            <w:shd w:val="clear" w:color="auto" w:fill="CFF0FC"/>
            <w:tcMar>
              <w:top w:w="15" w:type="dxa"/>
              <w:left w:w="0" w:type="dxa"/>
              <w:bottom w:w="0" w:type="dxa"/>
              <w:right w:w="15" w:type="dxa"/>
            </w:tcMar>
            <w:vAlign w:val="bottom"/>
            <w:hideMark/>
          </w:tcPr>
          <w:p w14:paraId="034CDFE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37353B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tcBorders>
              <w:top w:val="single" w:sz="6" w:space="0" w:color="000000"/>
            </w:tcBorders>
            <w:shd w:val="clear" w:color="auto" w:fill="CFF0FC"/>
            <w:noWrap/>
            <w:tcMar>
              <w:top w:w="15" w:type="dxa"/>
              <w:left w:w="0" w:type="dxa"/>
              <w:bottom w:w="0" w:type="dxa"/>
              <w:right w:w="15" w:type="dxa"/>
            </w:tcMar>
            <w:vAlign w:val="bottom"/>
            <w:hideMark/>
          </w:tcPr>
          <w:p w14:paraId="103DBCF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1.139</w:t>
            </w:r>
          </w:p>
        </w:tc>
        <w:tc>
          <w:tcPr>
            <w:tcW w:w="190" w:type="dxa"/>
            <w:shd w:val="clear" w:color="auto" w:fill="CFF0FC"/>
            <w:noWrap/>
            <w:tcMar>
              <w:top w:w="15" w:type="dxa"/>
              <w:left w:w="0" w:type="dxa"/>
              <w:bottom w:w="0" w:type="dxa"/>
              <w:right w:w="15" w:type="dxa"/>
            </w:tcMar>
            <w:vAlign w:val="bottom"/>
            <w:hideMark/>
          </w:tcPr>
          <w:p w14:paraId="2B8693D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64E35A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010488F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tcBorders>
              <w:top w:val="single" w:sz="6" w:space="0" w:color="000000"/>
            </w:tcBorders>
            <w:shd w:val="clear" w:color="auto" w:fill="CFF0FC"/>
            <w:noWrap/>
            <w:tcMar>
              <w:top w:w="15" w:type="dxa"/>
              <w:left w:w="0" w:type="dxa"/>
              <w:bottom w:w="0" w:type="dxa"/>
              <w:right w:w="15" w:type="dxa"/>
            </w:tcMar>
            <w:vAlign w:val="bottom"/>
            <w:hideMark/>
          </w:tcPr>
          <w:p w14:paraId="2607265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1.226</w:t>
            </w:r>
          </w:p>
        </w:tc>
        <w:tc>
          <w:tcPr>
            <w:tcW w:w="190" w:type="dxa"/>
            <w:shd w:val="clear" w:color="auto" w:fill="CFF0FC"/>
            <w:noWrap/>
            <w:tcMar>
              <w:top w:w="15" w:type="dxa"/>
              <w:left w:w="0" w:type="dxa"/>
              <w:bottom w:w="0" w:type="dxa"/>
              <w:right w:w="15" w:type="dxa"/>
            </w:tcMar>
            <w:vAlign w:val="bottom"/>
            <w:hideMark/>
          </w:tcPr>
          <w:p w14:paraId="7B5619A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312285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146C3F1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tcBorders>
              <w:top w:val="single" w:sz="6" w:space="0" w:color="000000"/>
            </w:tcBorders>
            <w:shd w:val="clear" w:color="auto" w:fill="CFF0FC"/>
            <w:noWrap/>
            <w:tcMar>
              <w:top w:w="15" w:type="dxa"/>
              <w:left w:w="0" w:type="dxa"/>
              <w:bottom w:w="0" w:type="dxa"/>
              <w:right w:w="15" w:type="dxa"/>
            </w:tcMar>
            <w:vAlign w:val="bottom"/>
            <w:hideMark/>
          </w:tcPr>
          <w:p w14:paraId="17BCF62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1.119</w:t>
            </w:r>
          </w:p>
        </w:tc>
        <w:tc>
          <w:tcPr>
            <w:tcW w:w="190" w:type="dxa"/>
            <w:shd w:val="clear" w:color="auto" w:fill="CFF0FC"/>
            <w:noWrap/>
            <w:tcMar>
              <w:top w:w="15" w:type="dxa"/>
              <w:left w:w="0" w:type="dxa"/>
              <w:bottom w:w="0" w:type="dxa"/>
              <w:right w:w="15" w:type="dxa"/>
            </w:tcMar>
            <w:vAlign w:val="bottom"/>
            <w:hideMark/>
          </w:tcPr>
          <w:p w14:paraId="473CE5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0633BE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0A19CD4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tcBorders>
              <w:top w:val="single" w:sz="6" w:space="0" w:color="000000"/>
            </w:tcBorders>
            <w:shd w:val="clear" w:color="auto" w:fill="CFF0FC"/>
            <w:noWrap/>
            <w:tcMar>
              <w:top w:w="15" w:type="dxa"/>
              <w:left w:w="0" w:type="dxa"/>
              <w:bottom w:w="0" w:type="dxa"/>
              <w:right w:w="15" w:type="dxa"/>
            </w:tcMar>
            <w:vAlign w:val="bottom"/>
            <w:hideMark/>
          </w:tcPr>
          <w:p w14:paraId="1AE4BCB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1.120</w:t>
            </w:r>
          </w:p>
        </w:tc>
        <w:tc>
          <w:tcPr>
            <w:tcW w:w="190" w:type="dxa"/>
            <w:shd w:val="clear" w:color="auto" w:fill="CFF0FC"/>
            <w:noWrap/>
            <w:tcMar>
              <w:top w:w="15" w:type="dxa"/>
              <w:left w:w="0" w:type="dxa"/>
              <w:bottom w:w="0" w:type="dxa"/>
              <w:right w:w="15" w:type="dxa"/>
            </w:tcMar>
            <w:vAlign w:val="bottom"/>
            <w:hideMark/>
          </w:tcPr>
          <w:p w14:paraId="54287A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2FF00E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276C700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tcBorders>
              <w:top w:val="single" w:sz="6" w:space="0" w:color="000000"/>
            </w:tcBorders>
            <w:shd w:val="clear" w:color="auto" w:fill="CFF0FC"/>
            <w:noWrap/>
            <w:tcMar>
              <w:top w:w="15" w:type="dxa"/>
              <w:left w:w="0" w:type="dxa"/>
              <w:bottom w:w="0" w:type="dxa"/>
              <w:right w:w="15" w:type="dxa"/>
            </w:tcMar>
            <w:vAlign w:val="bottom"/>
            <w:hideMark/>
          </w:tcPr>
          <w:p w14:paraId="061286B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1.182</w:t>
            </w:r>
          </w:p>
        </w:tc>
        <w:tc>
          <w:tcPr>
            <w:tcW w:w="190" w:type="dxa"/>
            <w:shd w:val="clear" w:color="auto" w:fill="CFF0FC"/>
            <w:noWrap/>
            <w:tcMar>
              <w:top w:w="15" w:type="dxa"/>
              <w:left w:w="0" w:type="dxa"/>
              <w:bottom w:w="0" w:type="dxa"/>
              <w:right w:w="15" w:type="dxa"/>
            </w:tcMar>
            <w:vAlign w:val="bottom"/>
            <w:hideMark/>
          </w:tcPr>
          <w:p w14:paraId="0FC73A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691486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537F412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tcBorders>
              <w:top w:val="single" w:sz="6" w:space="0" w:color="000000"/>
            </w:tcBorders>
            <w:shd w:val="clear" w:color="auto" w:fill="CFF0FC"/>
            <w:noWrap/>
            <w:tcMar>
              <w:top w:w="15" w:type="dxa"/>
              <w:left w:w="0" w:type="dxa"/>
              <w:bottom w:w="0" w:type="dxa"/>
              <w:right w:w="15" w:type="dxa"/>
            </w:tcMar>
            <w:vAlign w:val="bottom"/>
            <w:hideMark/>
          </w:tcPr>
          <w:p w14:paraId="53F2AE9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1.145</w:t>
            </w:r>
          </w:p>
        </w:tc>
        <w:tc>
          <w:tcPr>
            <w:tcW w:w="190" w:type="dxa"/>
            <w:shd w:val="clear" w:color="auto" w:fill="CFF0FC"/>
            <w:noWrap/>
            <w:tcMar>
              <w:top w:w="15" w:type="dxa"/>
              <w:left w:w="0" w:type="dxa"/>
              <w:bottom w:w="0" w:type="dxa"/>
              <w:right w:w="15" w:type="dxa"/>
            </w:tcMar>
            <w:vAlign w:val="bottom"/>
            <w:hideMark/>
          </w:tcPr>
          <w:p w14:paraId="2020864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1ACC778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311294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tcBorders>
              <w:top w:val="single" w:sz="6" w:space="0" w:color="000000"/>
            </w:tcBorders>
            <w:shd w:val="clear" w:color="auto" w:fill="CFF0FC"/>
            <w:noWrap/>
            <w:tcMar>
              <w:top w:w="15" w:type="dxa"/>
              <w:left w:w="0" w:type="dxa"/>
              <w:bottom w:w="0" w:type="dxa"/>
              <w:right w:w="15" w:type="dxa"/>
            </w:tcMar>
            <w:vAlign w:val="bottom"/>
            <w:hideMark/>
          </w:tcPr>
          <w:p w14:paraId="30D86C5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1.129</w:t>
            </w:r>
          </w:p>
        </w:tc>
        <w:tc>
          <w:tcPr>
            <w:tcW w:w="190" w:type="dxa"/>
            <w:shd w:val="clear" w:color="auto" w:fill="CFF0FC"/>
            <w:noWrap/>
            <w:tcMar>
              <w:top w:w="15" w:type="dxa"/>
              <w:left w:w="0" w:type="dxa"/>
              <w:bottom w:w="0" w:type="dxa"/>
              <w:right w:w="15" w:type="dxa"/>
            </w:tcMar>
            <w:vAlign w:val="bottom"/>
            <w:hideMark/>
          </w:tcPr>
          <w:p w14:paraId="79C003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tcMar>
              <w:top w:w="15" w:type="dxa"/>
              <w:left w:w="0" w:type="dxa"/>
              <w:bottom w:w="0" w:type="dxa"/>
              <w:right w:w="15" w:type="dxa"/>
            </w:tcMar>
            <w:vAlign w:val="bottom"/>
            <w:hideMark/>
          </w:tcPr>
          <w:p w14:paraId="564654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632E12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tcBorders>
              <w:top w:val="single" w:sz="6" w:space="0" w:color="000000"/>
            </w:tcBorders>
            <w:shd w:val="clear" w:color="auto" w:fill="CFF0FC"/>
            <w:noWrap/>
            <w:tcMar>
              <w:top w:w="15" w:type="dxa"/>
              <w:left w:w="0" w:type="dxa"/>
              <w:bottom w:w="0" w:type="dxa"/>
              <w:right w:w="15" w:type="dxa"/>
            </w:tcMar>
            <w:vAlign w:val="bottom"/>
            <w:hideMark/>
          </w:tcPr>
          <w:p w14:paraId="797D478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1.196</w:t>
            </w:r>
          </w:p>
        </w:tc>
        <w:tc>
          <w:tcPr>
            <w:tcW w:w="190" w:type="dxa"/>
            <w:shd w:val="clear" w:color="auto" w:fill="CFF0FC"/>
            <w:noWrap/>
            <w:tcMar>
              <w:top w:w="15" w:type="dxa"/>
              <w:left w:w="0" w:type="dxa"/>
              <w:bottom w:w="0" w:type="dxa"/>
              <w:right w:w="15" w:type="dxa"/>
            </w:tcMar>
            <w:vAlign w:val="bottom"/>
            <w:hideMark/>
          </w:tcPr>
          <w:p w14:paraId="562E02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3E2E369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0DF0D0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tcBorders>
              <w:top w:val="single" w:sz="6" w:space="0" w:color="000000"/>
            </w:tcBorders>
            <w:shd w:val="clear" w:color="auto" w:fill="CFF0FC"/>
            <w:noWrap/>
            <w:tcMar>
              <w:top w:w="15" w:type="dxa"/>
              <w:left w:w="0" w:type="dxa"/>
              <w:bottom w:w="0" w:type="dxa"/>
              <w:right w:w="15" w:type="dxa"/>
            </w:tcMar>
            <w:vAlign w:val="bottom"/>
            <w:hideMark/>
          </w:tcPr>
          <w:p w14:paraId="6A7193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1.106</w:t>
            </w:r>
          </w:p>
        </w:tc>
        <w:tc>
          <w:tcPr>
            <w:tcW w:w="190" w:type="dxa"/>
            <w:shd w:val="clear" w:color="auto" w:fill="CFF0FC"/>
            <w:noWrap/>
            <w:tcMar>
              <w:top w:w="15" w:type="dxa"/>
              <w:left w:w="0" w:type="dxa"/>
              <w:bottom w:w="0" w:type="dxa"/>
              <w:right w:w="15" w:type="dxa"/>
            </w:tcMar>
            <w:vAlign w:val="bottom"/>
            <w:hideMark/>
          </w:tcPr>
          <w:p w14:paraId="22305E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34A0D30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tcBorders>
              <w:top w:val="single" w:sz="6" w:space="0" w:color="000000"/>
            </w:tcBorders>
            <w:shd w:val="clear" w:color="auto" w:fill="CFF0FC"/>
            <w:noWrap/>
            <w:tcMar>
              <w:top w:w="15" w:type="dxa"/>
              <w:left w:w="0" w:type="dxa"/>
              <w:bottom w:w="0" w:type="dxa"/>
              <w:right w:w="15" w:type="dxa"/>
            </w:tcMar>
            <w:vAlign w:val="bottom"/>
            <w:hideMark/>
          </w:tcPr>
          <w:p w14:paraId="18CB90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34" w:type="dxa"/>
            <w:tcBorders>
              <w:top w:val="single" w:sz="6" w:space="0" w:color="000000"/>
            </w:tcBorders>
            <w:shd w:val="clear" w:color="auto" w:fill="CFF0FC"/>
            <w:noWrap/>
            <w:tcMar>
              <w:top w:w="15" w:type="dxa"/>
              <w:left w:w="0" w:type="dxa"/>
              <w:bottom w:w="0" w:type="dxa"/>
              <w:right w:w="15" w:type="dxa"/>
            </w:tcMar>
            <w:vAlign w:val="bottom"/>
            <w:hideMark/>
          </w:tcPr>
          <w:p w14:paraId="5467CF4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1.052</w:t>
            </w:r>
          </w:p>
        </w:tc>
        <w:tc>
          <w:tcPr>
            <w:tcW w:w="53" w:type="dxa"/>
            <w:shd w:val="clear" w:color="auto" w:fill="CFF0FC"/>
            <w:noWrap/>
            <w:tcMar>
              <w:top w:w="15" w:type="dxa"/>
              <w:left w:w="0" w:type="dxa"/>
              <w:bottom w:w="0" w:type="dxa"/>
              <w:right w:w="15" w:type="dxa"/>
            </w:tcMar>
            <w:vAlign w:val="bottom"/>
            <w:hideMark/>
          </w:tcPr>
          <w:p w14:paraId="2D873C4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DE25B58" w14:textId="77777777" w:rsidTr="00AC4931">
        <w:tc>
          <w:tcPr>
            <w:tcW w:w="3057" w:type="dxa"/>
            <w:shd w:val="clear" w:color="auto" w:fill="FFFFFF"/>
            <w:tcMar>
              <w:top w:w="15" w:type="dxa"/>
              <w:left w:w="0" w:type="dxa"/>
              <w:bottom w:w="0" w:type="dxa"/>
              <w:right w:w="15" w:type="dxa"/>
            </w:tcMar>
            <w:hideMark/>
          </w:tcPr>
          <w:p w14:paraId="3C7B75D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CNY</w:t>
            </w:r>
          </w:p>
        </w:tc>
        <w:tc>
          <w:tcPr>
            <w:tcW w:w="190" w:type="dxa"/>
            <w:shd w:val="clear" w:color="auto" w:fill="FFFFFF"/>
            <w:tcMar>
              <w:top w:w="15" w:type="dxa"/>
              <w:left w:w="0" w:type="dxa"/>
              <w:bottom w:w="0" w:type="dxa"/>
              <w:right w:w="15" w:type="dxa"/>
            </w:tcMar>
            <w:vAlign w:val="bottom"/>
            <w:hideMark/>
          </w:tcPr>
          <w:p w14:paraId="6765B3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43B22C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2571914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0.145</w:t>
            </w:r>
          </w:p>
        </w:tc>
        <w:tc>
          <w:tcPr>
            <w:tcW w:w="190" w:type="dxa"/>
            <w:shd w:val="clear" w:color="auto" w:fill="FFFFFF"/>
            <w:noWrap/>
            <w:tcMar>
              <w:top w:w="15" w:type="dxa"/>
              <w:left w:w="0" w:type="dxa"/>
              <w:bottom w:w="0" w:type="dxa"/>
              <w:right w:w="15" w:type="dxa"/>
            </w:tcMar>
            <w:vAlign w:val="bottom"/>
            <w:hideMark/>
          </w:tcPr>
          <w:p w14:paraId="10DF383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5E7BA3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482D7E4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FFFFFF"/>
            <w:noWrap/>
            <w:tcMar>
              <w:top w:w="15" w:type="dxa"/>
              <w:left w:w="0" w:type="dxa"/>
              <w:bottom w:w="0" w:type="dxa"/>
              <w:right w:w="15" w:type="dxa"/>
            </w:tcMar>
            <w:vAlign w:val="bottom"/>
            <w:hideMark/>
          </w:tcPr>
          <w:p w14:paraId="1452557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0.153</w:t>
            </w:r>
          </w:p>
        </w:tc>
        <w:tc>
          <w:tcPr>
            <w:tcW w:w="190" w:type="dxa"/>
            <w:shd w:val="clear" w:color="auto" w:fill="FFFFFF"/>
            <w:noWrap/>
            <w:tcMar>
              <w:top w:w="15" w:type="dxa"/>
              <w:left w:w="0" w:type="dxa"/>
              <w:bottom w:w="0" w:type="dxa"/>
              <w:right w:w="15" w:type="dxa"/>
            </w:tcMar>
            <w:vAlign w:val="bottom"/>
            <w:hideMark/>
          </w:tcPr>
          <w:p w14:paraId="35A590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2BAEB3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6817AE0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6F7BEDC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0.145</w:t>
            </w:r>
          </w:p>
        </w:tc>
        <w:tc>
          <w:tcPr>
            <w:tcW w:w="190" w:type="dxa"/>
            <w:shd w:val="clear" w:color="auto" w:fill="FFFFFF"/>
            <w:noWrap/>
            <w:tcMar>
              <w:top w:w="15" w:type="dxa"/>
              <w:left w:w="0" w:type="dxa"/>
              <w:bottom w:w="0" w:type="dxa"/>
              <w:right w:w="15" w:type="dxa"/>
            </w:tcMar>
            <w:vAlign w:val="bottom"/>
            <w:hideMark/>
          </w:tcPr>
          <w:p w14:paraId="005DBD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2743E7D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73217B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FFFFFF"/>
            <w:noWrap/>
            <w:tcMar>
              <w:top w:w="15" w:type="dxa"/>
              <w:left w:w="0" w:type="dxa"/>
              <w:bottom w:w="0" w:type="dxa"/>
              <w:right w:w="15" w:type="dxa"/>
            </w:tcMar>
            <w:vAlign w:val="bottom"/>
            <w:hideMark/>
          </w:tcPr>
          <w:p w14:paraId="6687AF9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0.143</w:t>
            </w:r>
          </w:p>
        </w:tc>
        <w:tc>
          <w:tcPr>
            <w:tcW w:w="190" w:type="dxa"/>
            <w:shd w:val="clear" w:color="auto" w:fill="FFFFFF"/>
            <w:noWrap/>
            <w:tcMar>
              <w:top w:w="15" w:type="dxa"/>
              <w:left w:w="0" w:type="dxa"/>
              <w:bottom w:w="0" w:type="dxa"/>
              <w:right w:w="15" w:type="dxa"/>
            </w:tcMar>
            <w:vAlign w:val="bottom"/>
            <w:hideMark/>
          </w:tcPr>
          <w:p w14:paraId="7E678B2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6552D89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364D2A1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4954CED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0.151</w:t>
            </w:r>
          </w:p>
        </w:tc>
        <w:tc>
          <w:tcPr>
            <w:tcW w:w="190" w:type="dxa"/>
            <w:shd w:val="clear" w:color="auto" w:fill="FFFFFF"/>
            <w:noWrap/>
            <w:tcMar>
              <w:top w:w="15" w:type="dxa"/>
              <w:left w:w="0" w:type="dxa"/>
              <w:bottom w:w="0" w:type="dxa"/>
              <w:right w:w="15" w:type="dxa"/>
            </w:tcMar>
            <w:vAlign w:val="bottom"/>
            <w:hideMark/>
          </w:tcPr>
          <w:p w14:paraId="559096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26E013C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7D63719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FFFFFF"/>
            <w:noWrap/>
            <w:tcMar>
              <w:top w:w="15" w:type="dxa"/>
              <w:left w:w="0" w:type="dxa"/>
              <w:bottom w:w="0" w:type="dxa"/>
              <w:right w:w="15" w:type="dxa"/>
            </w:tcMar>
            <w:vAlign w:val="bottom"/>
            <w:hideMark/>
          </w:tcPr>
          <w:p w14:paraId="6B088AF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0.146</w:t>
            </w:r>
          </w:p>
        </w:tc>
        <w:tc>
          <w:tcPr>
            <w:tcW w:w="190" w:type="dxa"/>
            <w:shd w:val="clear" w:color="auto" w:fill="FFFFFF"/>
            <w:noWrap/>
            <w:tcMar>
              <w:top w:w="15" w:type="dxa"/>
              <w:left w:w="0" w:type="dxa"/>
              <w:bottom w:w="0" w:type="dxa"/>
              <w:right w:w="15" w:type="dxa"/>
            </w:tcMar>
            <w:vAlign w:val="bottom"/>
            <w:hideMark/>
          </w:tcPr>
          <w:p w14:paraId="41C7DD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2B9110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7728E9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779E17B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0.148</w:t>
            </w:r>
          </w:p>
        </w:tc>
        <w:tc>
          <w:tcPr>
            <w:tcW w:w="190" w:type="dxa"/>
            <w:shd w:val="clear" w:color="auto" w:fill="FFFFFF"/>
            <w:noWrap/>
            <w:tcMar>
              <w:top w:w="15" w:type="dxa"/>
              <w:left w:w="0" w:type="dxa"/>
              <w:bottom w:w="0" w:type="dxa"/>
              <w:right w:w="15" w:type="dxa"/>
            </w:tcMar>
            <w:vAlign w:val="bottom"/>
            <w:hideMark/>
          </w:tcPr>
          <w:p w14:paraId="06FFC06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1C845CC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1CE7E45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07305B6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0.154</w:t>
            </w:r>
          </w:p>
        </w:tc>
        <w:tc>
          <w:tcPr>
            <w:tcW w:w="190" w:type="dxa"/>
            <w:shd w:val="clear" w:color="auto" w:fill="FFFFFF"/>
            <w:noWrap/>
            <w:tcMar>
              <w:top w:w="15" w:type="dxa"/>
              <w:left w:w="0" w:type="dxa"/>
              <w:bottom w:w="0" w:type="dxa"/>
              <w:right w:w="15" w:type="dxa"/>
            </w:tcMar>
            <w:vAlign w:val="bottom"/>
            <w:hideMark/>
          </w:tcPr>
          <w:p w14:paraId="652EC7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4E99C82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7CA05C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2F08AC2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0.150</w:t>
            </w:r>
          </w:p>
        </w:tc>
        <w:tc>
          <w:tcPr>
            <w:tcW w:w="190" w:type="dxa"/>
            <w:shd w:val="clear" w:color="auto" w:fill="FFFFFF"/>
            <w:noWrap/>
            <w:tcMar>
              <w:top w:w="15" w:type="dxa"/>
              <w:left w:w="0" w:type="dxa"/>
              <w:bottom w:w="0" w:type="dxa"/>
              <w:right w:w="15" w:type="dxa"/>
            </w:tcMar>
            <w:vAlign w:val="bottom"/>
            <w:hideMark/>
          </w:tcPr>
          <w:p w14:paraId="7AC058E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401FC4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1DB6C5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34" w:type="dxa"/>
            <w:shd w:val="clear" w:color="auto" w:fill="FFFFFF"/>
            <w:noWrap/>
            <w:tcMar>
              <w:top w:w="15" w:type="dxa"/>
              <w:left w:w="0" w:type="dxa"/>
              <w:bottom w:w="0" w:type="dxa"/>
              <w:right w:w="15" w:type="dxa"/>
            </w:tcMar>
            <w:vAlign w:val="bottom"/>
            <w:hideMark/>
          </w:tcPr>
          <w:p w14:paraId="07C570B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0.144</w:t>
            </w:r>
          </w:p>
        </w:tc>
        <w:tc>
          <w:tcPr>
            <w:tcW w:w="53" w:type="dxa"/>
            <w:shd w:val="clear" w:color="auto" w:fill="FFFFFF"/>
            <w:noWrap/>
            <w:tcMar>
              <w:top w:w="15" w:type="dxa"/>
              <w:left w:w="0" w:type="dxa"/>
              <w:bottom w:w="0" w:type="dxa"/>
              <w:right w:w="15" w:type="dxa"/>
            </w:tcMar>
            <w:vAlign w:val="bottom"/>
            <w:hideMark/>
          </w:tcPr>
          <w:p w14:paraId="3C81E2B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79470752" w14:textId="77777777" w:rsidTr="00AC4931">
        <w:tc>
          <w:tcPr>
            <w:tcW w:w="3057" w:type="dxa"/>
            <w:shd w:val="clear" w:color="auto" w:fill="CFF0FC"/>
            <w:tcMar>
              <w:top w:w="15" w:type="dxa"/>
              <w:left w:w="0" w:type="dxa"/>
              <w:bottom w:w="0" w:type="dxa"/>
              <w:right w:w="15" w:type="dxa"/>
            </w:tcMar>
            <w:hideMark/>
          </w:tcPr>
          <w:p w14:paraId="4FD71D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JPY/1000</w:t>
            </w:r>
          </w:p>
        </w:tc>
        <w:tc>
          <w:tcPr>
            <w:tcW w:w="190" w:type="dxa"/>
            <w:shd w:val="clear" w:color="auto" w:fill="CFF0FC"/>
            <w:tcMar>
              <w:top w:w="15" w:type="dxa"/>
              <w:left w:w="0" w:type="dxa"/>
              <w:bottom w:w="0" w:type="dxa"/>
              <w:right w:w="15" w:type="dxa"/>
            </w:tcMar>
            <w:vAlign w:val="bottom"/>
            <w:hideMark/>
          </w:tcPr>
          <w:p w14:paraId="0AA3061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2B2CFA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77A4BD6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9.361</w:t>
            </w:r>
          </w:p>
        </w:tc>
        <w:tc>
          <w:tcPr>
            <w:tcW w:w="190" w:type="dxa"/>
            <w:shd w:val="clear" w:color="auto" w:fill="CFF0FC"/>
            <w:noWrap/>
            <w:tcMar>
              <w:top w:w="15" w:type="dxa"/>
              <w:left w:w="0" w:type="dxa"/>
              <w:bottom w:w="0" w:type="dxa"/>
              <w:right w:w="15" w:type="dxa"/>
            </w:tcMar>
            <w:vAlign w:val="bottom"/>
            <w:hideMark/>
          </w:tcPr>
          <w:p w14:paraId="06040DC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6491B6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450D8ED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CFF0FC"/>
            <w:noWrap/>
            <w:tcMar>
              <w:top w:w="15" w:type="dxa"/>
              <w:left w:w="0" w:type="dxa"/>
              <w:bottom w:w="0" w:type="dxa"/>
              <w:right w:w="15" w:type="dxa"/>
            </w:tcMar>
            <w:vAlign w:val="bottom"/>
            <w:hideMark/>
          </w:tcPr>
          <w:p w14:paraId="342D700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9.678</w:t>
            </w:r>
          </w:p>
        </w:tc>
        <w:tc>
          <w:tcPr>
            <w:tcW w:w="190" w:type="dxa"/>
            <w:shd w:val="clear" w:color="auto" w:fill="CFF0FC"/>
            <w:noWrap/>
            <w:tcMar>
              <w:top w:w="15" w:type="dxa"/>
              <w:left w:w="0" w:type="dxa"/>
              <w:bottom w:w="0" w:type="dxa"/>
              <w:right w:w="15" w:type="dxa"/>
            </w:tcMar>
            <w:vAlign w:val="bottom"/>
            <w:hideMark/>
          </w:tcPr>
          <w:p w14:paraId="4E3061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310881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2E5ADC1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6EB92FF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9.178</w:t>
            </w:r>
          </w:p>
        </w:tc>
        <w:tc>
          <w:tcPr>
            <w:tcW w:w="190" w:type="dxa"/>
            <w:shd w:val="clear" w:color="auto" w:fill="CFF0FC"/>
            <w:noWrap/>
            <w:tcMar>
              <w:top w:w="15" w:type="dxa"/>
              <w:left w:w="0" w:type="dxa"/>
              <w:bottom w:w="0" w:type="dxa"/>
              <w:right w:w="15" w:type="dxa"/>
            </w:tcMar>
            <w:vAlign w:val="bottom"/>
            <w:hideMark/>
          </w:tcPr>
          <w:p w14:paraId="51732FD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4AFF1BA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37D4B9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CFF0FC"/>
            <w:noWrap/>
            <w:tcMar>
              <w:top w:w="15" w:type="dxa"/>
              <w:left w:w="0" w:type="dxa"/>
              <w:bottom w:w="0" w:type="dxa"/>
              <w:right w:w="15" w:type="dxa"/>
            </w:tcMar>
            <w:vAlign w:val="bottom"/>
            <w:hideMark/>
          </w:tcPr>
          <w:p w14:paraId="76E1EE7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9.157</w:t>
            </w:r>
          </w:p>
        </w:tc>
        <w:tc>
          <w:tcPr>
            <w:tcW w:w="190" w:type="dxa"/>
            <w:shd w:val="clear" w:color="auto" w:fill="CFF0FC"/>
            <w:noWrap/>
            <w:tcMar>
              <w:top w:w="15" w:type="dxa"/>
              <w:left w:w="0" w:type="dxa"/>
              <w:bottom w:w="0" w:type="dxa"/>
              <w:right w:w="15" w:type="dxa"/>
            </w:tcMar>
            <w:vAlign w:val="bottom"/>
            <w:hideMark/>
          </w:tcPr>
          <w:p w14:paraId="54852B2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13D684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27A678A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386F30B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9.061</w:t>
            </w:r>
          </w:p>
        </w:tc>
        <w:tc>
          <w:tcPr>
            <w:tcW w:w="190" w:type="dxa"/>
            <w:shd w:val="clear" w:color="auto" w:fill="CFF0FC"/>
            <w:noWrap/>
            <w:tcMar>
              <w:top w:w="15" w:type="dxa"/>
              <w:left w:w="0" w:type="dxa"/>
              <w:bottom w:w="0" w:type="dxa"/>
              <w:right w:w="15" w:type="dxa"/>
            </w:tcMar>
            <w:vAlign w:val="bottom"/>
            <w:hideMark/>
          </w:tcPr>
          <w:p w14:paraId="1CAD20C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38CFE1B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1A1203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CFF0FC"/>
            <w:noWrap/>
            <w:tcMar>
              <w:top w:w="15" w:type="dxa"/>
              <w:left w:w="0" w:type="dxa"/>
              <w:bottom w:w="0" w:type="dxa"/>
              <w:right w:w="15" w:type="dxa"/>
            </w:tcMar>
            <w:vAlign w:val="bottom"/>
            <w:hideMark/>
          </w:tcPr>
          <w:p w14:paraId="402C0B5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9.051</w:t>
            </w:r>
          </w:p>
        </w:tc>
        <w:tc>
          <w:tcPr>
            <w:tcW w:w="190" w:type="dxa"/>
            <w:shd w:val="clear" w:color="auto" w:fill="CFF0FC"/>
            <w:noWrap/>
            <w:tcMar>
              <w:top w:w="15" w:type="dxa"/>
              <w:left w:w="0" w:type="dxa"/>
              <w:bottom w:w="0" w:type="dxa"/>
              <w:right w:w="15" w:type="dxa"/>
            </w:tcMar>
            <w:vAlign w:val="bottom"/>
            <w:hideMark/>
          </w:tcPr>
          <w:p w14:paraId="74BB9CF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5C8258F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0F9C11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71642BB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8.916</w:t>
            </w:r>
          </w:p>
        </w:tc>
        <w:tc>
          <w:tcPr>
            <w:tcW w:w="190" w:type="dxa"/>
            <w:shd w:val="clear" w:color="auto" w:fill="CFF0FC"/>
            <w:noWrap/>
            <w:tcMar>
              <w:top w:w="15" w:type="dxa"/>
              <w:left w:w="0" w:type="dxa"/>
              <w:bottom w:w="0" w:type="dxa"/>
              <w:right w:w="15" w:type="dxa"/>
            </w:tcMar>
            <w:vAlign w:val="bottom"/>
            <w:hideMark/>
          </w:tcPr>
          <w:p w14:paraId="2AEE96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1E145A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0DE2AD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4C246FD6"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8.878</w:t>
            </w:r>
          </w:p>
        </w:tc>
        <w:tc>
          <w:tcPr>
            <w:tcW w:w="190" w:type="dxa"/>
            <w:shd w:val="clear" w:color="auto" w:fill="CFF0FC"/>
            <w:noWrap/>
            <w:tcMar>
              <w:top w:w="15" w:type="dxa"/>
              <w:left w:w="0" w:type="dxa"/>
              <w:bottom w:w="0" w:type="dxa"/>
              <w:right w:w="15" w:type="dxa"/>
            </w:tcMar>
            <w:vAlign w:val="bottom"/>
            <w:hideMark/>
          </w:tcPr>
          <w:p w14:paraId="2CE34FE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277CADE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75293D9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4A2D3B5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9.222</w:t>
            </w:r>
          </w:p>
        </w:tc>
        <w:tc>
          <w:tcPr>
            <w:tcW w:w="190" w:type="dxa"/>
            <w:shd w:val="clear" w:color="auto" w:fill="CFF0FC"/>
            <w:noWrap/>
            <w:tcMar>
              <w:top w:w="15" w:type="dxa"/>
              <w:left w:w="0" w:type="dxa"/>
              <w:bottom w:w="0" w:type="dxa"/>
              <w:right w:w="15" w:type="dxa"/>
            </w:tcMar>
            <w:vAlign w:val="bottom"/>
            <w:hideMark/>
          </w:tcPr>
          <w:p w14:paraId="444AAFA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0041903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6E46025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34" w:type="dxa"/>
            <w:shd w:val="clear" w:color="auto" w:fill="CFF0FC"/>
            <w:noWrap/>
            <w:tcMar>
              <w:top w:w="15" w:type="dxa"/>
              <w:left w:w="0" w:type="dxa"/>
              <w:bottom w:w="0" w:type="dxa"/>
              <w:right w:w="15" w:type="dxa"/>
            </w:tcMar>
            <w:vAlign w:val="bottom"/>
            <w:hideMark/>
          </w:tcPr>
          <w:p w14:paraId="0ED5A41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8.544</w:t>
            </w:r>
          </w:p>
        </w:tc>
        <w:tc>
          <w:tcPr>
            <w:tcW w:w="53" w:type="dxa"/>
            <w:shd w:val="clear" w:color="auto" w:fill="CFF0FC"/>
            <w:noWrap/>
            <w:tcMar>
              <w:top w:w="15" w:type="dxa"/>
              <w:left w:w="0" w:type="dxa"/>
              <w:bottom w:w="0" w:type="dxa"/>
              <w:right w:w="15" w:type="dxa"/>
            </w:tcMar>
            <w:vAlign w:val="bottom"/>
            <w:hideMark/>
          </w:tcPr>
          <w:p w14:paraId="350419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0466FF8E" w14:textId="77777777" w:rsidTr="00AC4931">
        <w:tc>
          <w:tcPr>
            <w:tcW w:w="3057" w:type="dxa"/>
            <w:shd w:val="clear" w:color="auto" w:fill="FFFFFF"/>
            <w:tcMar>
              <w:top w:w="15" w:type="dxa"/>
              <w:left w:w="0" w:type="dxa"/>
              <w:bottom w:w="0" w:type="dxa"/>
              <w:right w:w="15" w:type="dxa"/>
            </w:tcMar>
            <w:hideMark/>
          </w:tcPr>
          <w:p w14:paraId="34F0E08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KRW/1000</w:t>
            </w:r>
          </w:p>
        </w:tc>
        <w:tc>
          <w:tcPr>
            <w:tcW w:w="190" w:type="dxa"/>
            <w:shd w:val="clear" w:color="auto" w:fill="FFFFFF"/>
            <w:tcMar>
              <w:top w:w="15" w:type="dxa"/>
              <w:left w:w="0" w:type="dxa"/>
              <w:bottom w:w="0" w:type="dxa"/>
              <w:right w:w="15" w:type="dxa"/>
            </w:tcMar>
            <w:vAlign w:val="bottom"/>
            <w:hideMark/>
          </w:tcPr>
          <w:p w14:paraId="17E2921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6A0BE15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64D07DA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0.847</w:t>
            </w:r>
          </w:p>
        </w:tc>
        <w:tc>
          <w:tcPr>
            <w:tcW w:w="190" w:type="dxa"/>
            <w:shd w:val="clear" w:color="auto" w:fill="FFFFFF"/>
            <w:noWrap/>
            <w:tcMar>
              <w:top w:w="15" w:type="dxa"/>
              <w:left w:w="0" w:type="dxa"/>
              <w:bottom w:w="0" w:type="dxa"/>
              <w:right w:w="15" w:type="dxa"/>
            </w:tcMar>
            <w:vAlign w:val="bottom"/>
            <w:hideMark/>
          </w:tcPr>
          <w:p w14:paraId="2D72431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1384C31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673E0FB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FFFFFF"/>
            <w:noWrap/>
            <w:tcMar>
              <w:top w:w="15" w:type="dxa"/>
              <w:left w:w="0" w:type="dxa"/>
              <w:bottom w:w="0" w:type="dxa"/>
              <w:right w:w="15" w:type="dxa"/>
            </w:tcMar>
            <w:vAlign w:val="bottom"/>
            <w:hideMark/>
          </w:tcPr>
          <w:p w14:paraId="52EECE8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0.921</w:t>
            </w:r>
          </w:p>
        </w:tc>
        <w:tc>
          <w:tcPr>
            <w:tcW w:w="190" w:type="dxa"/>
            <w:shd w:val="clear" w:color="auto" w:fill="FFFFFF"/>
            <w:noWrap/>
            <w:tcMar>
              <w:top w:w="15" w:type="dxa"/>
              <w:left w:w="0" w:type="dxa"/>
              <w:bottom w:w="0" w:type="dxa"/>
              <w:right w:w="15" w:type="dxa"/>
            </w:tcMar>
            <w:vAlign w:val="bottom"/>
            <w:hideMark/>
          </w:tcPr>
          <w:p w14:paraId="2E76F1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242D0BB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6F27186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49E159E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0.857</w:t>
            </w:r>
          </w:p>
        </w:tc>
        <w:tc>
          <w:tcPr>
            <w:tcW w:w="190" w:type="dxa"/>
            <w:shd w:val="clear" w:color="auto" w:fill="FFFFFF"/>
            <w:noWrap/>
            <w:tcMar>
              <w:top w:w="15" w:type="dxa"/>
              <w:left w:w="0" w:type="dxa"/>
              <w:bottom w:w="0" w:type="dxa"/>
              <w:right w:w="15" w:type="dxa"/>
            </w:tcMar>
            <w:vAlign w:val="bottom"/>
            <w:hideMark/>
          </w:tcPr>
          <w:p w14:paraId="6543BF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7322DC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1B76608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FFFFFF"/>
            <w:noWrap/>
            <w:tcMar>
              <w:top w:w="15" w:type="dxa"/>
              <w:left w:w="0" w:type="dxa"/>
              <w:bottom w:w="0" w:type="dxa"/>
              <w:right w:w="15" w:type="dxa"/>
            </w:tcMar>
            <w:vAlign w:val="bottom"/>
            <w:hideMark/>
          </w:tcPr>
          <w:p w14:paraId="27611D3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0.870</w:t>
            </w:r>
          </w:p>
        </w:tc>
        <w:tc>
          <w:tcPr>
            <w:tcW w:w="190" w:type="dxa"/>
            <w:shd w:val="clear" w:color="auto" w:fill="FFFFFF"/>
            <w:noWrap/>
            <w:tcMar>
              <w:top w:w="15" w:type="dxa"/>
              <w:left w:w="0" w:type="dxa"/>
              <w:bottom w:w="0" w:type="dxa"/>
              <w:right w:w="15" w:type="dxa"/>
            </w:tcMar>
            <w:vAlign w:val="bottom"/>
            <w:hideMark/>
          </w:tcPr>
          <w:p w14:paraId="53AB87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768C3A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7CBFEC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69DEF16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0.909</w:t>
            </w:r>
          </w:p>
        </w:tc>
        <w:tc>
          <w:tcPr>
            <w:tcW w:w="190" w:type="dxa"/>
            <w:shd w:val="clear" w:color="auto" w:fill="FFFFFF"/>
            <w:noWrap/>
            <w:tcMar>
              <w:top w:w="15" w:type="dxa"/>
              <w:left w:w="0" w:type="dxa"/>
              <w:bottom w:w="0" w:type="dxa"/>
              <w:right w:w="15" w:type="dxa"/>
            </w:tcMar>
            <w:vAlign w:val="bottom"/>
            <w:hideMark/>
          </w:tcPr>
          <w:p w14:paraId="28DF35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160D09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0D30038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FFFFFF"/>
            <w:noWrap/>
            <w:tcMar>
              <w:top w:w="15" w:type="dxa"/>
              <w:left w:w="0" w:type="dxa"/>
              <w:bottom w:w="0" w:type="dxa"/>
              <w:right w:w="15" w:type="dxa"/>
            </w:tcMar>
            <w:vAlign w:val="bottom"/>
            <w:hideMark/>
          </w:tcPr>
          <w:p w14:paraId="0605075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0.896</w:t>
            </w:r>
          </w:p>
        </w:tc>
        <w:tc>
          <w:tcPr>
            <w:tcW w:w="190" w:type="dxa"/>
            <w:shd w:val="clear" w:color="auto" w:fill="FFFFFF"/>
            <w:noWrap/>
            <w:tcMar>
              <w:top w:w="15" w:type="dxa"/>
              <w:left w:w="0" w:type="dxa"/>
              <w:bottom w:w="0" w:type="dxa"/>
              <w:right w:w="15" w:type="dxa"/>
            </w:tcMar>
            <w:vAlign w:val="bottom"/>
            <w:hideMark/>
          </w:tcPr>
          <w:p w14:paraId="09F7B3F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7EC0651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35F248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2AE4301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0.885</w:t>
            </w:r>
          </w:p>
        </w:tc>
        <w:tc>
          <w:tcPr>
            <w:tcW w:w="190" w:type="dxa"/>
            <w:shd w:val="clear" w:color="auto" w:fill="FFFFFF"/>
            <w:noWrap/>
            <w:tcMar>
              <w:top w:w="15" w:type="dxa"/>
              <w:left w:w="0" w:type="dxa"/>
              <w:bottom w:w="0" w:type="dxa"/>
              <w:right w:w="15" w:type="dxa"/>
            </w:tcMar>
            <w:vAlign w:val="bottom"/>
            <w:hideMark/>
          </w:tcPr>
          <w:p w14:paraId="0F14EE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30FDDF9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167850E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20C51AC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0.937</w:t>
            </w:r>
          </w:p>
        </w:tc>
        <w:tc>
          <w:tcPr>
            <w:tcW w:w="190" w:type="dxa"/>
            <w:shd w:val="clear" w:color="auto" w:fill="FFFFFF"/>
            <w:noWrap/>
            <w:tcMar>
              <w:top w:w="15" w:type="dxa"/>
              <w:left w:w="0" w:type="dxa"/>
              <w:bottom w:w="0" w:type="dxa"/>
              <w:right w:w="15" w:type="dxa"/>
            </w:tcMar>
            <w:vAlign w:val="bottom"/>
            <w:hideMark/>
          </w:tcPr>
          <w:p w14:paraId="44A0B1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63C2EBA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47D8203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4958CC0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0.863</w:t>
            </w:r>
          </w:p>
        </w:tc>
        <w:tc>
          <w:tcPr>
            <w:tcW w:w="190" w:type="dxa"/>
            <w:shd w:val="clear" w:color="auto" w:fill="FFFFFF"/>
            <w:noWrap/>
            <w:tcMar>
              <w:top w:w="15" w:type="dxa"/>
              <w:left w:w="0" w:type="dxa"/>
              <w:bottom w:w="0" w:type="dxa"/>
              <w:right w:w="15" w:type="dxa"/>
            </w:tcMar>
            <w:vAlign w:val="bottom"/>
            <w:hideMark/>
          </w:tcPr>
          <w:p w14:paraId="6E98E20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7A2499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691779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34" w:type="dxa"/>
            <w:shd w:val="clear" w:color="auto" w:fill="FFFFFF"/>
            <w:noWrap/>
            <w:tcMar>
              <w:top w:w="15" w:type="dxa"/>
              <w:left w:w="0" w:type="dxa"/>
              <w:bottom w:w="0" w:type="dxa"/>
              <w:right w:w="15" w:type="dxa"/>
            </w:tcMar>
            <w:vAlign w:val="bottom"/>
            <w:hideMark/>
          </w:tcPr>
          <w:p w14:paraId="449DE4B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0.832</w:t>
            </w:r>
          </w:p>
        </w:tc>
        <w:tc>
          <w:tcPr>
            <w:tcW w:w="53" w:type="dxa"/>
            <w:shd w:val="clear" w:color="auto" w:fill="FFFFFF"/>
            <w:noWrap/>
            <w:tcMar>
              <w:top w:w="15" w:type="dxa"/>
              <w:left w:w="0" w:type="dxa"/>
              <w:bottom w:w="0" w:type="dxa"/>
              <w:right w:w="15" w:type="dxa"/>
            </w:tcMar>
            <w:vAlign w:val="bottom"/>
            <w:hideMark/>
          </w:tcPr>
          <w:p w14:paraId="785C34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57BAF290" w14:textId="77777777" w:rsidTr="00AC4931">
        <w:tc>
          <w:tcPr>
            <w:tcW w:w="3057" w:type="dxa"/>
            <w:shd w:val="clear" w:color="auto" w:fill="CFF0FC"/>
            <w:tcMar>
              <w:top w:w="15" w:type="dxa"/>
              <w:left w:w="0" w:type="dxa"/>
              <w:bottom w:w="0" w:type="dxa"/>
              <w:right w:w="15" w:type="dxa"/>
            </w:tcMar>
            <w:hideMark/>
          </w:tcPr>
          <w:p w14:paraId="7E66988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MXN</w:t>
            </w:r>
          </w:p>
        </w:tc>
        <w:tc>
          <w:tcPr>
            <w:tcW w:w="190" w:type="dxa"/>
            <w:shd w:val="clear" w:color="auto" w:fill="CFF0FC"/>
            <w:tcMar>
              <w:top w:w="15" w:type="dxa"/>
              <w:left w:w="0" w:type="dxa"/>
              <w:bottom w:w="0" w:type="dxa"/>
              <w:right w:w="15" w:type="dxa"/>
            </w:tcMar>
            <w:vAlign w:val="bottom"/>
            <w:hideMark/>
          </w:tcPr>
          <w:p w14:paraId="40F5E7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34ADDB8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0CCBA2E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0.047</w:t>
            </w:r>
          </w:p>
        </w:tc>
        <w:tc>
          <w:tcPr>
            <w:tcW w:w="190" w:type="dxa"/>
            <w:shd w:val="clear" w:color="auto" w:fill="CFF0FC"/>
            <w:noWrap/>
            <w:tcMar>
              <w:top w:w="15" w:type="dxa"/>
              <w:left w:w="0" w:type="dxa"/>
              <w:bottom w:w="0" w:type="dxa"/>
              <w:right w:w="15" w:type="dxa"/>
            </w:tcMar>
            <w:vAlign w:val="bottom"/>
            <w:hideMark/>
          </w:tcPr>
          <w:p w14:paraId="7B3588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4FC0B2B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2E95EC6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CFF0FC"/>
            <w:noWrap/>
            <w:tcMar>
              <w:top w:w="15" w:type="dxa"/>
              <w:left w:w="0" w:type="dxa"/>
              <w:bottom w:w="0" w:type="dxa"/>
              <w:right w:w="15" w:type="dxa"/>
            </w:tcMar>
            <w:vAlign w:val="bottom"/>
            <w:hideMark/>
          </w:tcPr>
          <w:p w14:paraId="489A186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0.050</w:t>
            </w:r>
          </w:p>
        </w:tc>
        <w:tc>
          <w:tcPr>
            <w:tcW w:w="190" w:type="dxa"/>
            <w:shd w:val="clear" w:color="auto" w:fill="CFF0FC"/>
            <w:noWrap/>
            <w:tcMar>
              <w:top w:w="15" w:type="dxa"/>
              <w:left w:w="0" w:type="dxa"/>
              <w:bottom w:w="0" w:type="dxa"/>
              <w:right w:w="15" w:type="dxa"/>
            </w:tcMar>
            <w:vAlign w:val="bottom"/>
            <w:hideMark/>
          </w:tcPr>
          <w:p w14:paraId="5AA73F7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5D39E74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116B94F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673DDA2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0.052</w:t>
            </w:r>
          </w:p>
        </w:tc>
        <w:tc>
          <w:tcPr>
            <w:tcW w:w="190" w:type="dxa"/>
            <w:shd w:val="clear" w:color="auto" w:fill="CFF0FC"/>
            <w:noWrap/>
            <w:tcMar>
              <w:top w:w="15" w:type="dxa"/>
              <w:left w:w="0" w:type="dxa"/>
              <w:bottom w:w="0" w:type="dxa"/>
              <w:right w:w="15" w:type="dxa"/>
            </w:tcMar>
            <w:vAlign w:val="bottom"/>
            <w:hideMark/>
          </w:tcPr>
          <w:p w14:paraId="4AE827D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474D83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03B8C7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CFF0FC"/>
            <w:noWrap/>
            <w:tcMar>
              <w:top w:w="15" w:type="dxa"/>
              <w:left w:w="0" w:type="dxa"/>
              <w:bottom w:w="0" w:type="dxa"/>
              <w:right w:w="15" w:type="dxa"/>
            </w:tcMar>
            <w:vAlign w:val="bottom"/>
            <w:hideMark/>
          </w:tcPr>
          <w:p w14:paraId="62D94BFE"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0.053</w:t>
            </w:r>
          </w:p>
        </w:tc>
        <w:tc>
          <w:tcPr>
            <w:tcW w:w="190" w:type="dxa"/>
            <w:shd w:val="clear" w:color="auto" w:fill="CFF0FC"/>
            <w:noWrap/>
            <w:tcMar>
              <w:top w:w="15" w:type="dxa"/>
              <w:left w:w="0" w:type="dxa"/>
              <w:bottom w:w="0" w:type="dxa"/>
              <w:right w:w="15" w:type="dxa"/>
            </w:tcMar>
            <w:vAlign w:val="bottom"/>
            <w:hideMark/>
          </w:tcPr>
          <w:p w14:paraId="45454B2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0E60147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16FF080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50E2ED39"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0.052</w:t>
            </w:r>
          </w:p>
        </w:tc>
        <w:tc>
          <w:tcPr>
            <w:tcW w:w="190" w:type="dxa"/>
            <w:shd w:val="clear" w:color="auto" w:fill="CFF0FC"/>
            <w:noWrap/>
            <w:tcMar>
              <w:top w:w="15" w:type="dxa"/>
              <w:left w:w="0" w:type="dxa"/>
              <w:bottom w:w="0" w:type="dxa"/>
              <w:right w:w="15" w:type="dxa"/>
            </w:tcMar>
            <w:vAlign w:val="bottom"/>
            <w:hideMark/>
          </w:tcPr>
          <w:p w14:paraId="2CB37BE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7CA4F8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5FD962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CFF0FC"/>
            <w:noWrap/>
            <w:tcMar>
              <w:top w:w="15" w:type="dxa"/>
              <w:left w:w="0" w:type="dxa"/>
              <w:bottom w:w="0" w:type="dxa"/>
              <w:right w:w="15" w:type="dxa"/>
            </w:tcMar>
            <w:vAlign w:val="bottom"/>
            <w:hideMark/>
          </w:tcPr>
          <w:p w14:paraId="31992AF3"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0.051</w:t>
            </w:r>
          </w:p>
        </w:tc>
        <w:tc>
          <w:tcPr>
            <w:tcW w:w="190" w:type="dxa"/>
            <w:shd w:val="clear" w:color="auto" w:fill="CFF0FC"/>
            <w:noWrap/>
            <w:tcMar>
              <w:top w:w="15" w:type="dxa"/>
              <w:left w:w="0" w:type="dxa"/>
              <w:bottom w:w="0" w:type="dxa"/>
              <w:right w:w="15" w:type="dxa"/>
            </w:tcMar>
            <w:vAlign w:val="bottom"/>
            <w:hideMark/>
          </w:tcPr>
          <w:p w14:paraId="5C117F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265EA99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189BD7B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2DAFA8F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0.053</w:t>
            </w:r>
          </w:p>
        </w:tc>
        <w:tc>
          <w:tcPr>
            <w:tcW w:w="190" w:type="dxa"/>
            <w:shd w:val="clear" w:color="auto" w:fill="CFF0FC"/>
            <w:noWrap/>
            <w:tcMar>
              <w:top w:w="15" w:type="dxa"/>
              <w:left w:w="0" w:type="dxa"/>
              <w:bottom w:w="0" w:type="dxa"/>
              <w:right w:w="15" w:type="dxa"/>
            </w:tcMar>
            <w:vAlign w:val="bottom"/>
            <w:hideMark/>
          </w:tcPr>
          <w:p w14:paraId="46F15C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3482EFB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1E33B4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408F056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0.051</w:t>
            </w:r>
          </w:p>
        </w:tc>
        <w:tc>
          <w:tcPr>
            <w:tcW w:w="190" w:type="dxa"/>
            <w:shd w:val="clear" w:color="auto" w:fill="CFF0FC"/>
            <w:noWrap/>
            <w:tcMar>
              <w:top w:w="15" w:type="dxa"/>
              <w:left w:w="0" w:type="dxa"/>
              <w:bottom w:w="0" w:type="dxa"/>
              <w:right w:w="15" w:type="dxa"/>
            </w:tcMar>
            <w:vAlign w:val="bottom"/>
            <w:hideMark/>
          </w:tcPr>
          <w:p w14:paraId="49CF207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2A1DBCE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51E5399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61E04FB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0.053</w:t>
            </w:r>
          </w:p>
        </w:tc>
        <w:tc>
          <w:tcPr>
            <w:tcW w:w="190" w:type="dxa"/>
            <w:shd w:val="clear" w:color="auto" w:fill="CFF0FC"/>
            <w:noWrap/>
            <w:tcMar>
              <w:top w:w="15" w:type="dxa"/>
              <w:left w:w="0" w:type="dxa"/>
              <w:bottom w:w="0" w:type="dxa"/>
              <w:right w:w="15" w:type="dxa"/>
            </w:tcMar>
            <w:vAlign w:val="bottom"/>
            <w:hideMark/>
          </w:tcPr>
          <w:p w14:paraId="755F20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5D636D5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4A6685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34" w:type="dxa"/>
            <w:shd w:val="clear" w:color="auto" w:fill="CFF0FC"/>
            <w:noWrap/>
            <w:tcMar>
              <w:top w:w="15" w:type="dxa"/>
              <w:left w:w="0" w:type="dxa"/>
              <w:bottom w:w="0" w:type="dxa"/>
              <w:right w:w="15" w:type="dxa"/>
            </w:tcMar>
            <w:vAlign w:val="bottom"/>
            <w:hideMark/>
          </w:tcPr>
          <w:p w14:paraId="5A1FA34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0.048</w:t>
            </w:r>
          </w:p>
        </w:tc>
        <w:tc>
          <w:tcPr>
            <w:tcW w:w="53" w:type="dxa"/>
            <w:shd w:val="clear" w:color="auto" w:fill="CFF0FC"/>
            <w:noWrap/>
            <w:tcMar>
              <w:top w:w="15" w:type="dxa"/>
              <w:left w:w="0" w:type="dxa"/>
              <w:bottom w:w="0" w:type="dxa"/>
              <w:right w:w="15" w:type="dxa"/>
            </w:tcMar>
            <w:vAlign w:val="bottom"/>
            <w:hideMark/>
          </w:tcPr>
          <w:p w14:paraId="0AC8E30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186142E" w14:textId="77777777" w:rsidTr="00AC4931">
        <w:tc>
          <w:tcPr>
            <w:tcW w:w="3057" w:type="dxa"/>
            <w:shd w:val="clear" w:color="auto" w:fill="FFFFFF"/>
            <w:tcMar>
              <w:top w:w="15" w:type="dxa"/>
              <w:left w:w="0" w:type="dxa"/>
              <w:bottom w:w="0" w:type="dxa"/>
              <w:right w:w="15" w:type="dxa"/>
            </w:tcMar>
            <w:hideMark/>
          </w:tcPr>
          <w:p w14:paraId="39F868C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SEK</w:t>
            </w:r>
          </w:p>
        </w:tc>
        <w:tc>
          <w:tcPr>
            <w:tcW w:w="190" w:type="dxa"/>
            <w:shd w:val="clear" w:color="auto" w:fill="FFFFFF"/>
            <w:tcMar>
              <w:top w:w="15" w:type="dxa"/>
              <w:left w:w="0" w:type="dxa"/>
              <w:bottom w:w="0" w:type="dxa"/>
              <w:right w:w="15" w:type="dxa"/>
            </w:tcMar>
            <w:vAlign w:val="bottom"/>
            <w:hideMark/>
          </w:tcPr>
          <w:p w14:paraId="09D8C5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5C0F623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5537F96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0.109</w:t>
            </w:r>
          </w:p>
        </w:tc>
        <w:tc>
          <w:tcPr>
            <w:tcW w:w="190" w:type="dxa"/>
            <w:shd w:val="clear" w:color="auto" w:fill="FFFFFF"/>
            <w:noWrap/>
            <w:tcMar>
              <w:top w:w="15" w:type="dxa"/>
              <w:left w:w="0" w:type="dxa"/>
              <w:bottom w:w="0" w:type="dxa"/>
              <w:right w:w="15" w:type="dxa"/>
            </w:tcMar>
            <w:vAlign w:val="bottom"/>
            <w:hideMark/>
          </w:tcPr>
          <w:p w14:paraId="5F66BB7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03323A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38F4F65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FFFFFF"/>
            <w:noWrap/>
            <w:tcMar>
              <w:top w:w="15" w:type="dxa"/>
              <w:left w:w="0" w:type="dxa"/>
              <w:bottom w:w="0" w:type="dxa"/>
              <w:right w:w="15" w:type="dxa"/>
            </w:tcMar>
            <w:vAlign w:val="bottom"/>
            <w:hideMark/>
          </w:tcPr>
          <w:p w14:paraId="289B668A"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0.122</w:t>
            </w:r>
          </w:p>
        </w:tc>
        <w:tc>
          <w:tcPr>
            <w:tcW w:w="190" w:type="dxa"/>
            <w:shd w:val="clear" w:color="auto" w:fill="FFFFFF"/>
            <w:noWrap/>
            <w:tcMar>
              <w:top w:w="15" w:type="dxa"/>
              <w:left w:w="0" w:type="dxa"/>
              <w:bottom w:w="0" w:type="dxa"/>
              <w:right w:w="15" w:type="dxa"/>
            </w:tcMar>
            <w:vAlign w:val="bottom"/>
            <w:hideMark/>
          </w:tcPr>
          <w:p w14:paraId="6CB97B1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22B351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544CA3B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1B31188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0.106</w:t>
            </w:r>
          </w:p>
        </w:tc>
        <w:tc>
          <w:tcPr>
            <w:tcW w:w="190" w:type="dxa"/>
            <w:shd w:val="clear" w:color="auto" w:fill="FFFFFF"/>
            <w:noWrap/>
            <w:tcMar>
              <w:top w:w="15" w:type="dxa"/>
              <w:left w:w="0" w:type="dxa"/>
              <w:bottom w:w="0" w:type="dxa"/>
              <w:right w:w="15" w:type="dxa"/>
            </w:tcMar>
            <w:vAlign w:val="bottom"/>
            <w:hideMark/>
          </w:tcPr>
          <w:p w14:paraId="4587526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7371255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56B15D7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FFFFFF"/>
            <w:noWrap/>
            <w:tcMar>
              <w:top w:w="15" w:type="dxa"/>
              <w:left w:w="0" w:type="dxa"/>
              <w:bottom w:w="0" w:type="dxa"/>
              <w:right w:w="15" w:type="dxa"/>
            </w:tcMar>
            <w:vAlign w:val="bottom"/>
            <w:hideMark/>
          </w:tcPr>
          <w:p w14:paraId="6D5C156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0.107</w:t>
            </w:r>
          </w:p>
        </w:tc>
        <w:tc>
          <w:tcPr>
            <w:tcW w:w="190" w:type="dxa"/>
            <w:shd w:val="clear" w:color="auto" w:fill="FFFFFF"/>
            <w:noWrap/>
            <w:tcMar>
              <w:top w:w="15" w:type="dxa"/>
              <w:left w:w="0" w:type="dxa"/>
              <w:bottom w:w="0" w:type="dxa"/>
              <w:right w:w="15" w:type="dxa"/>
            </w:tcMar>
            <w:vAlign w:val="bottom"/>
            <w:hideMark/>
          </w:tcPr>
          <w:p w14:paraId="00AE8C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4355BF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4BA24D8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2C84258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0.115</w:t>
            </w:r>
          </w:p>
        </w:tc>
        <w:tc>
          <w:tcPr>
            <w:tcW w:w="190" w:type="dxa"/>
            <w:shd w:val="clear" w:color="auto" w:fill="FFFFFF"/>
            <w:noWrap/>
            <w:tcMar>
              <w:top w:w="15" w:type="dxa"/>
              <w:left w:w="0" w:type="dxa"/>
              <w:bottom w:w="0" w:type="dxa"/>
              <w:right w:w="15" w:type="dxa"/>
            </w:tcMar>
            <w:vAlign w:val="bottom"/>
            <w:hideMark/>
          </w:tcPr>
          <w:p w14:paraId="64A099D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00399E6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3D7D8C3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FFFFFF"/>
            <w:noWrap/>
            <w:tcMar>
              <w:top w:w="15" w:type="dxa"/>
              <w:left w:w="0" w:type="dxa"/>
              <w:bottom w:w="0" w:type="dxa"/>
              <w:right w:w="15" w:type="dxa"/>
            </w:tcMar>
            <w:vAlign w:val="bottom"/>
            <w:hideMark/>
          </w:tcPr>
          <w:p w14:paraId="1479BEF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0.111</w:t>
            </w:r>
          </w:p>
        </w:tc>
        <w:tc>
          <w:tcPr>
            <w:tcW w:w="190" w:type="dxa"/>
            <w:shd w:val="clear" w:color="auto" w:fill="FFFFFF"/>
            <w:noWrap/>
            <w:tcMar>
              <w:top w:w="15" w:type="dxa"/>
              <w:left w:w="0" w:type="dxa"/>
              <w:bottom w:w="0" w:type="dxa"/>
              <w:right w:w="15" w:type="dxa"/>
            </w:tcMar>
            <w:vAlign w:val="bottom"/>
            <w:hideMark/>
          </w:tcPr>
          <w:p w14:paraId="1D9F60B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064F4B8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2B10CF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3EF1BB6C"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0.117</w:t>
            </w:r>
          </w:p>
        </w:tc>
        <w:tc>
          <w:tcPr>
            <w:tcW w:w="190" w:type="dxa"/>
            <w:shd w:val="clear" w:color="auto" w:fill="FFFFFF"/>
            <w:noWrap/>
            <w:tcMar>
              <w:top w:w="15" w:type="dxa"/>
              <w:left w:w="0" w:type="dxa"/>
              <w:bottom w:w="0" w:type="dxa"/>
              <w:right w:w="15" w:type="dxa"/>
            </w:tcMar>
            <w:vAlign w:val="bottom"/>
            <w:hideMark/>
          </w:tcPr>
          <w:p w14:paraId="5AAFF4A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2B48888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18AA53D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595E82A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0.121</w:t>
            </w:r>
          </w:p>
        </w:tc>
        <w:tc>
          <w:tcPr>
            <w:tcW w:w="190" w:type="dxa"/>
            <w:shd w:val="clear" w:color="auto" w:fill="FFFFFF"/>
            <w:noWrap/>
            <w:tcMar>
              <w:top w:w="15" w:type="dxa"/>
              <w:left w:w="0" w:type="dxa"/>
              <w:bottom w:w="0" w:type="dxa"/>
              <w:right w:w="15" w:type="dxa"/>
            </w:tcMar>
            <w:vAlign w:val="bottom"/>
            <w:hideMark/>
          </w:tcPr>
          <w:p w14:paraId="19C6C83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79FC8C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68B62AF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FFFFFF"/>
            <w:noWrap/>
            <w:tcMar>
              <w:top w:w="15" w:type="dxa"/>
              <w:left w:w="0" w:type="dxa"/>
              <w:bottom w:w="0" w:type="dxa"/>
              <w:right w:w="15" w:type="dxa"/>
            </w:tcMar>
            <w:vAlign w:val="bottom"/>
            <w:hideMark/>
          </w:tcPr>
          <w:p w14:paraId="2F9C519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0.117</w:t>
            </w:r>
          </w:p>
        </w:tc>
        <w:tc>
          <w:tcPr>
            <w:tcW w:w="190" w:type="dxa"/>
            <w:shd w:val="clear" w:color="auto" w:fill="FFFFFF"/>
            <w:noWrap/>
            <w:tcMar>
              <w:top w:w="15" w:type="dxa"/>
              <w:left w:w="0" w:type="dxa"/>
              <w:bottom w:w="0" w:type="dxa"/>
              <w:right w:w="15" w:type="dxa"/>
            </w:tcMar>
            <w:vAlign w:val="bottom"/>
            <w:hideMark/>
          </w:tcPr>
          <w:p w14:paraId="1AF265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tcMar>
              <w:top w:w="15" w:type="dxa"/>
              <w:left w:w="0" w:type="dxa"/>
              <w:bottom w:w="0" w:type="dxa"/>
              <w:right w:w="15" w:type="dxa"/>
            </w:tcMar>
            <w:vAlign w:val="bottom"/>
            <w:hideMark/>
          </w:tcPr>
          <w:p w14:paraId="602E69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FFFFFF"/>
            <w:noWrap/>
            <w:tcMar>
              <w:top w:w="15" w:type="dxa"/>
              <w:left w:w="0" w:type="dxa"/>
              <w:bottom w:w="0" w:type="dxa"/>
              <w:right w:w="15" w:type="dxa"/>
            </w:tcMar>
            <w:vAlign w:val="bottom"/>
            <w:hideMark/>
          </w:tcPr>
          <w:p w14:paraId="6FA4658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34" w:type="dxa"/>
            <w:shd w:val="clear" w:color="auto" w:fill="FFFFFF"/>
            <w:noWrap/>
            <w:tcMar>
              <w:top w:w="15" w:type="dxa"/>
              <w:left w:w="0" w:type="dxa"/>
              <w:bottom w:w="0" w:type="dxa"/>
              <w:right w:w="15" w:type="dxa"/>
            </w:tcMar>
            <w:vAlign w:val="bottom"/>
            <w:hideMark/>
          </w:tcPr>
          <w:p w14:paraId="10D8A1E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0.110</w:t>
            </w:r>
          </w:p>
        </w:tc>
        <w:tc>
          <w:tcPr>
            <w:tcW w:w="53" w:type="dxa"/>
            <w:shd w:val="clear" w:color="auto" w:fill="FFFFFF"/>
            <w:noWrap/>
            <w:tcMar>
              <w:top w:w="15" w:type="dxa"/>
              <w:left w:w="0" w:type="dxa"/>
              <w:bottom w:w="0" w:type="dxa"/>
              <w:right w:w="15" w:type="dxa"/>
            </w:tcMar>
            <w:vAlign w:val="bottom"/>
            <w:hideMark/>
          </w:tcPr>
          <w:p w14:paraId="61C6C5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264367F2" w14:textId="77777777" w:rsidTr="00AC4931">
        <w:tc>
          <w:tcPr>
            <w:tcW w:w="3057" w:type="dxa"/>
            <w:shd w:val="clear" w:color="auto" w:fill="CFF0FC"/>
            <w:tcMar>
              <w:top w:w="15" w:type="dxa"/>
              <w:left w:w="0" w:type="dxa"/>
              <w:bottom w:w="0" w:type="dxa"/>
              <w:right w:w="15" w:type="dxa"/>
            </w:tcMar>
            <w:hideMark/>
          </w:tcPr>
          <w:p w14:paraId="2FC0E63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BRL</w:t>
            </w:r>
          </w:p>
        </w:tc>
        <w:tc>
          <w:tcPr>
            <w:tcW w:w="190" w:type="dxa"/>
            <w:shd w:val="clear" w:color="auto" w:fill="CFF0FC"/>
            <w:tcMar>
              <w:top w:w="15" w:type="dxa"/>
              <w:left w:w="0" w:type="dxa"/>
              <w:bottom w:w="0" w:type="dxa"/>
              <w:right w:w="15" w:type="dxa"/>
            </w:tcMar>
            <w:vAlign w:val="bottom"/>
            <w:hideMark/>
          </w:tcPr>
          <w:p w14:paraId="164D1DC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277C4BE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667903B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0.197</w:t>
            </w:r>
          </w:p>
        </w:tc>
        <w:tc>
          <w:tcPr>
            <w:tcW w:w="190" w:type="dxa"/>
            <w:shd w:val="clear" w:color="auto" w:fill="CFF0FC"/>
            <w:noWrap/>
            <w:tcMar>
              <w:top w:w="15" w:type="dxa"/>
              <w:left w:w="0" w:type="dxa"/>
              <w:bottom w:w="0" w:type="dxa"/>
              <w:right w:w="15" w:type="dxa"/>
            </w:tcMar>
            <w:vAlign w:val="bottom"/>
            <w:hideMark/>
          </w:tcPr>
          <w:p w14:paraId="4B901D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72C212E7"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1A5C1DA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CFF0FC"/>
            <w:noWrap/>
            <w:tcMar>
              <w:top w:w="15" w:type="dxa"/>
              <w:left w:w="0" w:type="dxa"/>
              <w:bottom w:w="0" w:type="dxa"/>
              <w:right w:w="15" w:type="dxa"/>
            </w:tcMar>
            <w:vAlign w:val="bottom"/>
            <w:hideMark/>
          </w:tcPr>
          <w:p w14:paraId="5AE9911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0.192</w:t>
            </w:r>
          </w:p>
        </w:tc>
        <w:tc>
          <w:tcPr>
            <w:tcW w:w="190" w:type="dxa"/>
            <w:shd w:val="clear" w:color="auto" w:fill="CFF0FC"/>
            <w:noWrap/>
            <w:tcMar>
              <w:top w:w="15" w:type="dxa"/>
              <w:left w:w="0" w:type="dxa"/>
              <w:bottom w:w="0" w:type="dxa"/>
              <w:right w:w="15" w:type="dxa"/>
            </w:tcMar>
            <w:vAlign w:val="bottom"/>
            <w:hideMark/>
          </w:tcPr>
          <w:p w14:paraId="4D70E76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7F69C9B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186C118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04EA1E2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0.253</w:t>
            </w:r>
          </w:p>
        </w:tc>
        <w:tc>
          <w:tcPr>
            <w:tcW w:w="190" w:type="dxa"/>
            <w:shd w:val="clear" w:color="auto" w:fill="CFF0FC"/>
            <w:noWrap/>
            <w:tcMar>
              <w:top w:w="15" w:type="dxa"/>
              <w:left w:w="0" w:type="dxa"/>
              <w:bottom w:w="0" w:type="dxa"/>
              <w:right w:w="15" w:type="dxa"/>
            </w:tcMar>
            <w:vAlign w:val="bottom"/>
            <w:hideMark/>
          </w:tcPr>
          <w:p w14:paraId="2494508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68E337D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6FE3292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CFF0FC"/>
            <w:noWrap/>
            <w:tcMar>
              <w:top w:w="15" w:type="dxa"/>
              <w:left w:w="0" w:type="dxa"/>
              <w:bottom w:w="0" w:type="dxa"/>
              <w:right w:w="15" w:type="dxa"/>
            </w:tcMar>
            <w:vAlign w:val="bottom"/>
            <w:hideMark/>
          </w:tcPr>
          <w:p w14:paraId="78AE670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0.247</w:t>
            </w:r>
          </w:p>
        </w:tc>
        <w:tc>
          <w:tcPr>
            <w:tcW w:w="190" w:type="dxa"/>
            <w:shd w:val="clear" w:color="auto" w:fill="CFF0FC"/>
            <w:noWrap/>
            <w:tcMar>
              <w:top w:w="15" w:type="dxa"/>
              <w:left w:w="0" w:type="dxa"/>
              <w:bottom w:w="0" w:type="dxa"/>
              <w:right w:w="15" w:type="dxa"/>
            </w:tcMar>
            <w:vAlign w:val="bottom"/>
            <w:hideMark/>
          </w:tcPr>
          <w:p w14:paraId="55B44C3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00DDBD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55B686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5657B34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0.276</w:t>
            </w:r>
          </w:p>
        </w:tc>
        <w:tc>
          <w:tcPr>
            <w:tcW w:w="190" w:type="dxa"/>
            <w:shd w:val="clear" w:color="auto" w:fill="CFF0FC"/>
            <w:noWrap/>
            <w:tcMar>
              <w:top w:w="15" w:type="dxa"/>
              <w:left w:w="0" w:type="dxa"/>
              <w:bottom w:w="0" w:type="dxa"/>
              <w:right w:w="15" w:type="dxa"/>
            </w:tcMar>
            <w:vAlign w:val="bottom"/>
            <w:hideMark/>
          </w:tcPr>
          <w:p w14:paraId="7D8528C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7879EB1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783C2C1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8" w:type="dxa"/>
            <w:shd w:val="clear" w:color="auto" w:fill="CFF0FC"/>
            <w:noWrap/>
            <w:tcMar>
              <w:top w:w="15" w:type="dxa"/>
              <w:left w:w="0" w:type="dxa"/>
              <w:bottom w:w="0" w:type="dxa"/>
              <w:right w:w="15" w:type="dxa"/>
            </w:tcMar>
            <w:vAlign w:val="bottom"/>
            <w:hideMark/>
          </w:tcPr>
          <w:p w14:paraId="37754A4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0.258</w:t>
            </w:r>
          </w:p>
        </w:tc>
        <w:tc>
          <w:tcPr>
            <w:tcW w:w="190" w:type="dxa"/>
            <w:shd w:val="clear" w:color="auto" w:fill="CFF0FC"/>
            <w:noWrap/>
            <w:tcMar>
              <w:top w:w="15" w:type="dxa"/>
              <w:left w:w="0" w:type="dxa"/>
              <w:bottom w:w="0" w:type="dxa"/>
              <w:right w:w="15" w:type="dxa"/>
            </w:tcMar>
            <w:vAlign w:val="bottom"/>
            <w:hideMark/>
          </w:tcPr>
          <w:p w14:paraId="29AE3A8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1C0795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69FD18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2DAD108B"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0.313</w:t>
            </w:r>
          </w:p>
        </w:tc>
        <w:tc>
          <w:tcPr>
            <w:tcW w:w="190" w:type="dxa"/>
            <w:shd w:val="clear" w:color="auto" w:fill="CFF0FC"/>
            <w:noWrap/>
            <w:tcMar>
              <w:top w:w="15" w:type="dxa"/>
              <w:left w:w="0" w:type="dxa"/>
              <w:bottom w:w="0" w:type="dxa"/>
              <w:right w:w="15" w:type="dxa"/>
            </w:tcMar>
            <w:vAlign w:val="bottom"/>
            <w:hideMark/>
          </w:tcPr>
          <w:p w14:paraId="6360747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06600BF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2DB8A2D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1F4B8884"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0.302</w:t>
            </w:r>
          </w:p>
        </w:tc>
        <w:tc>
          <w:tcPr>
            <w:tcW w:w="190" w:type="dxa"/>
            <w:shd w:val="clear" w:color="auto" w:fill="CFF0FC"/>
            <w:noWrap/>
            <w:tcMar>
              <w:top w:w="15" w:type="dxa"/>
              <w:left w:w="0" w:type="dxa"/>
              <w:bottom w:w="0" w:type="dxa"/>
              <w:right w:w="15" w:type="dxa"/>
            </w:tcMar>
            <w:vAlign w:val="bottom"/>
            <w:hideMark/>
          </w:tcPr>
          <w:p w14:paraId="2FC10034"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1A3192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7AE02A4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149" w:type="dxa"/>
            <w:shd w:val="clear" w:color="auto" w:fill="CFF0FC"/>
            <w:noWrap/>
            <w:tcMar>
              <w:top w:w="15" w:type="dxa"/>
              <w:left w:w="0" w:type="dxa"/>
              <w:bottom w:w="0" w:type="dxa"/>
              <w:right w:w="15" w:type="dxa"/>
            </w:tcMar>
            <w:vAlign w:val="bottom"/>
            <w:hideMark/>
          </w:tcPr>
          <w:p w14:paraId="04C1EA9D"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0.289</w:t>
            </w:r>
          </w:p>
        </w:tc>
        <w:tc>
          <w:tcPr>
            <w:tcW w:w="190" w:type="dxa"/>
            <w:shd w:val="clear" w:color="auto" w:fill="CFF0FC"/>
            <w:noWrap/>
            <w:tcMar>
              <w:top w:w="15" w:type="dxa"/>
              <w:left w:w="0" w:type="dxa"/>
              <w:bottom w:w="0" w:type="dxa"/>
              <w:right w:w="15" w:type="dxa"/>
            </w:tcMar>
            <w:vAlign w:val="bottom"/>
            <w:hideMark/>
          </w:tcPr>
          <w:p w14:paraId="1E524B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tcMar>
              <w:top w:w="15" w:type="dxa"/>
              <w:left w:w="0" w:type="dxa"/>
              <w:bottom w:w="0" w:type="dxa"/>
              <w:right w:w="15" w:type="dxa"/>
            </w:tcMar>
            <w:vAlign w:val="bottom"/>
            <w:hideMark/>
          </w:tcPr>
          <w:p w14:paraId="561BA5E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90" w:type="dxa"/>
            <w:shd w:val="clear" w:color="auto" w:fill="CFF0FC"/>
            <w:noWrap/>
            <w:tcMar>
              <w:top w:w="15" w:type="dxa"/>
              <w:left w:w="0" w:type="dxa"/>
              <w:bottom w:w="0" w:type="dxa"/>
              <w:right w:w="15" w:type="dxa"/>
            </w:tcMar>
            <w:vAlign w:val="bottom"/>
            <w:hideMark/>
          </w:tcPr>
          <w:p w14:paraId="7DB8D9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034" w:type="dxa"/>
            <w:shd w:val="clear" w:color="auto" w:fill="CFF0FC"/>
            <w:noWrap/>
            <w:tcMar>
              <w:top w:w="15" w:type="dxa"/>
              <w:left w:w="0" w:type="dxa"/>
              <w:bottom w:w="0" w:type="dxa"/>
              <w:right w:w="15" w:type="dxa"/>
            </w:tcMar>
            <w:vAlign w:val="bottom"/>
            <w:hideMark/>
          </w:tcPr>
          <w:p w14:paraId="377529E7"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0.307</w:t>
            </w:r>
          </w:p>
        </w:tc>
        <w:tc>
          <w:tcPr>
            <w:tcW w:w="53" w:type="dxa"/>
            <w:shd w:val="clear" w:color="auto" w:fill="CFF0FC"/>
            <w:noWrap/>
            <w:tcMar>
              <w:top w:w="15" w:type="dxa"/>
              <w:left w:w="0" w:type="dxa"/>
              <w:bottom w:w="0" w:type="dxa"/>
              <w:right w:w="15" w:type="dxa"/>
            </w:tcMar>
            <w:vAlign w:val="bottom"/>
            <w:hideMark/>
          </w:tcPr>
          <w:p w14:paraId="24D54EF9"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02F77F51"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p w14:paraId="6BDBF614" w14:textId="77777777" w:rsidR="00AC4931" w:rsidRPr="00AC4931" w:rsidRDefault="00AC4931" w:rsidP="00AC4931">
      <w:pPr>
        <w:widowControl/>
        <w:rPr>
          <w:rFonts w:ascii="微软雅黑" w:eastAsia="微软雅黑" w:hAnsi="微软雅黑" w:cs="宋体" w:hint="eastAsia"/>
          <w:color w:val="000000"/>
          <w:kern w:val="0"/>
          <w:sz w:val="18"/>
          <w:szCs w:val="18"/>
        </w:rPr>
      </w:pPr>
      <w:r w:rsidRPr="00AC4931">
        <w:rPr>
          <w:rFonts w:ascii="微软雅黑" w:eastAsia="微软雅黑" w:hAnsi="微软雅黑" w:cs="宋体" w:hint="eastAsia"/>
          <w:color w:val="000000"/>
          <w:kern w:val="0"/>
          <w:sz w:val="18"/>
          <w:szCs w:val="18"/>
        </w:rPr>
        <w:t> </w:t>
      </w:r>
    </w:p>
    <w:p w14:paraId="707C4B2F" w14:textId="77777777" w:rsidR="00AC4931" w:rsidRPr="00AC4931" w:rsidRDefault="00AC4931" w:rsidP="00AC4931">
      <w:pPr>
        <w:widowControl/>
        <w:rPr>
          <w:rFonts w:ascii="微软雅黑" w:eastAsia="微软雅黑" w:hAnsi="微软雅黑" w:cs="宋体" w:hint="eastAsia"/>
          <w:color w:val="000000"/>
          <w:kern w:val="0"/>
          <w:sz w:val="18"/>
          <w:szCs w:val="18"/>
        </w:rPr>
      </w:pPr>
      <w:r w:rsidRPr="00AC4931">
        <w:rPr>
          <w:rFonts w:ascii="微软雅黑" w:eastAsia="微软雅黑" w:hAnsi="微软雅黑" w:cs="宋体" w:hint="eastAsia"/>
          <w:color w:val="000000"/>
          <w:kern w:val="0"/>
          <w:sz w:val="18"/>
          <w:szCs w:val="18"/>
        </w:rPr>
        <w:t> </w:t>
      </w:r>
    </w:p>
    <w:p w14:paraId="6B5D4CD2"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88</w:t>
      </w:r>
    </w:p>
    <w:p w14:paraId="7559132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54039D8"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BF817B8"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7B2B840"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14D3797">
          <v:rect id="_x0000_i1115" style="width:0;height:1.5pt" o:hralign="center" o:hrstd="t" o:hrnoshade="t" o:hr="t" fillcolor="black" stroked="f"/>
        </w:pict>
      </w:r>
    </w:p>
    <w:p w14:paraId="5E5330E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88752C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A805040"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7936F8E"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1E2B7F4B" w14:textId="77777777" w:rsidR="00AC4931" w:rsidRPr="00AC4931" w:rsidRDefault="00AC4931" w:rsidP="00AC4931">
      <w:pPr>
        <w:widowControl/>
        <w:spacing w:before="100"/>
        <w:rPr>
          <w:rFonts w:ascii="Arial" w:eastAsia="宋体" w:hAnsi="Arial" w:cs="Arial"/>
          <w:b/>
          <w:bCs/>
          <w:color w:val="000000"/>
          <w:kern w:val="0"/>
          <w:sz w:val="22"/>
        </w:rPr>
      </w:pPr>
      <w:r w:rsidRPr="00AC4931">
        <w:rPr>
          <w:rFonts w:ascii="Arial" w:eastAsia="宋体" w:hAnsi="Arial" w:cs="Arial"/>
          <w:b/>
          <w:bCs/>
          <w:color w:val="000000"/>
          <w:kern w:val="0"/>
          <w:sz w:val="22"/>
        </w:rPr>
        <w:t>Item 9. Changes in and Disagreements with Accountants on Accounting and Financial Disclosure</w:t>
      </w:r>
    </w:p>
    <w:p w14:paraId="05BF1885"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There have been no changes to and no disagreements with our independent auditors regarding accounting or financial disclosure matters in our two most recent fiscal years.</w:t>
      </w:r>
    </w:p>
    <w:p w14:paraId="0F1C699B"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00C1721" w14:textId="77777777" w:rsidR="00AC4931" w:rsidRPr="00AC4931" w:rsidRDefault="00AC4931" w:rsidP="00AC4931">
      <w:pPr>
        <w:widowControl/>
        <w:spacing w:before="160"/>
        <w:rPr>
          <w:rFonts w:ascii="Arial" w:eastAsia="宋体" w:hAnsi="Arial" w:cs="Arial" w:hint="eastAsia"/>
          <w:b/>
          <w:bCs/>
          <w:color w:val="000000"/>
          <w:kern w:val="0"/>
          <w:sz w:val="22"/>
        </w:rPr>
      </w:pPr>
      <w:r w:rsidRPr="00AC4931">
        <w:rPr>
          <w:rFonts w:ascii="Arial" w:eastAsia="宋体" w:hAnsi="Arial" w:cs="Arial"/>
          <w:b/>
          <w:bCs/>
          <w:color w:val="000000"/>
          <w:kern w:val="0"/>
          <w:sz w:val="22"/>
        </w:rPr>
        <w:t>Item 9A. Controls and Procedures</w:t>
      </w:r>
    </w:p>
    <w:p w14:paraId="7AE03330"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Evaluation of Disclosure Controls and Procedures</w:t>
      </w:r>
    </w:p>
    <w:p w14:paraId="0618AF5A"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An evaluation has been carried out by the Company’s management, under the supervision and with the participation of the Company’s Chief Executive Officer and Chief Financial Officer, of the effectiveness of the design and operation of our disclosure controls and procedures (as such term is defined in Rules 13a-</w:t>
      </w:r>
      <w:r w:rsidRPr="00AC4931">
        <w:rPr>
          <w:rFonts w:ascii="Arial" w:eastAsia="宋体" w:hAnsi="Arial" w:cs="Arial"/>
          <w:color w:val="000000"/>
          <w:kern w:val="0"/>
          <w:sz w:val="18"/>
          <w:szCs w:val="18"/>
        </w:rPr>
        <w:lastRenderedPageBreak/>
        <w:t>15(e) and 15d-15(e) under the Securities Exchange Act of 1934, as amended (the “Exchange Act”)) as of the end of the period covered by this report. Based on such evaluation, the Company’s Chief Executive Officer and Chief Financial Officer have concluded that, as of the end of such period, the Company’s disclosure controls and procedures are effective.</w:t>
      </w:r>
    </w:p>
    <w:p w14:paraId="7C0BCD5C"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BD22F11"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Internal Control over Financial Reporting</w:t>
      </w:r>
    </w:p>
    <w:p w14:paraId="796487B3" w14:textId="77777777" w:rsidR="00AC4931" w:rsidRPr="00AC4931" w:rsidRDefault="00AC4931" w:rsidP="00AC4931">
      <w:pPr>
        <w:widowControl/>
        <w:spacing w:before="12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(a) Management’s Annual Report on Internal Control Over Financial Reporting</w:t>
      </w:r>
    </w:p>
    <w:p w14:paraId="20B6C6DB"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1EF77788"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Management of the Company is responsible for establishing and maintaining adequate internal control over financial reporting.</w:t>
      </w:r>
    </w:p>
    <w:p w14:paraId="16B16A2F"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Internal control over financial reporting is defined in Rules 13a-15(f) and 15d-15(f) under the Exchange Act as a process designed by, or under the supervision of, the Company’s principal executive and principal financial officers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and includes those policies and procedures that:</w:t>
      </w: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3201BEB9" w14:textId="77777777" w:rsidTr="00AC4931">
        <w:tc>
          <w:tcPr>
            <w:tcW w:w="919" w:type="dxa"/>
            <w:noWrap/>
            <w:hideMark/>
          </w:tcPr>
          <w:p w14:paraId="2F435562"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452F4EF1"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42F4522F"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pertain to the maintenance of records that in reasonable detail accurately and fairly reflect the transactions and dispositions of the assets of the Company;</w:t>
            </w:r>
          </w:p>
        </w:tc>
      </w:tr>
      <w:tr w:rsidR="00AC4931" w:rsidRPr="00AC4931" w14:paraId="59E5C498" w14:textId="77777777" w:rsidTr="00AC4931">
        <w:tc>
          <w:tcPr>
            <w:tcW w:w="919" w:type="dxa"/>
            <w:noWrap/>
            <w:hideMark/>
          </w:tcPr>
          <w:p w14:paraId="07FE9D65"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4DE8EB88"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7BA090F3"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w:t>
            </w:r>
          </w:p>
        </w:tc>
      </w:tr>
    </w:tbl>
    <w:p w14:paraId="5EB3E10B"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01C4E3FD" w14:textId="77777777" w:rsidTr="00AC4931">
        <w:tc>
          <w:tcPr>
            <w:tcW w:w="919" w:type="dxa"/>
            <w:noWrap/>
            <w:hideMark/>
          </w:tcPr>
          <w:p w14:paraId="35CD5D6E"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kern w:val="0"/>
                <w:sz w:val="20"/>
                <w:szCs w:val="20"/>
              </w:rPr>
              <w:t> </w:t>
            </w:r>
          </w:p>
        </w:tc>
        <w:tc>
          <w:tcPr>
            <w:tcW w:w="919" w:type="dxa"/>
            <w:noWrap/>
            <w:hideMark/>
          </w:tcPr>
          <w:p w14:paraId="22861729" w14:textId="77777777" w:rsidR="00AC4931" w:rsidRPr="00AC4931" w:rsidRDefault="00AC4931" w:rsidP="00AC4931">
            <w:pPr>
              <w:widowControl/>
              <w:spacing w:before="120"/>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w:t>
            </w:r>
          </w:p>
        </w:tc>
        <w:tc>
          <w:tcPr>
            <w:tcW w:w="0" w:type="auto"/>
            <w:hideMark/>
          </w:tcPr>
          <w:p w14:paraId="0D333D57" w14:textId="77777777" w:rsidR="00AC4931" w:rsidRPr="00AC4931" w:rsidRDefault="00AC4931" w:rsidP="00AC4931">
            <w:pPr>
              <w:widowControl/>
              <w:spacing w:before="120"/>
              <w:rPr>
                <w:rFonts w:ascii="Arial" w:eastAsia="宋体" w:hAnsi="Arial" w:cs="Arial"/>
                <w:kern w:val="0"/>
                <w:sz w:val="20"/>
                <w:szCs w:val="20"/>
              </w:rPr>
            </w:pPr>
            <w:r w:rsidRPr="00AC4931">
              <w:rPr>
                <w:rFonts w:ascii="Arial" w:eastAsia="宋体" w:hAnsi="Arial" w:cs="Arial"/>
                <w:color w:val="000000"/>
                <w:kern w:val="0"/>
                <w:sz w:val="18"/>
                <w:szCs w:val="18"/>
              </w:rPr>
              <w:t>provide reasonable assurance regarding prevention or timely detection of unauthorized acquisition, use or disposition of the Company’s assets that could have a material effect on the financial statements.</w:t>
            </w:r>
          </w:p>
        </w:tc>
      </w:tr>
    </w:tbl>
    <w:p w14:paraId="796B08EB"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Because of its inherent limitations, internal control over financial reporting may not prevent or detect misstatements. Projections of any evaluation of effectiveness to future periods are subject to the risks that controls may become inadequate because of changes in conditions, or that the degree of compliance with the policies or procedures may deteriorate.</w:t>
      </w:r>
    </w:p>
    <w:p w14:paraId="1A421F6E"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5BC7355"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Management assessed the effectiveness of Autoliv’s internal control over financial reporting as of December 31, 2020. In making this assessment, we used the criteria set forth by the Committee of Sponsoring Organizations of the Treadway Commission (COSO) in Internal Control – Integrated Framework (2013 framework).</w:t>
      </w:r>
    </w:p>
    <w:p w14:paraId="59A182CE"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24240DA7"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Based on our assessment, we believe that, as of December 31, 2020, the Company’s internal control over financial reporting is effective.</w:t>
      </w:r>
    </w:p>
    <w:p w14:paraId="162C79F7" w14:textId="77777777" w:rsidR="00AC4931" w:rsidRPr="00AC4931" w:rsidRDefault="00AC4931" w:rsidP="00AC4931">
      <w:pPr>
        <w:widowControl/>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 Attestation Report of the Registered Public Accounting Firm</w:t>
      </w:r>
    </w:p>
    <w:p w14:paraId="434FB858" w14:textId="77777777" w:rsidR="00AC4931" w:rsidRPr="00AC4931" w:rsidRDefault="00AC4931" w:rsidP="00AC4931">
      <w:pPr>
        <w:widowControl/>
        <w:rPr>
          <w:rFonts w:ascii="微软雅黑" w:eastAsia="微软雅黑" w:hAnsi="微软雅黑" w:cs="宋体"/>
          <w:color w:val="000000"/>
          <w:kern w:val="0"/>
          <w:sz w:val="12"/>
          <w:szCs w:val="12"/>
        </w:rPr>
      </w:pPr>
      <w:r w:rsidRPr="00AC4931">
        <w:rPr>
          <w:rFonts w:ascii="微软雅黑" w:eastAsia="微软雅黑" w:hAnsi="微软雅黑" w:cs="宋体" w:hint="eastAsia"/>
          <w:color w:val="000000"/>
          <w:kern w:val="0"/>
          <w:sz w:val="12"/>
          <w:szCs w:val="12"/>
        </w:rPr>
        <w:t> </w:t>
      </w:r>
    </w:p>
    <w:p w14:paraId="645FE9F9"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Ernst &amp; Young AB has issued an attestation report on the Company’s internal control over financial reporting, which is included herein as the Report of Independent Registered Public Accounting Firm under Item 8. Financial Statements and Supplementary Data for the year ended December 31, 2020.</w:t>
      </w:r>
    </w:p>
    <w:p w14:paraId="4E9FE5C6"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673EC17B"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(c) Changes in Internal Control over Financial Reporting</w:t>
      </w:r>
    </w:p>
    <w:p w14:paraId="6D9182BE"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lastRenderedPageBreak/>
        <w:t>There have not been any changes in the Company’s internal control over financial reporting (as such term is defined in Rules 13a-15-(f) and 15d-15(f) under the Exchange Act) during the quarter ended December 31, 2020 that have materially affected, or are reasonably likely to materially affect, the Company’s internal control over financial reporting.</w:t>
      </w:r>
    </w:p>
    <w:p w14:paraId="0251A4EB" w14:textId="77777777" w:rsidR="00AC4931" w:rsidRPr="00AC4931" w:rsidRDefault="00AC4931" w:rsidP="00AC4931">
      <w:pPr>
        <w:widowControl/>
        <w:spacing w:before="120"/>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1308272" w14:textId="77777777" w:rsidR="00AC4931" w:rsidRPr="00AC4931" w:rsidRDefault="00AC4931" w:rsidP="00AC4931">
      <w:pPr>
        <w:widowControl/>
        <w:rPr>
          <w:rFonts w:ascii="Arial" w:eastAsia="宋体" w:hAnsi="Arial" w:cs="Arial" w:hint="eastAsia"/>
          <w:color w:val="000000"/>
          <w:kern w:val="0"/>
          <w:sz w:val="18"/>
          <w:szCs w:val="18"/>
        </w:rPr>
      </w:pPr>
      <w:r w:rsidRPr="00AC4931">
        <w:rPr>
          <w:rFonts w:ascii="Arial" w:eastAsia="宋体" w:hAnsi="Arial" w:cs="Arial"/>
          <w:color w:val="000000"/>
          <w:kern w:val="0"/>
          <w:sz w:val="18"/>
          <w:szCs w:val="18"/>
          <w:shd w:val="clear" w:color="auto" w:fill="FFFFFF"/>
        </w:rPr>
        <w:t>The Company’s ability to maintain an effective internal control environment has not been impacted by the COVID-19 pandemic. The Company is continually monitoring and assessing the COVID-19 pandemic’s effect on its internal controls to minimize the impact on their design and operating effectiveness. </w:t>
      </w:r>
    </w:p>
    <w:p w14:paraId="0D09164D"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30A94C02" w14:textId="77777777" w:rsidR="00AC4931" w:rsidRPr="00AC4931" w:rsidRDefault="00AC4931" w:rsidP="00AC4931">
      <w:pPr>
        <w:widowControl/>
        <w:spacing w:before="160"/>
        <w:rPr>
          <w:rFonts w:ascii="Arial" w:eastAsia="宋体" w:hAnsi="Arial" w:cs="Arial" w:hint="eastAsia"/>
          <w:b/>
          <w:bCs/>
          <w:color w:val="000000"/>
          <w:kern w:val="0"/>
          <w:sz w:val="22"/>
        </w:rPr>
      </w:pPr>
      <w:r w:rsidRPr="00AC4931">
        <w:rPr>
          <w:rFonts w:ascii="Arial" w:eastAsia="宋体" w:hAnsi="Arial" w:cs="Arial"/>
          <w:b/>
          <w:bCs/>
          <w:color w:val="000000"/>
          <w:kern w:val="0"/>
          <w:sz w:val="22"/>
        </w:rPr>
        <w:t>Item 9B. Other Information</w:t>
      </w:r>
    </w:p>
    <w:p w14:paraId="69D5BFDE"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None.</w:t>
      </w:r>
    </w:p>
    <w:p w14:paraId="482E8B01"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3C9779A8"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89</w:t>
      </w:r>
    </w:p>
    <w:p w14:paraId="1A23092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D2234C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450289D"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232D2D9"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A5A9683">
          <v:rect id="_x0000_i1116" style="width:0;height:1.5pt" o:hralign="center" o:hrstd="t" o:hrnoshade="t" o:hr="t" fillcolor="black" stroked="f"/>
        </w:pict>
      </w:r>
    </w:p>
    <w:p w14:paraId="72CF911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FFD28E6"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E16C35D"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A51AF62"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0AC23253" w14:textId="77777777" w:rsidR="00AC4931" w:rsidRPr="00AC4931" w:rsidRDefault="00AC4931" w:rsidP="00AC4931">
      <w:pPr>
        <w:widowControl/>
        <w:jc w:val="center"/>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PART III</w:t>
      </w:r>
    </w:p>
    <w:p w14:paraId="571146F5" w14:textId="77777777" w:rsidR="00AC4931" w:rsidRPr="00AC4931" w:rsidRDefault="00AC4931" w:rsidP="00AC4931">
      <w:pPr>
        <w:widowControl/>
        <w:spacing w:before="240"/>
        <w:rPr>
          <w:rFonts w:ascii="Arial" w:eastAsia="宋体" w:hAnsi="Arial" w:cs="Arial"/>
          <w:b/>
          <w:bCs/>
          <w:color w:val="000000"/>
          <w:kern w:val="0"/>
          <w:sz w:val="22"/>
        </w:rPr>
      </w:pPr>
      <w:r w:rsidRPr="00AC4931">
        <w:rPr>
          <w:rFonts w:ascii="Arial" w:eastAsia="宋体" w:hAnsi="Arial" w:cs="Arial"/>
          <w:b/>
          <w:bCs/>
          <w:color w:val="000000"/>
          <w:kern w:val="0"/>
          <w:sz w:val="22"/>
        </w:rPr>
        <w:t>Item 10. Directors, Executive Officers and Corporate Governance</w:t>
      </w:r>
    </w:p>
    <w:p w14:paraId="4CDC16AB"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information required by Item 10. regarding executive officers, directors and nominees for election as directors of Autoliv, Autoliv’s Audit Committee, Autoliv’s code of ethics, and compliance with Section 16(A) of the Securities Exchange Act is incorporated herein by reference from the information under the captions “Executive Officers of the Company” and “Proposal 1: Election of Directors”, “Committees of the Board” and “Audit Committee Report”, “Corporate Governance Guidelines and Codes of Conduct and Ethics”, and “Section 16(a) Beneficial Ownership Reporting Compliance”, respectively, in the Company’s 2021 Proxy Statement. Information on Board meeting attendance is provided under the caption “Board Meetings” in the 2021 Proxy Statement and incorporated herein by reference.</w:t>
      </w:r>
    </w:p>
    <w:p w14:paraId="325E8D04"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054A5B2" w14:textId="77777777" w:rsidR="00AC4931" w:rsidRPr="00AC4931" w:rsidRDefault="00AC4931" w:rsidP="00AC4931">
      <w:pPr>
        <w:widowControl/>
        <w:spacing w:before="160"/>
        <w:rPr>
          <w:rFonts w:ascii="Arial" w:eastAsia="宋体" w:hAnsi="Arial" w:cs="Arial" w:hint="eastAsia"/>
          <w:b/>
          <w:bCs/>
          <w:color w:val="000000"/>
          <w:kern w:val="0"/>
          <w:sz w:val="22"/>
        </w:rPr>
      </w:pPr>
      <w:r w:rsidRPr="00AC4931">
        <w:rPr>
          <w:rFonts w:ascii="Arial" w:eastAsia="宋体" w:hAnsi="Arial" w:cs="Arial"/>
          <w:b/>
          <w:bCs/>
          <w:color w:val="000000"/>
          <w:kern w:val="0"/>
          <w:sz w:val="22"/>
        </w:rPr>
        <w:t>Item 11. Executive Compensation</w:t>
      </w:r>
    </w:p>
    <w:p w14:paraId="7A65964C"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information required by Item 11. regarding executive compensation for the year ended December 31, 2020 is included under the caption “Compensation Discussion and Analysis” in the 2021 Proxy Statement and is incorporated herein by reference. The information required by the same item regarding Leadership Development and Compensation Committee is included in the sections “Leadership Development and Compensation Committee Interlocks and Insider Participation” and “Leadership Development and Compensation Committee Report” in the 2021 Proxy Statement and is incorporated herein by reference.</w:t>
      </w:r>
    </w:p>
    <w:p w14:paraId="2643CC89"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20A5F0A" w14:textId="77777777" w:rsidR="00AC4931" w:rsidRPr="00AC4931" w:rsidRDefault="00AC4931" w:rsidP="00AC4931">
      <w:pPr>
        <w:widowControl/>
        <w:spacing w:before="160"/>
        <w:rPr>
          <w:rFonts w:ascii="Arial" w:eastAsia="宋体" w:hAnsi="Arial" w:cs="Arial" w:hint="eastAsia"/>
          <w:b/>
          <w:bCs/>
          <w:color w:val="000000"/>
          <w:kern w:val="0"/>
          <w:sz w:val="22"/>
        </w:rPr>
      </w:pPr>
      <w:r w:rsidRPr="00AC4931">
        <w:rPr>
          <w:rFonts w:ascii="Arial" w:eastAsia="宋体" w:hAnsi="Arial" w:cs="Arial"/>
          <w:b/>
          <w:bCs/>
          <w:color w:val="000000"/>
          <w:kern w:val="0"/>
          <w:sz w:val="22"/>
        </w:rPr>
        <w:lastRenderedPageBreak/>
        <w:t>Item 12. Security Ownership of Certain Beneficial Owners and Management and Related Stockholder Matters</w:t>
      </w:r>
    </w:p>
    <w:p w14:paraId="32ECD01C"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information required by Item 12. regarding beneficial ownership of Autoliv’s common stock is included under the caption “Security Ownership of Certain Beneficial Owners and Management” in the 2021 Proxy Statement and is incorporated herein by reference.</w:t>
      </w:r>
    </w:p>
    <w:p w14:paraId="41F894F8"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877BCEA"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Shares Previously Authorized for Issuance Under the 1997 Stock Incentive Plan</w:t>
      </w:r>
    </w:p>
    <w:p w14:paraId="2497608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The following table provides information as of December 31, 2020, about the common stock that may be issued under the Autoliv, Inc. Stock Incentive Plan. The Company does not have any equity compensation plans that have not been approved by its stockholders.</w:t>
      </w:r>
    </w:p>
    <w:p w14:paraId="5E5E2CAC"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16491" w:type="dxa"/>
        <w:tblCellMar>
          <w:left w:w="0" w:type="dxa"/>
          <w:right w:w="0" w:type="dxa"/>
        </w:tblCellMar>
        <w:tblLook w:val="04A0" w:firstRow="1" w:lastRow="0" w:firstColumn="1" w:lastColumn="0" w:noHBand="0" w:noVBand="1"/>
      </w:tblPr>
      <w:tblGrid>
        <w:gridCol w:w="6767"/>
        <w:gridCol w:w="213"/>
        <w:gridCol w:w="159"/>
        <w:gridCol w:w="2704"/>
        <w:gridCol w:w="159"/>
        <w:gridCol w:w="213"/>
        <w:gridCol w:w="176"/>
        <w:gridCol w:w="2705"/>
        <w:gridCol w:w="159"/>
        <w:gridCol w:w="213"/>
        <w:gridCol w:w="159"/>
        <w:gridCol w:w="2704"/>
        <w:gridCol w:w="160"/>
      </w:tblGrid>
      <w:tr w:rsidR="00AC4931" w:rsidRPr="00AC4931" w14:paraId="1C9B4993" w14:textId="77777777" w:rsidTr="00AC4931">
        <w:tc>
          <w:tcPr>
            <w:tcW w:w="6724" w:type="dxa"/>
            <w:shd w:val="clear" w:color="auto" w:fill="FFFFFF"/>
            <w:tcMar>
              <w:top w:w="15" w:type="dxa"/>
              <w:left w:w="0" w:type="dxa"/>
              <w:bottom w:w="0" w:type="dxa"/>
              <w:right w:w="15" w:type="dxa"/>
            </w:tcMar>
            <w:vAlign w:val="bottom"/>
            <w:hideMark/>
          </w:tcPr>
          <w:p w14:paraId="5DE4AD55" w14:textId="77777777" w:rsidR="00AC4931" w:rsidRPr="00AC4931" w:rsidRDefault="00AC4931" w:rsidP="00AC4931">
            <w:pPr>
              <w:widowControl/>
              <w:jc w:val="left"/>
              <w:rPr>
                <w:rFonts w:ascii="Arial" w:eastAsia="宋体" w:hAnsi="Arial" w:cs="Arial" w:hint="eastAsia"/>
                <w:b/>
                <w:bCs/>
                <w:color w:val="000000"/>
                <w:kern w:val="0"/>
                <w:sz w:val="16"/>
                <w:szCs w:val="16"/>
              </w:rPr>
            </w:pPr>
            <w:r w:rsidRPr="00AC4931">
              <w:rPr>
                <w:rFonts w:ascii="Arial" w:eastAsia="宋体" w:hAnsi="Arial" w:cs="Arial"/>
                <w:b/>
                <w:bCs/>
                <w:color w:val="000000"/>
                <w:kern w:val="0"/>
                <w:sz w:val="16"/>
                <w:szCs w:val="16"/>
                <w:u w:val="single"/>
              </w:rPr>
              <w:t>Plan Category</w:t>
            </w:r>
          </w:p>
        </w:tc>
        <w:tc>
          <w:tcPr>
            <w:tcW w:w="212" w:type="dxa"/>
            <w:shd w:val="clear" w:color="auto" w:fill="FFFFFF"/>
            <w:tcMar>
              <w:top w:w="15" w:type="dxa"/>
              <w:left w:w="0" w:type="dxa"/>
              <w:bottom w:w="0" w:type="dxa"/>
              <w:right w:w="15" w:type="dxa"/>
            </w:tcMar>
            <w:vAlign w:val="bottom"/>
            <w:hideMark/>
          </w:tcPr>
          <w:p w14:paraId="28DA707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837" w:type="dxa"/>
            <w:gridSpan w:val="2"/>
            <w:tcBorders>
              <w:bottom w:val="single" w:sz="6" w:space="0" w:color="000000"/>
            </w:tcBorders>
            <w:shd w:val="clear" w:color="auto" w:fill="FFFFFF"/>
            <w:tcMar>
              <w:top w:w="15" w:type="dxa"/>
              <w:left w:w="0" w:type="dxa"/>
              <w:bottom w:w="0" w:type="dxa"/>
              <w:right w:w="15" w:type="dxa"/>
            </w:tcMar>
            <w:vAlign w:val="bottom"/>
            <w:hideMark/>
          </w:tcPr>
          <w:p w14:paraId="5F19763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 Number of</w:t>
            </w:r>
          </w:p>
          <w:p w14:paraId="6ED93F3F"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Securities to</w:t>
            </w:r>
          </w:p>
          <w:p w14:paraId="1F5C4C3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be issued upon</w:t>
            </w:r>
          </w:p>
          <w:p w14:paraId="32E4F5C2"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exercise of</w:t>
            </w:r>
          </w:p>
          <w:p w14:paraId="14B4DF2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outstanding options,</w:t>
            </w:r>
          </w:p>
          <w:p w14:paraId="79E1C68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warrants and rights</w:t>
            </w:r>
          </w:p>
        </w:tc>
        <w:tc>
          <w:tcPr>
            <w:tcW w:w="150" w:type="dxa"/>
            <w:shd w:val="clear" w:color="auto" w:fill="FFFFFF"/>
            <w:noWrap/>
            <w:tcMar>
              <w:top w:w="15" w:type="dxa"/>
              <w:left w:w="0" w:type="dxa"/>
              <w:bottom w:w="0" w:type="dxa"/>
              <w:right w:w="15" w:type="dxa"/>
            </w:tcMar>
            <w:vAlign w:val="bottom"/>
            <w:hideMark/>
          </w:tcPr>
          <w:p w14:paraId="658A8122"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2" w:type="dxa"/>
            <w:shd w:val="clear" w:color="auto" w:fill="FFFFFF"/>
            <w:tcMar>
              <w:top w:w="15" w:type="dxa"/>
              <w:left w:w="0" w:type="dxa"/>
              <w:bottom w:w="0" w:type="dxa"/>
              <w:right w:w="15" w:type="dxa"/>
            </w:tcMar>
            <w:vAlign w:val="bottom"/>
            <w:hideMark/>
          </w:tcPr>
          <w:p w14:paraId="0D88EFD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855" w:type="dxa"/>
            <w:gridSpan w:val="2"/>
            <w:tcBorders>
              <w:bottom w:val="single" w:sz="6" w:space="0" w:color="000000"/>
            </w:tcBorders>
            <w:shd w:val="clear" w:color="auto" w:fill="FFFFFF"/>
            <w:tcMar>
              <w:top w:w="15" w:type="dxa"/>
              <w:left w:w="0" w:type="dxa"/>
              <w:bottom w:w="0" w:type="dxa"/>
              <w:right w:w="15" w:type="dxa"/>
            </w:tcMar>
            <w:vAlign w:val="bottom"/>
            <w:hideMark/>
          </w:tcPr>
          <w:p w14:paraId="5966A41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(b) Weighted-</w:t>
            </w:r>
          </w:p>
          <w:p w14:paraId="51B1BFA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average exercise</w:t>
            </w:r>
          </w:p>
          <w:p w14:paraId="2B1327F7"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price of outstanding</w:t>
            </w:r>
          </w:p>
          <w:p w14:paraId="18F0F996"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options, warrants</w:t>
            </w:r>
          </w:p>
          <w:p w14:paraId="6FA3B493"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and rights(2)</w:t>
            </w:r>
          </w:p>
        </w:tc>
        <w:tc>
          <w:tcPr>
            <w:tcW w:w="150" w:type="dxa"/>
            <w:shd w:val="clear" w:color="auto" w:fill="FFFFFF"/>
            <w:noWrap/>
            <w:tcMar>
              <w:top w:w="15" w:type="dxa"/>
              <w:left w:w="0" w:type="dxa"/>
              <w:bottom w:w="0" w:type="dxa"/>
              <w:right w:w="15" w:type="dxa"/>
            </w:tcMar>
            <w:vAlign w:val="bottom"/>
            <w:hideMark/>
          </w:tcPr>
          <w:p w14:paraId="7653575F"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12" w:type="dxa"/>
            <w:shd w:val="clear" w:color="auto" w:fill="FFFFFF"/>
            <w:tcMar>
              <w:top w:w="15" w:type="dxa"/>
              <w:left w:w="0" w:type="dxa"/>
              <w:bottom w:w="0" w:type="dxa"/>
              <w:right w:w="15" w:type="dxa"/>
            </w:tcMar>
            <w:vAlign w:val="bottom"/>
            <w:hideMark/>
          </w:tcPr>
          <w:p w14:paraId="764BCDF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c>
          <w:tcPr>
            <w:tcW w:w="2837" w:type="dxa"/>
            <w:gridSpan w:val="2"/>
            <w:tcBorders>
              <w:bottom w:val="single" w:sz="6" w:space="0" w:color="000000"/>
            </w:tcBorders>
            <w:shd w:val="clear" w:color="auto" w:fill="FFFFFF"/>
            <w:tcMar>
              <w:top w:w="15" w:type="dxa"/>
              <w:left w:w="0" w:type="dxa"/>
              <w:bottom w:w="0" w:type="dxa"/>
              <w:right w:w="15" w:type="dxa"/>
            </w:tcMar>
            <w:vAlign w:val="bottom"/>
            <w:hideMark/>
          </w:tcPr>
          <w:p w14:paraId="5529AA0A"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 Number of</w:t>
            </w:r>
          </w:p>
          <w:p w14:paraId="3A6D20B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securities remaining</w:t>
            </w:r>
          </w:p>
          <w:p w14:paraId="078CF994"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available for future</w:t>
            </w:r>
          </w:p>
          <w:p w14:paraId="464F6839"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issuance under equity</w:t>
            </w:r>
          </w:p>
          <w:p w14:paraId="6F5E3B28"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compensation plans</w:t>
            </w:r>
          </w:p>
          <w:p w14:paraId="0D104F51"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(excluding securities</w:t>
            </w:r>
          </w:p>
          <w:p w14:paraId="45BF8B8D"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reflected in column</w:t>
            </w:r>
          </w:p>
          <w:p w14:paraId="605971BE" w14:textId="77777777" w:rsidR="00AC4931" w:rsidRPr="00AC4931" w:rsidRDefault="00AC4931" w:rsidP="00AC4931">
            <w:pPr>
              <w:widowControl/>
              <w:jc w:val="center"/>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(a))(3)</w:t>
            </w:r>
          </w:p>
        </w:tc>
        <w:tc>
          <w:tcPr>
            <w:tcW w:w="151" w:type="dxa"/>
            <w:shd w:val="clear" w:color="auto" w:fill="FFFFFF"/>
            <w:noWrap/>
            <w:tcMar>
              <w:top w:w="15" w:type="dxa"/>
              <w:left w:w="0" w:type="dxa"/>
              <w:bottom w:w="0" w:type="dxa"/>
              <w:right w:w="15" w:type="dxa"/>
            </w:tcMar>
            <w:vAlign w:val="bottom"/>
            <w:hideMark/>
          </w:tcPr>
          <w:p w14:paraId="626D77D6" w14:textId="77777777" w:rsidR="00AC4931" w:rsidRPr="00AC4931" w:rsidRDefault="00AC4931" w:rsidP="00AC4931">
            <w:pPr>
              <w:widowControl/>
              <w:jc w:val="left"/>
              <w:rPr>
                <w:rFonts w:ascii="Arial" w:eastAsia="宋体" w:hAnsi="Arial" w:cs="Arial"/>
                <w:b/>
                <w:bCs/>
                <w:color w:val="000000"/>
                <w:kern w:val="0"/>
                <w:sz w:val="16"/>
                <w:szCs w:val="16"/>
              </w:rPr>
            </w:pPr>
            <w:r w:rsidRPr="00AC4931">
              <w:rPr>
                <w:rFonts w:ascii="Arial" w:eastAsia="宋体" w:hAnsi="Arial" w:cs="Arial"/>
                <w:b/>
                <w:bCs/>
                <w:color w:val="000000"/>
                <w:kern w:val="0"/>
                <w:sz w:val="16"/>
                <w:szCs w:val="16"/>
              </w:rPr>
              <w:t> </w:t>
            </w:r>
          </w:p>
        </w:tc>
      </w:tr>
      <w:tr w:rsidR="00AC4931" w:rsidRPr="00AC4931" w14:paraId="13C426FE" w14:textId="77777777" w:rsidTr="00AC4931">
        <w:tc>
          <w:tcPr>
            <w:tcW w:w="6724" w:type="dxa"/>
            <w:shd w:val="clear" w:color="auto" w:fill="CFF0FC"/>
            <w:tcMar>
              <w:top w:w="15" w:type="dxa"/>
              <w:left w:w="0" w:type="dxa"/>
              <w:bottom w:w="0" w:type="dxa"/>
              <w:right w:w="15" w:type="dxa"/>
            </w:tcMar>
            <w:vAlign w:val="bottom"/>
            <w:hideMark/>
          </w:tcPr>
          <w:p w14:paraId="0C62576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Equity compensation plans approved</w:t>
            </w:r>
          </w:p>
          <w:p w14:paraId="33C003C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by security holders (1)</w:t>
            </w:r>
          </w:p>
        </w:tc>
        <w:tc>
          <w:tcPr>
            <w:tcW w:w="212" w:type="dxa"/>
            <w:shd w:val="clear" w:color="auto" w:fill="CFF0FC"/>
            <w:tcMar>
              <w:top w:w="15" w:type="dxa"/>
              <w:left w:w="0" w:type="dxa"/>
              <w:bottom w:w="0" w:type="dxa"/>
              <w:right w:w="15" w:type="dxa"/>
            </w:tcMar>
            <w:vAlign w:val="bottom"/>
            <w:hideMark/>
          </w:tcPr>
          <w:p w14:paraId="685EB33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140DA2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3" w:type="dxa"/>
            <w:tcBorders>
              <w:top w:val="single" w:sz="6" w:space="0" w:color="000000"/>
            </w:tcBorders>
            <w:shd w:val="clear" w:color="auto" w:fill="CFF0FC"/>
            <w:noWrap/>
            <w:tcMar>
              <w:top w:w="15" w:type="dxa"/>
              <w:left w:w="0" w:type="dxa"/>
              <w:bottom w:w="0" w:type="dxa"/>
              <w:right w:w="15" w:type="dxa"/>
            </w:tcMar>
            <w:vAlign w:val="bottom"/>
            <w:hideMark/>
          </w:tcPr>
          <w:p w14:paraId="6A26264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493,204</w:t>
            </w:r>
          </w:p>
        </w:tc>
        <w:tc>
          <w:tcPr>
            <w:tcW w:w="150" w:type="dxa"/>
            <w:shd w:val="clear" w:color="auto" w:fill="CFF0FC"/>
            <w:noWrap/>
            <w:tcMar>
              <w:top w:w="15" w:type="dxa"/>
              <w:left w:w="0" w:type="dxa"/>
              <w:bottom w:w="0" w:type="dxa"/>
              <w:right w:w="15" w:type="dxa"/>
            </w:tcMar>
            <w:vAlign w:val="bottom"/>
            <w:hideMark/>
          </w:tcPr>
          <w:p w14:paraId="549664E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2" w:type="dxa"/>
            <w:shd w:val="clear" w:color="auto" w:fill="CFF0FC"/>
            <w:tcMar>
              <w:top w:w="15" w:type="dxa"/>
              <w:left w:w="0" w:type="dxa"/>
              <w:bottom w:w="0" w:type="dxa"/>
              <w:right w:w="15" w:type="dxa"/>
            </w:tcMar>
            <w:vAlign w:val="bottom"/>
            <w:hideMark/>
          </w:tcPr>
          <w:p w14:paraId="28AAC5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7" w:type="dxa"/>
            <w:tcBorders>
              <w:top w:val="single" w:sz="6" w:space="0" w:color="000000"/>
            </w:tcBorders>
            <w:shd w:val="clear" w:color="auto" w:fill="CFF0FC"/>
            <w:noWrap/>
            <w:tcMar>
              <w:top w:w="15" w:type="dxa"/>
              <w:left w:w="0" w:type="dxa"/>
              <w:bottom w:w="0" w:type="dxa"/>
              <w:right w:w="15" w:type="dxa"/>
            </w:tcMar>
            <w:vAlign w:val="bottom"/>
            <w:hideMark/>
          </w:tcPr>
          <w:p w14:paraId="3A6FF3B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673" w:type="dxa"/>
            <w:tcBorders>
              <w:top w:val="single" w:sz="6" w:space="0" w:color="000000"/>
            </w:tcBorders>
            <w:shd w:val="clear" w:color="auto" w:fill="CFF0FC"/>
            <w:noWrap/>
            <w:tcMar>
              <w:top w:w="15" w:type="dxa"/>
              <w:left w:w="0" w:type="dxa"/>
              <w:bottom w:w="0" w:type="dxa"/>
              <w:right w:w="15" w:type="dxa"/>
            </w:tcMar>
            <w:vAlign w:val="bottom"/>
            <w:hideMark/>
          </w:tcPr>
          <w:p w14:paraId="73E5A57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68.13</w:t>
            </w:r>
          </w:p>
        </w:tc>
        <w:tc>
          <w:tcPr>
            <w:tcW w:w="150" w:type="dxa"/>
            <w:shd w:val="clear" w:color="auto" w:fill="CFF0FC"/>
            <w:noWrap/>
            <w:tcMar>
              <w:top w:w="15" w:type="dxa"/>
              <w:left w:w="0" w:type="dxa"/>
              <w:bottom w:w="0" w:type="dxa"/>
              <w:right w:w="15" w:type="dxa"/>
            </w:tcMar>
            <w:vAlign w:val="bottom"/>
            <w:hideMark/>
          </w:tcPr>
          <w:p w14:paraId="4C08EAD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2" w:type="dxa"/>
            <w:shd w:val="clear" w:color="auto" w:fill="CFF0FC"/>
            <w:tcMar>
              <w:top w:w="15" w:type="dxa"/>
              <w:left w:w="0" w:type="dxa"/>
              <w:bottom w:w="0" w:type="dxa"/>
              <w:right w:w="15" w:type="dxa"/>
            </w:tcMar>
            <w:vAlign w:val="bottom"/>
            <w:hideMark/>
          </w:tcPr>
          <w:p w14:paraId="0D253D0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tcBorders>
            <w:shd w:val="clear" w:color="auto" w:fill="CFF0FC"/>
            <w:noWrap/>
            <w:tcMar>
              <w:top w:w="15" w:type="dxa"/>
              <w:left w:w="0" w:type="dxa"/>
              <w:bottom w:w="0" w:type="dxa"/>
              <w:right w:w="15" w:type="dxa"/>
            </w:tcMar>
            <w:vAlign w:val="bottom"/>
            <w:hideMark/>
          </w:tcPr>
          <w:p w14:paraId="68A3EF7E"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3" w:type="dxa"/>
            <w:tcBorders>
              <w:top w:val="single" w:sz="6" w:space="0" w:color="000000"/>
            </w:tcBorders>
            <w:shd w:val="clear" w:color="auto" w:fill="CFF0FC"/>
            <w:noWrap/>
            <w:tcMar>
              <w:top w:w="15" w:type="dxa"/>
              <w:left w:w="0" w:type="dxa"/>
              <w:bottom w:w="0" w:type="dxa"/>
              <w:right w:w="15" w:type="dxa"/>
            </w:tcMar>
            <w:vAlign w:val="bottom"/>
            <w:hideMark/>
          </w:tcPr>
          <w:p w14:paraId="7427917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2,910,397</w:t>
            </w:r>
          </w:p>
        </w:tc>
        <w:tc>
          <w:tcPr>
            <w:tcW w:w="151" w:type="dxa"/>
            <w:shd w:val="clear" w:color="auto" w:fill="CFF0FC"/>
            <w:noWrap/>
            <w:tcMar>
              <w:top w:w="15" w:type="dxa"/>
              <w:left w:w="0" w:type="dxa"/>
              <w:bottom w:w="0" w:type="dxa"/>
              <w:right w:w="15" w:type="dxa"/>
            </w:tcMar>
            <w:vAlign w:val="bottom"/>
            <w:hideMark/>
          </w:tcPr>
          <w:p w14:paraId="2D0429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BBBCFD2" w14:textId="77777777" w:rsidTr="00AC4931">
        <w:tc>
          <w:tcPr>
            <w:tcW w:w="6724" w:type="dxa"/>
            <w:shd w:val="clear" w:color="auto" w:fill="FFFFFF"/>
            <w:tcMar>
              <w:top w:w="15" w:type="dxa"/>
              <w:left w:w="0" w:type="dxa"/>
              <w:bottom w:w="0" w:type="dxa"/>
              <w:right w:w="15" w:type="dxa"/>
            </w:tcMar>
            <w:vAlign w:val="bottom"/>
            <w:hideMark/>
          </w:tcPr>
          <w:p w14:paraId="6718945F"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Equity compensation plans not</w:t>
            </w:r>
          </w:p>
          <w:p w14:paraId="3500DFE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approved by security holders</w:t>
            </w:r>
          </w:p>
        </w:tc>
        <w:tc>
          <w:tcPr>
            <w:tcW w:w="212" w:type="dxa"/>
            <w:shd w:val="clear" w:color="auto" w:fill="FFFFFF"/>
            <w:tcMar>
              <w:top w:w="15" w:type="dxa"/>
              <w:left w:w="0" w:type="dxa"/>
              <w:bottom w:w="0" w:type="dxa"/>
              <w:right w:w="15" w:type="dxa"/>
            </w:tcMar>
            <w:vAlign w:val="bottom"/>
            <w:hideMark/>
          </w:tcPr>
          <w:p w14:paraId="7D9A36C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20350B73"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3" w:type="dxa"/>
            <w:tcBorders>
              <w:bottom w:val="single" w:sz="6" w:space="0" w:color="000000"/>
            </w:tcBorders>
            <w:shd w:val="clear" w:color="auto" w:fill="FFFFFF"/>
            <w:noWrap/>
            <w:tcMar>
              <w:top w:w="15" w:type="dxa"/>
              <w:left w:w="0" w:type="dxa"/>
              <w:bottom w:w="0" w:type="dxa"/>
              <w:right w:w="15" w:type="dxa"/>
            </w:tcMar>
            <w:vAlign w:val="bottom"/>
            <w:hideMark/>
          </w:tcPr>
          <w:p w14:paraId="2E04FE70"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10A1E95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2" w:type="dxa"/>
            <w:shd w:val="clear" w:color="auto" w:fill="FFFFFF"/>
            <w:tcMar>
              <w:top w:w="15" w:type="dxa"/>
              <w:left w:w="0" w:type="dxa"/>
              <w:bottom w:w="0" w:type="dxa"/>
              <w:right w:w="15" w:type="dxa"/>
            </w:tcMar>
            <w:vAlign w:val="bottom"/>
            <w:hideMark/>
          </w:tcPr>
          <w:p w14:paraId="2E81F34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7" w:type="dxa"/>
            <w:tcBorders>
              <w:bottom w:val="single" w:sz="6" w:space="0" w:color="000000"/>
            </w:tcBorders>
            <w:shd w:val="clear" w:color="auto" w:fill="FFFFFF"/>
            <w:noWrap/>
            <w:tcMar>
              <w:top w:w="15" w:type="dxa"/>
              <w:left w:w="0" w:type="dxa"/>
              <w:bottom w:w="0" w:type="dxa"/>
              <w:right w:w="15" w:type="dxa"/>
            </w:tcMar>
            <w:vAlign w:val="bottom"/>
            <w:hideMark/>
          </w:tcPr>
          <w:p w14:paraId="4A5F56AB"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3" w:type="dxa"/>
            <w:tcBorders>
              <w:bottom w:val="single" w:sz="6" w:space="0" w:color="000000"/>
            </w:tcBorders>
            <w:shd w:val="clear" w:color="auto" w:fill="FFFFFF"/>
            <w:noWrap/>
            <w:tcMar>
              <w:top w:w="15" w:type="dxa"/>
              <w:left w:w="0" w:type="dxa"/>
              <w:bottom w:w="0" w:type="dxa"/>
              <w:right w:w="15" w:type="dxa"/>
            </w:tcMar>
            <w:vAlign w:val="bottom"/>
            <w:hideMark/>
          </w:tcPr>
          <w:p w14:paraId="468CB078"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0" w:type="dxa"/>
            <w:shd w:val="clear" w:color="auto" w:fill="FFFFFF"/>
            <w:noWrap/>
            <w:tcMar>
              <w:top w:w="15" w:type="dxa"/>
              <w:left w:w="0" w:type="dxa"/>
              <w:bottom w:w="0" w:type="dxa"/>
              <w:right w:w="15" w:type="dxa"/>
            </w:tcMar>
            <w:vAlign w:val="bottom"/>
            <w:hideMark/>
          </w:tcPr>
          <w:p w14:paraId="1E5AB6F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2" w:type="dxa"/>
            <w:shd w:val="clear" w:color="auto" w:fill="FFFFFF"/>
            <w:tcMar>
              <w:top w:w="15" w:type="dxa"/>
              <w:left w:w="0" w:type="dxa"/>
              <w:bottom w:w="0" w:type="dxa"/>
              <w:right w:w="15" w:type="dxa"/>
            </w:tcMar>
            <w:vAlign w:val="bottom"/>
            <w:hideMark/>
          </w:tcPr>
          <w:p w14:paraId="192A3DF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bottom w:val="single" w:sz="6" w:space="0" w:color="000000"/>
            </w:tcBorders>
            <w:shd w:val="clear" w:color="auto" w:fill="FFFFFF"/>
            <w:noWrap/>
            <w:tcMar>
              <w:top w:w="15" w:type="dxa"/>
              <w:left w:w="0" w:type="dxa"/>
              <w:bottom w:w="0" w:type="dxa"/>
              <w:right w:w="15" w:type="dxa"/>
            </w:tcMar>
            <w:vAlign w:val="bottom"/>
            <w:hideMark/>
          </w:tcPr>
          <w:p w14:paraId="0497AF2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3" w:type="dxa"/>
            <w:tcBorders>
              <w:bottom w:val="single" w:sz="6" w:space="0" w:color="000000"/>
            </w:tcBorders>
            <w:shd w:val="clear" w:color="auto" w:fill="FFFFFF"/>
            <w:noWrap/>
            <w:tcMar>
              <w:top w:w="15" w:type="dxa"/>
              <w:left w:w="0" w:type="dxa"/>
              <w:bottom w:w="0" w:type="dxa"/>
              <w:right w:w="15" w:type="dxa"/>
            </w:tcMar>
            <w:vAlign w:val="bottom"/>
            <w:hideMark/>
          </w:tcPr>
          <w:p w14:paraId="4A2657A2"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151" w:type="dxa"/>
            <w:shd w:val="clear" w:color="auto" w:fill="FFFFFF"/>
            <w:noWrap/>
            <w:tcMar>
              <w:top w:w="15" w:type="dxa"/>
              <w:left w:w="0" w:type="dxa"/>
              <w:bottom w:w="0" w:type="dxa"/>
              <w:right w:w="15" w:type="dxa"/>
            </w:tcMar>
            <w:vAlign w:val="bottom"/>
            <w:hideMark/>
          </w:tcPr>
          <w:p w14:paraId="3BFCC91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r>
      <w:tr w:rsidR="00AC4931" w:rsidRPr="00AC4931" w14:paraId="68D7F6E8" w14:textId="77777777" w:rsidTr="00AC4931">
        <w:tc>
          <w:tcPr>
            <w:tcW w:w="6724" w:type="dxa"/>
            <w:shd w:val="clear" w:color="auto" w:fill="CFF0FC"/>
            <w:tcMar>
              <w:top w:w="15" w:type="dxa"/>
              <w:left w:w="0" w:type="dxa"/>
              <w:bottom w:w="0" w:type="dxa"/>
              <w:right w:w="15" w:type="dxa"/>
            </w:tcMar>
            <w:vAlign w:val="bottom"/>
            <w:hideMark/>
          </w:tcPr>
          <w:p w14:paraId="1F20A247" w14:textId="77777777" w:rsidR="00AC4931" w:rsidRPr="00AC4931" w:rsidRDefault="00AC4931" w:rsidP="00AC4931">
            <w:pPr>
              <w:widowControl/>
              <w:jc w:val="left"/>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w:t>
            </w:r>
          </w:p>
        </w:tc>
        <w:tc>
          <w:tcPr>
            <w:tcW w:w="212" w:type="dxa"/>
            <w:shd w:val="clear" w:color="auto" w:fill="CFF0FC"/>
            <w:tcMar>
              <w:top w:w="15" w:type="dxa"/>
              <w:left w:w="0" w:type="dxa"/>
              <w:bottom w:w="0" w:type="dxa"/>
              <w:right w:w="15" w:type="dxa"/>
            </w:tcMar>
            <w:vAlign w:val="bottom"/>
            <w:hideMark/>
          </w:tcPr>
          <w:p w14:paraId="41FE425A"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244584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3"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2FA7C1F"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493,204</w:t>
            </w:r>
          </w:p>
        </w:tc>
        <w:tc>
          <w:tcPr>
            <w:tcW w:w="150" w:type="dxa"/>
            <w:shd w:val="clear" w:color="auto" w:fill="CFF0FC"/>
            <w:noWrap/>
            <w:tcMar>
              <w:top w:w="15" w:type="dxa"/>
              <w:left w:w="0" w:type="dxa"/>
              <w:bottom w:w="0" w:type="dxa"/>
              <w:right w:w="15" w:type="dxa"/>
            </w:tcMar>
            <w:vAlign w:val="bottom"/>
            <w:hideMark/>
          </w:tcPr>
          <w:p w14:paraId="7E78882D"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2" w:type="dxa"/>
            <w:shd w:val="clear" w:color="auto" w:fill="CFF0FC"/>
            <w:tcMar>
              <w:top w:w="15" w:type="dxa"/>
              <w:left w:w="0" w:type="dxa"/>
              <w:bottom w:w="0" w:type="dxa"/>
              <w:right w:w="15" w:type="dxa"/>
            </w:tcMar>
            <w:vAlign w:val="bottom"/>
            <w:hideMark/>
          </w:tcPr>
          <w:p w14:paraId="710D1B2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6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ED7D4A1"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w:t>
            </w:r>
          </w:p>
        </w:tc>
        <w:tc>
          <w:tcPr>
            <w:tcW w:w="2673"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904EB25"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68.13</w:t>
            </w:r>
          </w:p>
        </w:tc>
        <w:tc>
          <w:tcPr>
            <w:tcW w:w="150" w:type="dxa"/>
            <w:shd w:val="clear" w:color="auto" w:fill="CFF0FC"/>
            <w:noWrap/>
            <w:tcMar>
              <w:top w:w="15" w:type="dxa"/>
              <w:left w:w="0" w:type="dxa"/>
              <w:bottom w:w="0" w:type="dxa"/>
              <w:right w:w="15" w:type="dxa"/>
            </w:tcMar>
            <w:vAlign w:val="bottom"/>
            <w:hideMark/>
          </w:tcPr>
          <w:p w14:paraId="2CBDCF4C"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12" w:type="dxa"/>
            <w:shd w:val="clear" w:color="auto" w:fill="CFF0FC"/>
            <w:tcMar>
              <w:top w:w="15" w:type="dxa"/>
              <w:left w:w="0" w:type="dxa"/>
              <w:bottom w:w="0" w:type="dxa"/>
              <w:right w:w="15" w:type="dxa"/>
            </w:tcMar>
            <w:vAlign w:val="bottom"/>
            <w:hideMark/>
          </w:tcPr>
          <w:p w14:paraId="08C65CD2"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15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CE39F5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 </w:t>
            </w:r>
          </w:p>
        </w:tc>
        <w:tc>
          <w:tcPr>
            <w:tcW w:w="2673"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3645ED1" w14:textId="77777777" w:rsidR="00AC4931" w:rsidRPr="00AC4931" w:rsidRDefault="00AC4931" w:rsidP="00AC4931">
            <w:pPr>
              <w:widowControl/>
              <w:jc w:val="right"/>
              <w:rPr>
                <w:rFonts w:ascii="Arial" w:eastAsia="宋体" w:hAnsi="Arial" w:cs="Arial"/>
                <w:color w:val="000000"/>
                <w:kern w:val="0"/>
                <w:sz w:val="18"/>
                <w:szCs w:val="18"/>
              </w:rPr>
            </w:pPr>
            <w:r w:rsidRPr="00AC4931">
              <w:rPr>
                <w:rFonts w:ascii="Arial" w:eastAsia="宋体" w:hAnsi="Arial" w:cs="Arial"/>
                <w:color w:val="000000"/>
                <w:kern w:val="0"/>
                <w:sz w:val="18"/>
                <w:szCs w:val="18"/>
              </w:rPr>
              <w:t>2,910,397</w:t>
            </w:r>
          </w:p>
        </w:tc>
        <w:tc>
          <w:tcPr>
            <w:tcW w:w="151" w:type="dxa"/>
            <w:shd w:val="clear" w:color="auto" w:fill="CFF0FC"/>
            <w:noWrap/>
            <w:tcMar>
              <w:top w:w="15" w:type="dxa"/>
              <w:left w:w="0" w:type="dxa"/>
              <w:bottom w:w="0" w:type="dxa"/>
              <w:right w:w="15" w:type="dxa"/>
            </w:tcMar>
            <w:vAlign w:val="bottom"/>
            <w:hideMark/>
          </w:tcPr>
          <w:p w14:paraId="3C9630B9" w14:textId="77777777" w:rsidR="00AC4931" w:rsidRPr="00AC4931" w:rsidRDefault="00AC4931" w:rsidP="00AC4931">
            <w:pPr>
              <w:widowControl/>
              <w:jc w:val="left"/>
              <w:rPr>
                <w:rFonts w:ascii="Arial" w:eastAsia="宋体" w:hAnsi="Arial" w:cs="Arial"/>
                <w:color w:val="000000"/>
                <w:kern w:val="0"/>
                <w:sz w:val="2"/>
                <w:szCs w:val="2"/>
              </w:rPr>
            </w:pPr>
            <w:r w:rsidRPr="00AC4931">
              <w:rPr>
                <w:rFonts w:ascii="Arial" w:eastAsia="宋体" w:hAnsi="Arial" w:cs="Arial"/>
                <w:color w:val="000000"/>
                <w:kern w:val="0"/>
                <w:sz w:val="2"/>
                <w:szCs w:val="2"/>
              </w:rPr>
              <w:t> </w:t>
            </w:r>
          </w:p>
        </w:tc>
      </w:tr>
    </w:tbl>
    <w:p w14:paraId="402809FB"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77A055B7" w14:textId="77777777" w:rsidTr="00AC4931">
        <w:tc>
          <w:tcPr>
            <w:tcW w:w="919" w:type="dxa"/>
            <w:noWrap/>
            <w:hideMark/>
          </w:tcPr>
          <w:p w14:paraId="5B13CB02" w14:textId="77777777" w:rsidR="00AC4931" w:rsidRPr="00AC4931" w:rsidRDefault="00AC4931" w:rsidP="00AC4931">
            <w:pPr>
              <w:widowControl/>
              <w:rPr>
                <w:rFonts w:ascii="Arial" w:eastAsia="宋体" w:hAnsi="Arial" w:cs="Arial" w:hint="eastAsia"/>
                <w:kern w:val="0"/>
                <w:sz w:val="16"/>
                <w:szCs w:val="16"/>
              </w:rPr>
            </w:pPr>
            <w:r w:rsidRPr="00AC4931">
              <w:rPr>
                <w:rFonts w:ascii="Arial" w:eastAsia="宋体" w:hAnsi="Arial" w:cs="Arial"/>
                <w:kern w:val="0"/>
                <w:sz w:val="16"/>
                <w:szCs w:val="16"/>
              </w:rPr>
              <w:t>(1)</w:t>
            </w:r>
          </w:p>
        </w:tc>
        <w:tc>
          <w:tcPr>
            <w:tcW w:w="0" w:type="auto"/>
            <w:hideMark/>
          </w:tcPr>
          <w:p w14:paraId="215FE9FD"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Autoliv, Inc. Stock Incentive Plan, as amended and restated on May 6, 2009, as amended by Amendment No. 1 dated December 17, 2010 and Amendment No. 2 dated May 8, 2012.</w:t>
            </w:r>
          </w:p>
        </w:tc>
      </w:tr>
      <w:tr w:rsidR="00AC4931" w:rsidRPr="00AC4931" w14:paraId="0EADB3DA" w14:textId="77777777" w:rsidTr="00AC4931">
        <w:tc>
          <w:tcPr>
            <w:tcW w:w="919" w:type="dxa"/>
            <w:noWrap/>
            <w:hideMark/>
          </w:tcPr>
          <w:p w14:paraId="5D054045"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(2)</w:t>
            </w:r>
          </w:p>
        </w:tc>
        <w:tc>
          <w:tcPr>
            <w:tcW w:w="0" w:type="auto"/>
            <w:hideMark/>
          </w:tcPr>
          <w:p w14:paraId="2D7F7B66"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Excludes restricted stock units and performance shares which convert to shares of common stock for no consideration.</w:t>
            </w:r>
          </w:p>
        </w:tc>
      </w:tr>
    </w:tbl>
    <w:p w14:paraId="38D963B9"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50DE72B0" w14:textId="77777777" w:rsidTr="00AC4931">
        <w:tc>
          <w:tcPr>
            <w:tcW w:w="919" w:type="dxa"/>
            <w:noWrap/>
            <w:hideMark/>
          </w:tcPr>
          <w:p w14:paraId="06D38C86"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(3)</w:t>
            </w:r>
          </w:p>
        </w:tc>
        <w:tc>
          <w:tcPr>
            <w:tcW w:w="0" w:type="auto"/>
            <w:hideMark/>
          </w:tcPr>
          <w:p w14:paraId="7CC29BC3" w14:textId="77777777" w:rsidR="00AC4931" w:rsidRPr="00AC4931" w:rsidRDefault="00AC4931" w:rsidP="00AC4931">
            <w:pPr>
              <w:widowControl/>
              <w:rPr>
                <w:rFonts w:ascii="Arial" w:eastAsia="宋体" w:hAnsi="Arial" w:cs="Arial"/>
                <w:kern w:val="0"/>
                <w:sz w:val="16"/>
                <w:szCs w:val="16"/>
              </w:rPr>
            </w:pPr>
            <w:r w:rsidRPr="00AC4931">
              <w:rPr>
                <w:rFonts w:ascii="Arial" w:eastAsia="宋体" w:hAnsi="Arial" w:cs="Arial"/>
                <w:kern w:val="0"/>
                <w:sz w:val="16"/>
                <w:szCs w:val="16"/>
              </w:rPr>
              <w:t>All such shares are available for issuance pursuant to grants of full-value stock awards.</w:t>
            </w:r>
          </w:p>
        </w:tc>
      </w:tr>
    </w:tbl>
    <w:p w14:paraId="00E2A4AE"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1D4596B" w14:textId="77777777" w:rsidR="00AC4931" w:rsidRPr="00AC4931" w:rsidRDefault="00AC4931" w:rsidP="00AC4931">
      <w:pPr>
        <w:widowControl/>
        <w:spacing w:before="160"/>
        <w:rPr>
          <w:rFonts w:ascii="Arial" w:eastAsia="宋体" w:hAnsi="Arial" w:cs="Arial" w:hint="eastAsia"/>
          <w:b/>
          <w:bCs/>
          <w:color w:val="000000"/>
          <w:kern w:val="0"/>
          <w:sz w:val="22"/>
        </w:rPr>
      </w:pPr>
      <w:r w:rsidRPr="00AC4931">
        <w:rPr>
          <w:rFonts w:ascii="Arial" w:eastAsia="宋体" w:hAnsi="Arial" w:cs="Arial"/>
          <w:b/>
          <w:bCs/>
          <w:color w:val="000000"/>
          <w:kern w:val="0"/>
          <w:sz w:val="22"/>
        </w:rPr>
        <w:t>Item 13. Certain Relationships and Related Transactions, and Director Independence</w:t>
      </w:r>
    </w:p>
    <w:p w14:paraId="1A7705D0"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Information regarding the Company’s policy and procedures concerning related party transactions is included under the caption “Related Person Transactions” in the 2021 Proxy Statement and is incorporated herein by reference. Information regarding director independence can be found under the caption “Board Independence” in the 2021 Proxy Statement and is incorporated herein by reference.</w:t>
      </w:r>
    </w:p>
    <w:p w14:paraId="6326B46B"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5EE469BD" w14:textId="77777777" w:rsidR="00AC4931" w:rsidRPr="00AC4931" w:rsidRDefault="00AC4931" w:rsidP="00AC4931">
      <w:pPr>
        <w:widowControl/>
        <w:spacing w:before="160"/>
        <w:rPr>
          <w:rFonts w:ascii="Arial" w:eastAsia="宋体" w:hAnsi="Arial" w:cs="Arial" w:hint="eastAsia"/>
          <w:b/>
          <w:bCs/>
          <w:color w:val="000000"/>
          <w:kern w:val="0"/>
          <w:sz w:val="22"/>
        </w:rPr>
      </w:pPr>
      <w:r w:rsidRPr="00AC4931">
        <w:rPr>
          <w:rFonts w:ascii="Arial" w:eastAsia="宋体" w:hAnsi="Arial" w:cs="Arial"/>
          <w:b/>
          <w:bCs/>
          <w:color w:val="000000"/>
          <w:kern w:val="0"/>
          <w:sz w:val="22"/>
        </w:rPr>
        <w:t>Item 14. Principal Accounting Fees and Services</w:t>
      </w:r>
    </w:p>
    <w:p w14:paraId="7BB9595D"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 xml:space="preserve">The information required by Item 9(e) of Schedule 14A regarding principal accounting fees and the information required by Item 14 regarding the pre-approval process of accounting services provided to </w:t>
      </w:r>
      <w:r w:rsidRPr="00AC4931">
        <w:rPr>
          <w:rFonts w:ascii="Arial" w:eastAsia="宋体" w:hAnsi="Arial" w:cs="Arial"/>
          <w:color w:val="000000"/>
          <w:kern w:val="0"/>
          <w:sz w:val="18"/>
          <w:szCs w:val="18"/>
        </w:rPr>
        <w:lastRenderedPageBreak/>
        <w:t>Autoliv is included under the caption “Proposal 3. Ratification of Appointment of Independent Registered Public Accounting Firm Appointment” in the 2021 Proxy Statement and is incorporated herein by reference.</w:t>
      </w:r>
    </w:p>
    <w:p w14:paraId="10A63F99" w14:textId="77777777" w:rsidR="00AC4931" w:rsidRPr="00AC4931" w:rsidRDefault="00AC4931" w:rsidP="00AC4931">
      <w:pPr>
        <w:widowControl/>
        <w:rPr>
          <w:rFonts w:ascii="Times New Roman" w:eastAsia="宋体" w:hAnsi="Times New Roman" w:cs="Times New Roman"/>
          <w:color w:val="000000"/>
          <w:kern w:val="0"/>
          <w:sz w:val="22"/>
        </w:rPr>
      </w:pPr>
      <w:r w:rsidRPr="00AC4931">
        <w:rPr>
          <w:rFonts w:ascii="Times New Roman" w:eastAsia="宋体" w:hAnsi="Times New Roman" w:cs="Times New Roman"/>
          <w:color w:val="000000"/>
          <w:kern w:val="0"/>
          <w:sz w:val="22"/>
        </w:rPr>
        <w:t> </w:t>
      </w:r>
    </w:p>
    <w:p w14:paraId="54E278F8"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90</w:t>
      </w:r>
    </w:p>
    <w:p w14:paraId="0F479844"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8A917D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A0429E3"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CC7A556"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304D06B1">
          <v:rect id="_x0000_i1117" style="width:0;height:1.5pt" o:hralign="center" o:hrstd="t" o:hrnoshade="t" o:hr="t" fillcolor="black" stroked="f"/>
        </w:pict>
      </w:r>
    </w:p>
    <w:p w14:paraId="021E8CBE"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90A06D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0B5AB0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46EB6C9" w14:textId="77777777" w:rsidR="00AC4931" w:rsidRPr="00AC4931" w:rsidRDefault="00AC4931" w:rsidP="00AC4931">
      <w:pPr>
        <w:widowControl/>
        <w:jc w:val="center"/>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PART IV</w:t>
      </w:r>
    </w:p>
    <w:p w14:paraId="7666F9EF" w14:textId="77777777" w:rsidR="00AC4931" w:rsidRPr="00AC4931" w:rsidRDefault="00AC4931" w:rsidP="00AC4931">
      <w:pPr>
        <w:widowControl/>
        <w:spacing w:before="240"/>
        <w:rPr>
          <w:rFonts w:ascii="Arial" w:eastAsia="宋体" w:hAnsi="Arial" w:cs="Arial"/>
          <w:b/>
          <w:bCs/>
          <w:color w:val="000000"/>
          <w:kern w:val="0"/>
          <w:sz w:val="22"/>
        </w:rPr>
      </w:pPr>
      <w:r w:rsidRPr="00AC4931">
        <w:rPr>
          <w:rFonts w:ascii="Arial" w:eastAsia="宋体" w:hAnsi="Arial" w:cs="Arial"/>
          <w:b/>
          <w:bCs/>
          <w:color w:val="000000"/>
          <w:kern w:val="0"/>
          <w:sz w:val="22"/>
        </w:rPr>
        <w:t>Item 15. Exhibits and Financial Statement Schedules</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5E4F9FA1" w14:textId="77777777" w:rsidTr="00AC4931">
        <w:tc>
          <w:tcPr>
            <w:tcW w:w="919" w:type="dxa"/>
            <w:noWrap/>
            <w:hideMark/>
          </w:tcPr>
          <w:p w14:paraId="678F3983"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(a)</w:t>
            </w:r>
          </w:p>
        </w:tc>
        <w:tc>
          <w:tcPr>
            <w:tcW w:w="0" w:type="auto"/>
            <w:hideMark/>
          </w:tcPr>
          <w:p w14:paraId="7C9E41CF"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Documents Filed as Part of this Report</w:t>
            </w:r>
          </w:p>
        </w:tc>
      </w:tr>
      <w:tr w:rsidR="00AC4931" w:rsidRPr="00AC4931" w14:paraId="76061BE3" w14:textId="77777777" w:rsidTr="00AC4931">
        <w:tc>
          <w:tcPr>
            <w:tcW w:w="919" w:type="dxa"/>
            <w:noWrap/>
            <w:hideMark/>
          </w:tcPr>
          <w:p w14:paraId="2FABC007"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(1)</w:t>
            </w:r>
          </w:p>
        </w:tc>
        <w:tc>
          <w:tcPr>
            <w:tcW w:w="0" w:type="auto"/>
            <w:hideMark/>
          </w:tcPr>
          <w:p w14:paraId="6AF28C8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Financial Statements</w:t>
            </w:r>
          </w:p>
        </w:tc>
      </w:tr>
    </w:tbl>
    <w:p w14:paraId="6368D59D"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78951A19" w14:textId="77777777" w:rsidTr="00AC4931">
        <w:tc>
          <w:tcPr>
            <w:tcW w:w="919" w:type="dxa"/>
            <w:noWrap/>
            <w:hideMark/>
          </w:tcPr>
          <w:p w14:paraId="47D7D581"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w:t>
            </w:r>
          </w:p>
        </w:tc>
        <w:tc>
          <w:tcPr>
            <w:tcW w:w="919" w:type="dxa"/>
            <w:noWrap/>
            <w:hideMark/>
          </w:tcPr>
          <w:p w14:paraId="3E269E2A"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w:t>
            </w:r>
          </w:p>
        </w:tc>
        <w:tc>
          <w:tcPr>
            <w:tcW w:w="0" w:type="auto"/>
            <w:hideMark/>
          </w:tcPr>
          <w:p w14:paraId="6A8E851A"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Consolidated Statements of Income – Years ended December 31, 2020, 2019 and 2018;</w:t>
            </w:r>
          </w:p>
        </w:tc>
      </w:tr>
      <w:tr w:rsidR="00AC4931" w:rsidRPr="00AC4931" w14:paraId="63C89886" w14:textId="77777777" w:rsidTr="00AC4931">
        <w:tc>
          <w:tcPr>
            <w:tcW w:w="919" w:type="dxa"/>
            <w:noWrap/>
            <w:hideMark/>
          </w:tcPr>
          <w:p w14:paraId="0B172141"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w:t>
            </w:r>
          </w:p>
        </w:tc>
        <w:tc>
          <w:tcPr>
            <w:tcW w:w="919" w:type="dxa"/>
            <w:noWrap/>
            <w:hideMark/>
          </w:tcPr>
          <w:p w14:paraId="11636AF2"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(ii)</w:t>
            </w:r>
          </w:p>
        </w:tc>
        <w:tc>
          <w:tcPr>
            <w:tcW w:w="0" w:type="auto"/>
            <w:hideMark/>
          </w:tcPr>
          <w:p w14:paraId="2E0A7F76"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spacing w:val="-2"/>
                <w:kern w:val="0"/>
                <w:sz w:val="18"/>
                <w:szCs w:val="18"/>
              </w:rPr>
              <w:t>Consolidated Statements of Comprehensive Income – Years ended December 31, 2020, 2019 and 2018;</w:t>
            </w:r>
          </w:p>
        </w:tc>
      </w:tr>
    </w:tbl>
    <w:p w14:paraId="21903189"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5FFEEF85" w14:textId="77777777" w:rsidTr="00AC4931">
        <w:tc>
          <w:tcPr>
            <w:tcW w:w="919" w:type="dxa"/>
            <w:noWrap/>
            <w:hideMark/>
          </w:tcPr>
          <w:p w14:paraId="33C91AFA"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w:t>
            </w:r>
          </w:p>
        </w:tc>
        <w:tc>
          <w:tcPr>
            <w:tcW w:w="919" w:type="dxa"/>
            <w:noWrap/>
            <w:hideMark/>
          </w:tcPr>
          <w:p w14:paraId="451CCA3A"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(iii)</w:t>
            </w:r>
          </w:p>
        </w:tc>
        <w:tc>
          <w:tcPr>
            <w:tcW w:w="0" w:type="auto"/>
            <w:hideMark/>
          </w:tcPr>
          <w:p w14:paraId="7C86F200"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Consolidated Balance Sheets – as of December 31, 2020 and 2019;</w:t>
            </w:r>
          </w:p>
        </w:tc>
      </w:tr>
      <w:tr w:rsidR="00AC4931" w:rsidRPr="00AC4931" w14:paraId="2D60CAC2" w14:textId="77777777" w:rsidTr="00AC4931">
        <w:tc>
          <w:tcPr>
            <w:tcW w:w="919" w:type="dxa"/>
            <w:noWrap/>
            <w:hideMark/>
          </w:tcPr>
          <w:p w14:paraId="5237B58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w:t>
            </w:r>
          </w:p>
        </w:tc>
        <w:tc>
          <w:tcPr>
            <w:tcW w:w="919" w:type="dxa"/>
            <w:noWrap/>
            <w:hideMark/>
          </w:tcPr>
          <w:p w14:paraId="3E3BF1AE"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(iv)</w:t>
            </w:r>
          </w:p>
        </w:tc>
        <w:tc>
          <w:tcPr>
            <w:tcW w:w="0" w:type="auto"/>
            <w:hideMark/>
          </w:tcPr>
          <w:p w14:paraId="1CB380CC"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Consolidated Statements of Cash Flows – Years ended December 31, 2020, 2019 and 2018;</w:t>
            </w:r>
          </w:p>
        </w:tc>
      </w:tr>
    </w:tbl>
    <w:p w14:paraId="754F343D"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3320C512" w14:textId="77777777" w:rsidTr="00AC4931">
        <w:tc>
          <w:tcPr>
            <w:tcW w:w="919" w:type="dxa"/>
            <w:noWrap/>
            <w:hideMark/>
          </w:tcPr>
          <w:p w14:paraId="7A93F81A"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w:t>
            </w:r>
          </w:p>
        </w:tc>
        <w:tc>
          <w:tcPr>
            <w:tcW w:w="919" w:type="dxa"/>
            <w:noWrap/>
            <w:hideMark/>
          </w:tcPr>
          <w:p w14:paraId="19A1E5AC"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(v)</w:t>
            </w:r>
          </w:p>
        </w:tc>
        <w:tc>
          <w:tcPr>
            <w:tcW w:w="0" w:type="auto"/>
            <w:hideMark/>
          </w:tcPr>
          <w:p w14:paraId="72F4C46F"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Consolidated Statements of Total Equity – as of December 31, 2020, 2019 and 2018;</w:t>
            </w:r>
          </w:p>
        </w:tc>
      </w:tr>
      <w:tr w:rsidR="00AC4931" w:rsidRPr="00AC4931" w14:paraId="4F085F57" w14:textId="77777777" w:rsidTr="00AC4931">
        <w:tc>
          <w:tcPr>
            <w:tcW w:w="919" w:type="dxa"/>
            <w:noWrap/>
            <w:hideMark/>
          </w:tcPr>
          <w:p w14:paraId="0B350900"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w:t>
            </w:r>
          </w:p>
        </w:tc>
        <w:tc>
          <w:tcPr>
            <w:tcW w:w="919" w:type="dxa"/>
            <w:noWrap/>
            <w:hideMark/>
          </w:tcPr>
          <w:p w14:paraId="0CA70717"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(vi)</w:t>
            </w:r>
          </w:p>
        </w:tc>
        <w:tc>
          <w:tcPr>
            <w:tcW w:w="0" w:type="auto"/>
            <w:hideMark/>
          </w:tcPr>
          <w:p w14:paraId="7EC7B8C5"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Notes to Consolidated Financial Statements; and</w:t>
            </w:r>
          </w:p>
        </w:tc>
      </w:tr>
    </w:tbl>
    <w:p w14:paraId="0F3E7D87"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935"/>
        <w:gridCol w:w="18744"/>
      </w:tblGrid>
      <w:tr w:rsidR="00AC4931" w:rsidRPr="00AC4931" w14:paraId="5E43CD4A" w14:textId="77777777" w:rsidTr="00AC4931">
        <w:tc>
          <w:tcPr>
            <w:tcW w:w="919" w:type="dxa"/>
            <w:noWrap/>
            <w:hideMark/>
          </w:tcPr>
          <w:p w14:paraId="6B624D40"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 </w:t>
            </w:r>
          </w:p>
        </w:tc>
        <w:tc>
          <w:tcPr>
            <w:tcW w:w="919" w:type="dxa"/>
            <w:noWrap/>
            <w:hideMark/>
          </w:tcPr>
          <w:p w14:paraId="353A8CB5"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(vii)</w:t>
            </w:r>
          </w:p>
        </w:tc>
        <w:tc>
          <w:tcPr>
            <w:tcW w:w="0" w:type="auto"/>
            <w:hideMark/>
          </w:tcPr>
          <w:p w14:paraId="2234CA5B"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Reports of Independent Registered Public Accounting Firm.</w:t>
            </w:r>
          </w:p>
        </w:tc>
      </w:tr>
      <w:tr w:rsidR="00AC4931" w:rsidRPr="00AC4931" w14:paraId="2C28A672" w14:textId="77777777" w:rsidTr="00AC4931">
        <w:tc>
          <w:tcPr>
            <w:tcW w:w="919" w:type="dxa"/>
            <w:noWrap/>
            <w:hideMark/>
          </w:tcPr>
          <w:p w14:paraId="6A276D9E"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(2)</w:t>
            </w:r>
          </w:p>
        </w:tc>
        <w:tc>
          <w:tcPr>
            <w:tcW w:w="0" w:type="auto"/>
            <w:gridSpan w:val="2"/>
            <w:hideMark/>
          </w:tcPr>
          <w:p w14:paraId="05A5292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Financial Statement Schedules</w:t>
            </w:r>
          </w:p>
        </w:tc>
      </w:tr>
    </w:tbl>
    <w:p w14:paraId="2E861EC2" w14:textId="77777777" w:rsidR="00AC4931" w:rsidRPr="00AC4931" w:rsidRDefault="00AC4931" w:rsidP="00AC4931">
      <w:pPr>
        <w:widowControl/>
        <w:spacing w:before="240"/>
        <w:rPr>
          <w:rFonts w:ascii="Arial" w:eastAsia="宋体" w:hAnsi="Arial" w:cs="Arial"/>
          <w:color w:val="000000"/>
          <w:kern w:val="0"/>
          <w:sz w:val="18"/>
          <w:szCs w:val="18"/>
        </w:rPr>
      </w:pPr>
      <w:r w:rsidRPr="00AC4931">
        <w:rPr>
          <w:rFonts w:ascii="Arial" w:eastAsia="宋体" w:hAnsi="Arial" w:cs="Arial"/>
          <w:color w:val="000000"/>
          <w:kern w:val="0"/>
          <w:sz w:val="18"/>
          <w:szCs w:val="18"/>
        </w:rPr>
        <w:t>All of the schedules specified under Regulation S-X to be provided by Autoliv have been omitted either because they are not applicable, they are not required, or the information required is included in the financial statements or notes thereto.</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68E6B357" w14:textId="77777777" w:rsidTr="00AC4931">
        <w:tc>
          <w:tcPr>
            <w:tcW w:w="919" w:type="dxa"/>
            <w:noWrap/>
            <w:hideMark/>
          </w:tcPr>
          <w:p w14:paraId="6A56CCEB"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(3)</w:t>
            </w:r>
          </w:p>
        </w:tc>
        <w:tc>
          <w:tcPr>
            <w:tcW w:w="0" w:type="auto"/>
            <w:hideMark/>
          </w:tcPr>
          <w:p w14:paraId="1F004869"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Exhibits</w:t>
            </w:r>
          </w:p>
        </w:tc>
      </w:tr>
    </w:tbl>
    <w:p w14:paraId="757B1094"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78"/>
        <w:gridCol w:w="173"/>
        <w:gridCol w:w="19263"/>
      </w:tblGrid>
      <w:tr w:rsidR="00AC4931" w:rsidRPr="00AC4931" w14:paraId="5154347A" w14:textId="77777777" w:rsidTr="00AC4931">
        <w:tc>
          <w:tcPr>
            <w:tcW w:w="1505" w:type="dxa"/>
            <w:vAlign w:val="center"/>
            <w:hideMark/>
          </w:tcPr>
          <w:p w14:paraId="0D380743" w14:textId="77777777" w:rsidR="00AC4931" w:rsidRPr="00AC4931" w:rsidRDefault="00AC4931" w:rsidP="00AC4931">
            <w:pPr>
              <w:widowControl/>
              <w:jc w:val="left"/>
              <w:rPr>
                <w:rFonts w:ascii="微软雅黑" w:eastAsia="微软雅黑" w:hAnsi="微软雅黑" w:cs="宋体" w:hint="eastAsia"/>
                <w:color w:val="000000"/>
                <w:kern w:val="0"/>
                <w:sz w:val="18"/>
                <w:szCs w:val="18"/>
              </w:rPr>
            </w:pPr>
          </w:p>
        </w:tc>
        <w:tc>
          <w:tcPr>
            <w:tcW w:w="179" w:type="dxa"/>
            <w:vAlign w:val="center"/>
            <w:hideMark/>
          </w:tcPr>
          <w:p w14:paraId="397B54CE" w14:textId="77777777" w:rsidR="00AC4931" w:rsidRPr="00AC4931" w:rsidRDefault="00AC4931" w:rsidP="00AC4931">
            <w:pPr>
              <w:widowControl/>
              <w:jc w:val="left"/>
              <w:rPr>
                <w:rFonts w:ascii="Times New Roman" w:eastAsia="Times New Roman" w:hAnsi="Times New Roman" w:cs="Times New Roman"/>
                <w:kern w:val="0"/>
                <w:sz w:val="20"/>
                <w:szCs w:val="20"/>
              </w:rPr>
            </w:pPr>
          </w:p>
        </w:tc>
        <w:tc>
          <w:tcPr>
            <w:tcW w:w="18930" w:type="dxa"/>
            <w:vAlign w:val="center"/>
            <w:hideMark/>
          </w:tcPr>
          <w:p w14:paraId="4B7136E8" w14:textId="77777777" w:rsidR="00AC4931" w:rsidRPr="00AC4931" w:rsidRDefault="00AC4931" w:rsidP="00AC4931">
            <w:pPr>
              <w:widowControl/>
              <w:jc w:val="left"/>
              <w:rPr>
                <w:rFonts w:ascii="Times New Roman" w:eastAsia="Times New Roman" w:hAnsi="Times New Roman" w:cs="Times New Roman"/>
                <w:kern w:val="0"/>
                <w:sz w:val="20"/>
                <w:szCs w:val="20"/>
              </w:rPr>
            </w:pPr>
          </w:p>
        </w:tc>
      </w:tr>
      <w:tr w:rsidR="00AC4931" w:rsidRPr="00AC4931" w14:paraId="67D1B952" w14:textId="77777777" w:rsidTr="00AC4931">
        <w:tc>
          <w:tcPr>
            <w:tcW w:w="0" w:type="auto"/>
            <w:tcBorders>
              <w:bottom w:val="single" w:sz="6" w:space="0" w:color="000000"/>
            </w:tcBorders>
            <w:vAlign w:val="bottom"/>
            <w:hideMark/>
          </w:tcPr>
          <w:p w14:paraId="266E1020"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Exhibit</w:t>
            </w:r>
          </w:p>
          <w:p w14:paraId="676D735D"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No.</w:t>
            </w:r>
          </w:p>
        </w:tc>
        <w:tc>
          <w:tcPr>
            <w:tcW w:w="0" w:type="auto"/>
            <w:hideMark/>
          </w:tcPr>
          <w:p w14:paraId="6CEFAB85" w14:textId="77777777" w:rsidR="00AC4931" w:rsidRPr="00AC4931" w:rsidRDefault="00AC4931" w:rsidP="00AC4931">
            <w:pPr>
              <w:widowControl/>
              <w:rPr>
                <w:rFonts w:ascii="宋体" w:eastAsia="宋体" w:hAnsi="宋体" w:cs="宋体"/>
                <w:kern w:val="0"/>
                <w:sz w:val="16"/>
                <w:szCs w:val="16"/>
              </w:rPr>
            </w:pPr>
            <w:r w:rsidRPr="00AC4931">
              <w:rPr>
                <w:rFonts w:ascii="宋体" w:eastAsia="宋体" w:hAnsi="宋体" w:cs="宋体"/>
                <w:kern w:val="0"/>
                <w:sz w:val="16"/>
                <w:szCs w:val="16"/>
              </w:rPr>
              <w:t> </w:t>
            </w:r>
          </w:p>
        </w:tc>
        <w:tc>
          <w:tcPr>
            <w:tcW w:w="0" w:type="auto"/>
            <w:tcBorders>
              <w:bottom w:val="single" w:sz="6" w:space="0" w:color="000000"/>
            </w:tcBorders>
            <w:vAlign w:val="bottom"/>
            <w:hideMark/>
          </w:tcPr>
          <w:p w14:paraId="41940D5E"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Description</w:t>
            </w:r>
          </w:p>
        </w:tc>
      </w:tr>
      <w:tr w:rsidR="00AC4931" w:rsidRPr="00AC4931" w14:paraId="38975690" w14:textId="77777777" w:rsidTr="00AC4931">
        <w:tc>
          <w:tcPr>
            <w:tcW w:w="0" w:type="auto"/>
            <w:tcBorders>
              <w:top w:val="single" w:sz="6" w:space="0" w:color="000000"/>
            </w:tcBorders>
            <w:hideMark/>
          </w:tcPr>
          <w:p w14:paraId="73BF676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0EE30B0"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tcBorders>
              <w:top w:val="single" w:sz="6" w:space="0" w:color="000000"/>
            </w:tcBorders>
            <w:hideMark/>
          </w:tcPr>
          <w:p w14:paraId="1CCE7CD2"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09F27660" w14:textId="77777777" w:rsidTr="00AC4931">
        <w:tc>
          <w:tcPr>
            <w:tcW w:w="0" w:type="auto"/>
            <w:hideMark/>
          </w:tcPr>
          <w:p w14:paraId="20E096B9"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2.1</w:t>
            </w:r>
          </w:p>
        </w:tc>
        <w:tc>
          <w:tcPr>
            <w:tcW w:w="0" w:type="auto"/>
            <w:hideMark/>
          </w:tcPr>
          <w:p w14:paraId="63030AD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6C335C5" w14:textId="77777777" w:rsidR="00AC4931" w:rsidRPr="00AC4931" w:rsidRDefault="00AC4931" w:rsidP="00AC4931">
            <w:pPr>
              <w:widowControl/>
              <w:rPr>
                <w:rFonts w:ascii="Arial" w:eastAsia="宋体" w:hAnsi="Arial" w:cs="Arial"/>
                <w:kern w:val="0"/>
                <w:sz w:val="18"/>
                <w:szCs w:val="18"/>
              </w:rPr>
            </w:pPr>
            <w:hyperlink r:id="rId30" w:history="1">
              <w:r w:rsidRPr="00AC4931">
                <w:rPr>
                  <w:rFonts w:ascii="Arial" w:eastAsia="宋体" w:hAnsi="Arial" w:cs="Arial"/>
                  <w:color w:val="0000FF"/>
                  <w:kern w:val="0"/>
                  <w:sz w:val="18"/>
                  <w:szCs w:val="18"/>
                  <w:u w:val="single"/>
                </w:rPr>
                <w:t>Distribution Agreement, dated June 28, 2018, between Veoneer, Inc. and Autoliv, Inc., incorporated herein by reference to Exhibit 2.1 to the Current Report on Form 8-K (File No. 001-12933, filing date July 2, 2018).</w:t>
              </w:r>
            </w:hyperlink>
          </w:p>
        </w:tc>
      </w:tr>
      <w:tr w:rsidR="00AC4931" w:rsidRPr="00AC4931" w14:paraId="587B2599" w14:textId="77777777" w:rsidTr="00AC4931">
        <w:tc>
          <w:tcPr>
            <w:tcW w:w="0" w:type="auto"/>
            <w:hideMark/>
          </w:tcPr>
          <w:p w14:paraId="35B3F00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30B39D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0B7DBE0"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62671A7" w14:textId="77777777" w:rsidTr="00AC4931">
        <w:tc>
          <w:tcPr>
            <w:tcW w:w="0" w:type="auto"/>
            <w:hideMark/>
          </w:tcPr>
          <w:p w14:paraId="075E36ED"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3.1</w:t>
            </w:r>
          </w:p>
        </w:tc>
        <w:tc>
          <w:tcPr>
            <w:tcW w:w="0" w:type="auto"/>
            <w:hideMark/>
          </w:tcPr>
          <w:p w14:paraId="446DDB7E"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458A4FDC" w14:textId="77777777" w:rsidR="00AC4931" w:rsidRPr="00AC4931" w:rsidRDefault="00AC4931" w:rsidP="00AC4931">
            <w:pPr>
              <w:widowControl/>
              <w:jc w:val="left"/>
              <w:rPr>
                <w:rFonts w:ascii="Arial" w:eastAsia="宋体" w:hAnsi="Arial" w:cs="Arial"/>
                <w:kern w:val="0"/>
                <w:sz w:val="18"/>
                <w:szCs w:val="18"/>
              </w:rPr>
            </w:pPr>
            <w:hyperlink r:id="rId31" w:history="1">
              <w:r w:rsidRPr="00AC4931">
                <w:rPr>
                  <w:rFonts w:ascii="Arial" w:eastAsia="宋体" w:hAnsi="Arial" w:cs="Arial"/>
                  <w:color w:val="0000FF"/>
                  <w:kern w:val="0"/>
                  <w:sz w:val="18"/>
                  <w:szCs w:val="18"/>
                  <w:u w:val="single"/>
                </w:rPr>
                <w:t>Autoliv’s Restated Certificate of Incorporation, as amended, incorporated herein by reference to Exhibit 3.1 to the Quarterly Report on Form 10-Q (File No. 001-12933, filing date April 22, 2015).</w:t>
              </w:r>
            </w:hyperlink>
          </w:p>
        </w:tc>
      </w:tr>
      <w:tr w:rsidR="00AC4931" w:rsidRPr="00AC4931" w14:paraId="2CE05F9F" w14:textId="77777777" w:rsidTr="00AC4931">
        <w:tc>
          <w:tcPr>
            <w:tcW w:w="0" w:type="auto"/>
            <w:hideMark/>
          </w:tcPr>
          <w:p w14:paraId="6BE2FF7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E7046D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45B47D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43F841CC" w14:textId="77777777" w:rsidTr="00AC4931">
        <w:tc>
          <w:tcPr>
            <w:tcW w:w="0" w:type="auto"/>
            <w:hideMark/>
          </w:tcPr>
          <w:p w14:paraId="36C1200B"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3.2</w:t>
            </w:r>
          </w:p>
        </w:tc>
        <w:tc>
          <w:tcPr>
            <w:tcW w:w="0" w:type="auto"/>
            <w:hideMark/>
          </w:tcPr>
          <w:p w14:paraId="29F71233"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0681FDF5" w14:textId="77777777" w:rsidR="00AC4931" w:rsidRPr="00AC4931" w:rsidRDefault="00AC4931" w:rsidP="00AC4931">
            <w:pPr>
              <w:widowControl/>
              <w:rPr>
                <w:rFonts w:ascii="Arial" w:eastAsia="宋体" w:hAnsi="Arial" w:cs="Arial"/>
                <w:kern w:val="0"/>
                <w:sz w:val="18"/>
                <w:szCs w:val="18"/>
              </w:rPr>
            </w:pPr>
            <w:hyperlink r:id="rId32" w:history="1">
              <w:r w:rsidRPr="00AC4931">
                <w:rPr>
                  <w:rFonts w:ascii="Arial" w:eastAsia="宋体" w:hAnsi="Arial" w:cs="Arial"/>
                  <w:color w:val="0000FF"/>
                  <w:kern w:val="0"/>
                  <w:sz w:val="18"/>
                  <w:szCs w:val="18"/>
                  <w:u w:val="single"/>
                </w:rPr>
                <w:t>Autoliv’s Third Restated By-Laws, incorporated herein by reference to Exhibit 3.1 to the Current Report on Form 8-K (File No. 001-12933, filing date December 18, 2015).</w:t>
              </w:r>
            </w:hyperlink>
          </w:p>
        </w:tc>
      </w:tr>
      <w:tr w:rsidR="00AC4931" w:rsidRPr="00AC4931" w14:paraId="20406809" w14:textId="77777777" w:rsidTr="00AC4931">
        <w:tc>
          <w:tcPr>
            <w:tcW w:w="0" w:type="auto"/>
            <w:hideMark/>
          </w:tcPr>
          <w:p w14:paraId="260105E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04B494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346052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8C6347E" w14:textId="77777777" w:rsidTr="00AC4931">
        <w:tc>
          <w:tcPr>
            <w:tcW w:w="0" w:type="auto"/>
            <w:hideMark/>
          </w:tcPr>
          <w:p w14:paraId="61E3E3F4"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lastRenderedPageBreak/>
              <w:t>  4.1</w:t>
            </w:r>
          </w:p>
        </w:tc>
        <w:tc>
          <w:tcPr>
            <w:tcW w:w="0" w:type="auto"/>
            <w:hideMark/>
          </w:tcPr>
          <w:p w14:paraId="7EACFACD"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4D1E91A5" w14:textId="77777777" w:rsidR="00AC4931" w:rsidRPr="00AC4931" w:rsidRDefault="00AC4931" w:rsidP="00AC4931">
            <w:pPr>
              <w:widowControl/>
              <w:rPr>
                <w:rFonts w:ascii="Arial" w:eastAsia="宋体" w:hAnsi="Arial" w:cs="Arial"/>
                <w:kern w:val="0"/>
                <w:sz w:val="18"/>
                <w:szCs w:val="18"/>
              </w:rPr>
            </w:pPr>
            <w:hyperlink r:id="rId33" w:history="1">
              <w:r w:rsidRPr="00AC4931">
                <w:rPr>
                  <w:rFonts w:ascii="Arial" w:eastAsia="宋体" w:hAnsi="Arial" w:cs="Arial"/>
                  <w:color w:val="0000FF"/>
                  <w:kern w:val="0"/>
                  <w:sz w:val="18"/>
                  <w:szCs w:val="18"/>
                  <w:u w:val="single"/>
                </w:rPr>
                <w:t>Indenture, dated March 30, 2009, between Autoliv, Inc. and U.S. Bank National Association, as trustee, incorporated herein by reference to Exhibit 4.1 to Autoliv’s Registration Statement on Form 8-A (File No. 001-12933, filing date March 30, 2009).</w:t>
              </w:r>
            </w:hyperlink>
          </w:p>
        </w:tc>
      </w:tr>
      <w:tr w:rsidR="00AC4931" w:rsidRPr="00AC4931" w14:paraId="2C35B177" w14:textId="77777777" w:rsidTr="00AC4931">
        <w:tc>
          <w:tcPr>
            <w:tcW w:w="0" w:type="auto"/>
            <w:hideMark/>
          </w:tcPr>
          <w:p w14:paraId="56D89F89"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F6D3BD6"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C9D5E4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7B670B5C" w14:textId="77777777" w:rsidTr="00AC4931">
        <w:tc>
          <w:tcPr>
            <w:tcW w:w="0" w:type="auto"/>
            <w:hideMark/>
          </w:tcPr>
          <w:p w14:paraId="22E5F18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4.2</w:t>
            </w:r>
          </w:p>
        </w:tc>
        <w:tc>
          <w:tcPr>
            <w:tcW w:w="0" w:type="auto"/>
            <w:hideMark/>
          </w:tcPr>
          <w:p w14:paraId="6A6EC272"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36266E6D" w14:textId="77777777" w:rsidR="00AC4931" w:rsidRPr="00AC4931" w:rsidRDefault="00AC4931" w:rsidP="00AC4931">
            <w:pPr>
              <w:widowControl/>
              <w:rPr>
                <w:rFonts w:ascii="Arial" w:eastAsia="宋体" w:hAnsi="Arial" w:cs="Arial"/>
                <w:kern w:val="0"/>
                <w:sz w:val="18"/>
                <w:szCs w:val="18"/>
              </w:rPr>
            </w:pPr>
            <w:hyperlink r:id="rId34" w:history="1">
              <w:r w:rsidRPr="00AC4931">
                <w:rPr>
                  <w:rFonts w:ascii="Arial" w:eastAsia="宋体" w:hAnsi="Arial" w:cs="Arial"/>
                  <w:color w:val="0000FF"/>
                  <w:kern w:val="0"/>
                  <w:sz w:val="18"/>
                  <w:szCs w:val="18"/>
                  <w:u w:val="single"/>
                </w:rPr>
                <w:t>Second Supplemental Indenture (including Form of Global Note), dated March 15, 2012, between Autoliv, Inc. and U.S. Bank National Association, as trustee, incorporated herein by reference to Exhibit 4.1 to the Current Report on Form 8-K (File No. 001-12933, filing date March 15, 2012).</w:t>
              </w:r>
            </w:hyperlink>
          </w:p>
        </w:tc>
      </w:tr>
      <w:tr w:rsidR="00AC4931" w:rsidRPr="00AC4931" w14:paraId="1F81FE82" w14:textId="77777777" w:rsidTr="00AC4931">
        <w:tc>
          <w:tcPr>
            <w:tcW w:w="0" w:type="auto"/>
            <w:hideMark/>
          </w:tcPr>
          <w:p w14:paraId="3B2BB85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74CB00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4092FF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009D3ECF" w14:textId="77777777" w:rsidTr="00AC4931">
        <w:tc>
          <w:tcPr>
            <w:tcW w:w="0" w:type="auto"/>
            <w:hideMark/>
          </w:tcPr>
          <w:p w14:paraId="590D8ABB"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4.3</w:t>
            </w:r>
          </w:p>
        </w:tc>
        <w:tc>
          <w:tcPr>
            <w:tcW w:w="0" w:type="auto"/>
            <w:hideMark/>
          </w:tcPr>
          <w:p w14:paraId="7790090A"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6BB7AE0E" w14:textId="77777777" w:rsidR="00AC4931" w:rsidRPr="00AC4931" w:rsidRDefault="00AC4931" w:rsidP="00AC4931">
            <w:pPr>
              <w:widowControl/>
              <w:rPr>
                <w:rFonts w:ascii="Arial" w:eastAsia="宋体" w:hAnsi="Arial" w:cs="Arial"/>
                <w:kern w:val="0"/>
                <w:sz w:val="18"/>
                <w:szCs w:val="18"/>
              </w:rPr>
            </w:pPr>
            <w:hyperlink r:id="rId35" w:history="1">
              <w:r w:rsidRPr="00AC4931">
                <w:rPr>
                  <w:rFonts w:ascii="Arial" w:eastAsia="宋体" w:hAnsi="Arial" w:cs="Arial"/>
                  <w:color w:val="0000FF"/>
                  <w:kern w:val="0"/>
                  <w:sz w:val="18"/>
                  <w:szCs w:val="18"/>
                  <w:u w:val="single"/>
                </w:rPr>
                <w:t>Form of Note Purchase and Guaranty Agreement dated April 23, 2014, among Autoliv ASP, Inc., Autoliv, Inc. and the purchasers named therein, incorporated herein by reference to Exhibit 4.6 to the Quarterly Report on Form 10-Q (File No. 001-12933, filing date April 25, 2014).</w:t>
              </w:r>
            </w:hyperlink>
          </w:p>
        </w:tc>
      </w:tr>
      <w:tr w:rsidR="00AC4931" w:rsidRPr="00AC4931" w14:paraId="3CB54752" w14:textId="77777777" w:rsidTr="00AC4931">
        <w:tc>
          <w:tcPr>
            <w:tcW w:w="0" w:type="auto"/>
            <w:hideMark/>
          </w:tcPr>
          <w:p w14:paraId="2B7F3815"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A974FE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9E120D5"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A75CD30" w14:textId="77777777" w:rsidTr="00AC4931">
        <w:tc>
          <w:tcPr>
            <w:tcW w:w="0" w:type="auto"/>
            <w:hideMark/>
          </w:tcPr>
          <w:p w14:paraId="117DFA9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4.4</w:t>
            </w:r>
          </w:p>
        </w:tc>
        <w:tc>
          <w:tcPr>
            <w:tcW w:w="0" w:type="auto"/>
            <w:hideMark/>
          </w:tcPr>
          <w:p w14:paraId="29045378"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602F4CB" w14:textId="77777777" w:rsidR="00AC4931" w:rsidRPr="00AC4931" w:rsidRDefault="00AC4931" w:rsidP="00AC4931">
            <w:pPr>
              <w:widowControl/>
              <w:rPr>
                <w:rFonts w:ascii="Arial" w:eastAsia="宋体" w:hAnsi="Arial" w:cs="Arial"/>
                <w:kern w:val="0"/>
                <w:sz w:val="18"/>
                <w:szCs w:val="18"/>
              </w:rPr>
            </w:pPr>
            <w:hyperlink r:id="rId36" w:history="1">
              <w:r w:rsidRPr="00AC4931">
                <w:rPr>
                  <w:rFonts w:ascii="Arial" w:eastAsia="宋体" w:hAnsi="Arial" w:cs="Arial"/>
                  <w:color w:val="0000FF"/>
                  <w:kern w:val="0"/>
                  <w:sz w:val="18"/>
                  <w:szCs w:val="18"/>
                  <w:u w:val="single"/>
                </w:rPr>
                <w:t>Amendment and Waiver 2014 Note Purchase and Guaranty Agreement, dated May 24, 2018 among Autoliv, Inc., Autoliv ASP, Inc. and the noteholders named therein, incorporated herein by reference to Exhibit 4.4 to the Quarterly Report on Form 10-Q (File No. 001-12933, filing date July 27, 2018).</w:t>
              </w:r>
            </w:hyperlink>
          </w:p>
        </w:tc>
      </w:tr>
      <w:tr w:rsidR="00AC4931" w:rsidRPr="00AC4931" w14:paraId="293A430D" w14:textId="77777777" w:rsidTr="00AC4931">
        <w:tc>
          <w:tcPr>
            <w:tcW w:w="0" w:type="auto"/>
            <w:hideMark/>
          </w:tcPr>
          <w:p w14:paraId="744D822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C87ED16"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59F3ED4"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DB38C33" w14:textId="77777777" w:rsidTr="00AC4931">
        <w:tc>
          <w:tcPr>
            <w:tcW w:w="0" w:type="auto"/>
            <w:hideMark/>
          </w:tcPr>
          <w:p w14:paraId="3B2B231D"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4.5</w:t>
            </w:r>
          </w:p>
        </w:tc>
        <w:tc>
          <w:tcPr>
            <w:tcW w:w="0" w:type="auto"/>
            <w:hideMark/>
          </w:tcPr>
          <w:p w14:paraId="00EEDDC4"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66BE4D97" w14:textId="77777777" w:rsidR="00AC4931" w:rsidRPr="00AC4931" w:rsidRDefault="00AC4931" w:rsidP="00AC4931">
            <w:pPr>
              <w:widowControl/>
              <w:rPr>
                <w:rFonts w:ascii="Arial" w:eastAsia="宋体" w:hAnsi="Arial" w:cs="Arial"/>
                <w:kern w:val="0"/>
                <w:sz w:val="18"/>
                <w:szCs w:val="18"/>
              </w:rPr>
            </w:pPr>
            <w:hyperlink r:id="rId37" w:history="1">
              <w:r w:rsidRPr="00AC4931">
                <w:rPr>
                  <w:rFonts w:ascii="Arial" w:eastAsia="宋体" w:hAnsi="Arial" w:cs="Arial"/>
                  <w:color w:val="0000FF"/>
                  <w:kern w:val="0"/>
                  <w:sz w:val="18"/>
                  <w:szCs w:val="18"/>
                  <w:u w:val="single"/>
                </w:rPr>
                <w:t>General Terms and Conditions for Swedish Depository Receipts in Autoliv, Inc., representing common shares in Autoliv, Inc., effective as of May 30, 2018 with Skandinaviska Enskilda Banken AB (publ) serving as a custodian, incorporated herein by reference to Exhibit 4.5 to the Quarterly Report on Form 10-Q (File No. 001-12933, filing date July 27, 2018).</w:t>
              </w:r>
            </w:hyperlink>
          </w:p>
        </w:tc>
      </w:tr>
      <w:tr w:rsidR="00AC4931" w:rsidRPr="00AC4931" w14:paraId="12B169B5" w14:textId="77777777" w:rsidTr="00AC4931">
        <w:tc>
          <w:tcPr>
            <w:tcW w:w="0" w:type="auto"/>
            <w:hideMark/>
          </w:tcPr>
          <w:p w14:paraId="5C164682"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D9BDC1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F5749A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76E987E" w14:textId="77777777" w:rsidTr="00AC4931">
        <w:tc>
          <w:tcPr>
            <w:tcW w:w="0" w:type="auto"/>
            <w:hideMark/>
          </w:tcPr>
          <w:p w14:paraId="3B30F6A8"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4.6</w:t>
            </w:r>
          </w:p>
        </w:tc>
        <w:tc>
          <w:tcPr>
            <w:tcW w:w="0" w:type="auto"/>
            <w:hideMark/>
          </w:tcPr>
          <w:p w14:paraId="607363D2"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5C9527E" w14:textId="77777777" w:rsidR="00AC4931" w:rsidRPr="00AC4931" w:rsidRDefault="00AC4931" w:rsidP="00AC4931">
            <w:pPr>
              <w:widowControl/>
              <w:rPr>
                <w:rFonts w:ascii="Arial" w:eastAsia="宋体" w:hAnsi="Arial" w:cs="Arial"/>
                <w:kern w:val="0"/>
                <w:sz w:val="18"/>
                <w:szCs w:val="18"/>
              </w:rPr>
            </w:pPr>
            <w:hyperlink r:id="rId38" w:history="1">
              <w:r w:rsidRPr="00AC4931">
                <w:rPr>
                  <w:rFonts w:ascii="Arial" w:eastAsia="宋体" w:hAnsi="Arial" w:cs="Arial"/>
                  <w:color w:val="0000FF"/>
                  <w:kern w:val="0"/>
                  <w:sz w:val="18"/>
                  <w:szCs w:val="18"/>
                  <w:u w:val="single"/>
                </w:rPr>
                <w:t>Agency Agreement dated June 26, 2018 among Autoliv, Inc., Autoliv ASP Inc. and HSBC Bank PLC, incorporated herein by reference to Exhibit 4.6 to the Quarterly Report on Form 10-Q (File No. 001-12933, filing date July 27, 2018).</w:t>
              </w:r>
            </w:hyperlink>
          </w:p>
        </w:tc>
      </w:tr>
      <w:tr w:rsidR="00AC4931" w:rsidRPr="00AC4931" w14:paraId="39C58FDC" w14:textId="77777777" w:rsidTr="00AC4931">
        <w:tc>
          <w:tcPr>
            <w:tcW w:w="0" w:type="auto"/>
            <w:hideMark/>
          </w:tcPr>
          <w:p w14:paraId="48DD091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2B39A9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F3E72C4"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1D535917" w14:textId="77777777" w:rsidTr="00AC4931">
        <w:tc>
          <w:tcPr>
            <w:tcW w:w="0" w:type="auto"/>
            <w:hideMark/>
          </w:tcPr>
          <w:p w14:paraId="6B2CCFC6"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4.7</w:t>
            </w:r>
          </w:p>
        </w:tc>
        <w:tc>
          <w:tcPr>
            <w:tcW w:w="0" w:type="auto"/>
            <w:hideMark/>
          </w:tcPr>
          <w:p w14:paraId="312BCB8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82ACEFB" w14:textId="77777777" w:rsidR="00AC4931" w:rsidRPr="00AC4931" w:rsidRDefault="00AC4931" w:rsidP="00AC4931">
            <w:pPr>
              <w:widowControl/>
              <w:rPr>
                <w:rFonts w:ascii="Arial" w:eastAsia="宋体" w:hAnsi="Arial" w:cs="Arial"/>
                <w:kern w:val="0"/>
                <w:sz w:val="18"/>
                <w:szCs w:val="18"/>
              </w:rPr>
            </w:pPr>
            <w:hyperlink r:id="rId39" w:history="1">
              <w:r w:rsidRPr="00AC4931">
                <w:rPr>
                  <w:rFonts w:ascii="Arial" w:eastAsia="宋体" w:hAnsi="Arial" w:cs="Arial"/>
                  <w:color w:val="0000FF"/>
                  <w:kern w:val="0"/>
                  <w:sz w:val="18"/>
                  <w:szCs w:val="18"/>
                  <w:u w:val="single"/>
                </w:rPr>
                <w:t>Base listing particulars Agreement, dated April 11, 2019, among Autoliv, Inc., Autoliv ASP, Inc. and the dealers named therein, incorporated herein by reference to Exhibit 4.7 to the Quarterly Report on Form 10-Q (File No. 001-12933, filing date April 26, 2019).</w:t>
              </w:r>
            </w:hyperlink>
          </w:p>
        </w:tc>
      </w:tr>
      <w:tr w:rsidR="00AC4931" w:rsidRPr="00AC4931" w14:paraId="743B0D00" w14:textId="77777777" w:rsidTr="00AC4931">
        <w:tc>
          <w:tcPr>
            <w:tcW w:w="0" w:type="auto"/>
            <w:hideMark/>
          </w:tcPr>
          <w:p w14:paraId="218D7C0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BDC0CF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3EADD5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A3434B0" w14:textId="77777777" w:rsidTr="00AC4931">
        <w:tc>
          <w:tcPr>
            <w:tcW w:w="0" w:type="auto"/>
            <w:hideMark/>
          </w:tcPr>
          <w:p w14:paraId="186EBF80"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4.8</w:t>
            </w:r>
          </w:p>
        </w:tc>
        <w:tc>
          <w:tcPr>
            <w:tcW w:w="0" w:type="auto"/>
            <w:hideMark/>
          </w:tcPr>
          <w:p w14:paraId="6BB546C6"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468F964" w14:textId="77777777" w:rsidR="00AC4931" w:rsidRPr="00AC4931" w:rsidRDefault="00AC4931" w:rsidP="00AC4931">
            <w:pPr>
              <w:widowControl/>
              <w:rPr>
                <w:rFonts w:ascii="Arial" w:eastAsia="宋体" w:hAnsi="Arial" w:cs="Arial"/>
                <w:kern w:val="0"/>
                <w:sz w:val="18"/>
                <w:szCs w:val="18"/>
              </w:rPr>
            </w:pPr>
            <w:hyperlink r:id="rId40" w:history="1">
              <w:r w:rsidRPr="00AC4931">
                <w:rPr>
                  <w:rFonts w:ascii="Arial" w:eastAsia="宋体" w:hAnsi="Arial" w:cs="Arial"/>
                  <w:color w:val="0000FF"/>
                  <w:kern w:val="0"/>
                  <w:sz w:val="18"/>
                  <w:szCs w:val="18"/>
                  <w:u w:val="single"/>
                </w:rPr>
                <w:t>Programme Agreement, dated April 11, 2019, among Autoliv, Inc., Autoliv ASP, Inc. and the dealers named therein, incorporated herein by reference to Exhibit 4.8 to the Quarterly Report on Form 10-Q (File No. 001-12933, filing date April 26, 2019).</w:t>
              </w:r>
            </w:hyperlink>
          </w:p>
        </w:tc>
      </w:tr>
      <w:tr w:rsidR="00AC4931" w:rsidRPr="00AC4931" w14:paraId="1DAA76FA" w14:textId="77777777" w:rsidTr="00AC4931">
        <w:tc>
          <w:tcPr>
            <w:tcW w:w="0" w:type="auto"/>
            <w:hideMark/>
          </w:tcPr>
          <w:p w14:paraId="6FD6291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5F3397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EEF4EA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AD64A06" w14:textId="77777777" w:rsidTr="00AC4931">
        <w:tc>
          <w:tcPr>
            <w:tcW w:w="0" w:type="auto"/>
            <w:hideMark/>
          </w:tcPr>
          <w:p w14:paraId="2FA321C6"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4.9</w:t>
            </w:r>
          </w:p>
        </w:tc>
        <w:tc>
          <w:tcPr>
            <w:tcW w:w="0" w:type="auto"/>
            <w:hideMark/>
          </w:tcPr>
          <w:p w14:paraId="20537150"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C2ECF5F" w14:textId="77777777" w:rsidR="00AC4931" w:rsidRPr="00AC4931" w:rsidRDefault="00AC4931" w:rsidP="00AC4931">
            <w:pPr>
              <w:widowControl/>
              <w:rPr>
                <w:rFonts w:ascii="Arial" w:eastAsia="宋体" w:hAnsi="Arial" w:cs="Arial"/>
                <w:kern w:val="0"/>
                <w:sz w:val="18"/>
                <w:szCs w:val="18"/>
              </w:rPr>
            </w:pPr>
            <w:hyperlink r:id="rId41" w:history="1">
              <w:r w:rsidRPr="00AC4931">
                <w:rPr>
                  <w:rFonts w:ascii="Arial" w:eastAsia="宋体" w:hAnsi="Arial" w:cs="Arial"/>
                  <w:color w:val="0000FF"/>
                  <w:kern w:val="0"/>
                  <w:sz w:val="18"/>
                  <w:szCs w:val="18"/>
                  <w:u w:val="single"/>
                </w:rPr>
                <w:t>Agency Agreement, dated April 11, 2019, among Autoliv, Inc., Autoliv ASP, Inc. and the dealers named therein, incorporated herein by reference to Exhibit 4.9 to the Quarterly Report on Form 10-Q (File No. 001-12933, filing date April 26, 2019).</w:t>
              </w:r>
            </w:hyperlink>
          </w:p>
        </w:tc>
      </w:tr>
      <w:tr w:rsidR="00AC4931" w:rsidRPr="00AC4931" w14:paraId="02F76364" w14:textId="77777777" w:rsidTr="00AC4931">
        <w:tc>
          <w:tcPr>
            <w:tcW w:w="0" w:type="auto"/>
            <w:hideMark/>
          </w:tcPr>
          <w:p w14:paraId="39E2B234"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8DB4FA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08AAC0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CC822A9" w14:textId="77777777" w:rsidTr="00AC4931">
        <w:tc>
          <w:tcPr>
            <w:tcW w:w="0" w:type="auto"/>
            <w:hideMark/>
          </w:tcPr>
          <w:p w14:paraId="67AC9FA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4.10</w:t>
            </w:r>
          </w:p>
        </w:tc>
        <w:tc>
          <w:tcPr>
            <w:tcW w:w="0" w:type="auto"/>
            <w:hideMark/>
          </w:tcPr>
          <w:p w14:paraId="6476EAC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11A6602" w14:textId="77777777" w:rsidR="00AC4931" w:rsidRPr="00AC4931" w:rsidRDefault="00AC4931" w:rsidP="00AC4931">
            <w:pPr>
              <w:widowControl/>
              <w:rPr>
                <w:rFonts w:ascii="Arial" w:eastAsia="宋体" w:hAnsi="Arial" w:cs="Arial"/>
                <w:kern w:val="0"/>
                <w:sz w:val="18"/>
                <w:szCs w:val="18"/>
              </w:rPr>
            </w:pPr>
            <w:hyperlink r:id="rId42" w:history="1">
              <w:r w:rsidRPr="00AC4931">
                <w:rPr>
                  <w:rFonts w:ascii="Arial" w:eastAsia="宋体" w:hAnsi="Arial" w:cs="Arial"/>
                  <w:color w:val="0000FF"/>
                  <w:kern w:val="0"/>
                  <w:sz w:val="18"/>
                  <w:szCs w:val="18"/>
                  <w:u w:val="single"/>
                </w:rPr>
                <w:t>Base Listing Particulars Agreement, dated February 21, 2020, among Autoliv, Inc., Autoliv ASP, Inc. and the dealers named therein, incorporated by reference to Exhibit 4.10 to the Quarterly Report on Form 10-Q (File No. 001-12933, filing date April 24, 2020).</w:t>
              </w:r>
            </w:hyperlink>
          </w:p>
        </w:tc>
      </w:tr>
    </w:tbl>
    <w:p w14:paraId="14E66F42"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91</w:t>
      </w:r>
    </w:p>
    <w:p w14:paraId="674703DA"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A6BA9F9"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F647EE2"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D64A49A"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16068BBF">
          <v:rect id="_x0000_i1118" style="width:0;height:1.5pt" o:hralign="center" o:hrstd="t" o:hrnoshade="t" o:hr="t" fillcolor="black" stroked="f"/>
        </w:pict>
      </w:r>
    </w:p>
    <w:p w14:paraId="290B959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C75AB8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9430BD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tbl>
      <w:tblPr>
        <w:tblW w:w="20614" w:type="dxa"/>
        <w:tblCellMar>
          <w:left w:w="0" w:type="dxa"/>
          <w:right w:w="0" w:type="dxa"/>
        </w:tblCellMar>
        <w:tblLook w:val="04A0" w:firstRow="1" w:lastRow="0" w:firstColumn="1" w:lastColumn="0" w:noHBand="0" w:noVBand="1"/>
      </w:tblPr>
      <w:tblGrid>
        <w:gridCol w:w="1230"/>
        <w:gridCol w:w="173"/>
        <w:gridCol w:w="19211"/>
      </w:tblGrid>
      <w:tr w:rsidR="00AC4931" w:rsidRPr="00AC4931" w14:paraId="0E3C0D86" w14:textId="77777777" w:rsidTr="00AC4931">
        <w:tc>
          <w:tcPr>
            <w:tcW w:w="1505" w:type="dxa"/>
            <w:vAlign w:val="center"/>
            <w:hideMark/>
          </w:tcPr>
          <w:p w14:paraId="6C29820E"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p>
        </w:tc>
        <w:tc>
          <w:tcPr>
            <w:tcW w:w="179" w:type="dxa"/>
            <w:vAlign w:val="center"/>
            <w:hideMark/>
          </w:tcPr>
          <w:p w14:paraId="0F6F3C37" w14:textId="77777777" w:rsidR="00AC4931" w:rsidRPr="00AC4931" w:rsidRDefault="00AC4931" w:rsidP="00AC4931">
            <w:pPr>
              <w:widowControl/>
              <w:jc w:val="left"/>
              <w:rPr>
                <w:rFonts w:ascii="Times New Roman" w:eastAsia="Times New Roman" w:hAnsi="Times New Roman" w:cs="Times New Roman"/>
                <w:kern w:val="0"/>
                <w:sz w:val="20"/>
                <w:szCs w:val="20"/>
              </w:rPr>
            </w:pPr>
          </w:p>
        </w:tc>
        <w:tc>
          <w:tcPr>
            <w:tcW w:w="18930" w:type="dxa"/>
            <w:vAlign w:val="center"/>
            <w:hideMark/>
          </w:tcPr>
          <w:p w14:paraId="3965B776" w14:textId="77777777" w:rsidR="00AC4931" w:rsidRPr="00AC4931" w:rsidRDefault="00AC4931" w:rsidP="00AC4931">
            <w:pPr>
              <w:widowControl/>
              <w:jc w:val="left"/>
              <w:rPr>
                <w:rFonts w:ascii="Times New Roman" w:eastAsia="Times New Roman" w:hAnsi="Times New Roman" w:cs="Times New Roman"/>
                <w:kern w:val="0"/>
                <w:sz w:val="20"/>
                <w:szCs w:val="20"/>
              </w:rPr>
            </w:pPr>
          </w:p>
        </w:tc>
      </w:tr>
      <w:tr w:rsidR="00AC4931" w:rsidRPr="00AC4931" w14:paraId="23FE8C51" w14:textId="77777777" w:rsidTr="00AC4931">
        <w:tc>
          <w:tcPr>
            <w:tcW w:w="0" w:type="auto"/>
            <w:tcBorders>
              <w:bottom w:val="single" w:sz="6" w:space="0" w:color="000000"/>
            </w:tcBorders>
            <w:vAlign w:val="bottom"/>
            <w:hideMark/>
          </w:tcPr>
          <w:p w14:paraId="30DF977C"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Exhibit</w:t>
            </w:r>
          </w:p>
          <w:p w14:paraId="0CC346AB"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No.</w:t>
            </w:r>
          </w:p>
        </w:tc>
        <w:tc>
          <w:tcPr>
            <w:tcW w:w="0" w:type="auto"/>
            <w:hideMark/>
          </w:tcPr>
          <w:p w14:paraId="3A7AC0B3" w14:textId="77777777" w:rsidR="00AC4931" w:rsidRPr="00AC4931" w:rsidRDefault="00AC4931" w:rsidP="00AC4931">
            <w:pPr>
              <w:widowControl/>
              <w:rPr>
                <w:rFonts w:ascii="宋体" w:eastAsia="宋体" w:hAnsi="宋体" w:cs="宋体"/>
                <w:kern w:val="0"/>
                <w:sz w:val="16"/>
                <w:szCs w:val="16"/>
              </w:rPr>
            </w:pPr>
            <w:r w:rsidRPr="00AC4931">
              <w:rPr>
                <w:rFonts w:ascii="宋体" w:eastAsia="宋体" w:hAnsi="宋体" w:cs="宋体"/>
                <w:kern w:val="0"/>
                <w:sz w:val="16"/>
                <w:szCs w:val="16"/>
              </w:rPr>
              <w:t> </w:t>
            </w:r>
          </w:p>
        </w:tc>
        <w:tc>
          <w:tcPr>
            <w:tcW w:w="0" w:type="auto"/>
            <w:tcBorders>
              <w:bottom w:val="single" w:sz="6" w:space="0" w:color="000000"/>
            </w:tcBorders>
            <w:vAlign w:val="bottom"/>
            <w:hideMark/>
          </w:tcPr>
          <w:p w14:paraId="123F5DCF"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Description</w:t>
            </w:r>
          </w:p>
        </w:tc>
      </w:tr>
      <w:tr w:rsidR="00AC4931" w:rsidRPr="00AC4931" w14:paraId="5AA31E34" w14:textId="77777777" w:rsidTr="00AC4931">
        <w:tc>
          <w:tcPr>
            <w:tcW w:w="0" w:type="auto"/>
            <w:tcBorders>
              <w:top w:val="single" w:sz="6" w:space="0" w:color="000000"/>
            </w:tcBorders>
            <w:hideMark/>
          </w:tcPr>
          <w:p w14:paraId="7759C92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A86D32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tcBorders>
              <w:top w:val="single" w:sz="6" w:space="0" w:color="000000"/>
            </w:tcBorders>
            <w:hideMark/>
          </w:tcPr>
          <w:p w14:paraId="316068D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2970480" w14:textId="77777777" w:rsidTr="00AC4931">
        <w:tc>
          <w:tcPr>
            <w:tcW w:w="0" w:type="auto"/>
            <w:hideMark/>
          </w:tcPr>
          <w:p w14:paraId="3ECA94C5"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CBA2846"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CA7F60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2B29ED0" w14:textId="77777777" w:rsidTr="00AC4931">
        <w:tc>
          <w:tcPr>
            <w:tcW w:w="0" w:type="auto"/>
            <w:hideMark/>
          </w:tcPr>
          <w:p w14:paraId="169469A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4.11</w:t>
            </w:r>
          </w:p>
        </w:tc>
        <w:tc>
          <w:tcPr>
            <w:tcW w:w="0" w:type="auto"/>
            <w:hideMark/>
          </w:tcPr>
          <w:p w14:paraId="56A7277A"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5A26968" w14:textId="77777777" w:rsidR="00AC4931" w:rsidRPr="00AC4931" w:rsidRDefault="00AC4931" w:rsidP="00AC4931">
            <w:pPr>
              <w:widowControl/>
              <w:rPr>
                <w:rFonts w:ascii="Arial" w:eastAsia="宋体" w:hAnsi="Arial" w:cs="Arial"/>
                <w:kern w:val="0"/>
                <w:sz w:val="18"/>
                <w:szCs w:val="18"/>
              </w:rPr>
            </w:pPr>
            <w:hyperlink r:id="rId43" w:history="1">
              <w:r w:rsidRPr="00AC4931">
                <w:rPr>
                  <w:rFonts w:ascii="Arial" w:eastAsia="宋体" w:hAnsi="Arial" w:cs="Arial"/>
                  <w:color w:val="0000FF"/>
                  <w:kern w:val="0"/>
                  <w:sz w:val="18"/>
                  <w:szCs w:val="18"/>
                  <w:u w:val="single"/>
                </w:rPr>
                <w:t>Amended and Restated Programme Agreement, dated February 21, 2020, among Autoliv, Inc., Autoliv ASP, Inc. and the dealers named therein incorporated by reference to Exhibit 4.11 to the Quarterly Report on Form 10-Q (File No. 001-12933, filing date April 24, 2020).</w:t>
              </w:r>
            </w:hyperlink>
          </w:p>
        </w:tc>
      </w:tr>
      <w:tr w:rsidR="00AC4931" w:rsidRPr="00AC4931" w14:paraId="1EBE07B1" w14:textId="77777777" w:rsidTr="00AC4931">
        <w:tc>
          <w:tcPr>
            <w:tcW w:w="0" w:type="auto"/>
            <w:hideMark/>
          </w:tcPr>
          <w:p w14:paraId="398357D9"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4.12</w:t>
            </w:r>
          </w:p>
        </w:tc>
        <w:tc>
          <w:tcPr>
            <w:tcW w:w="0" w:type="auto"/>
            <w:hideMark/>
          </w:tcPr>
          <w:p w14:paraId="7ECDE1D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B5DF648" w14:textId="77777777" w:rsidR="00AC4931" w:rsidRPr="00AC4931" w:rsidRDefault="00AC4931" w:rsidP="00AC4931">
            <w:pPr>
              <w:widowControl/>
              <w:rPr>
                <w:rFonts w:ascii="Arial" w:eastAsia="宋体" w:hAnsi="Arial" w:cs="Arial"/>
                <w:kern w:val="0"/>
                <w:sz w:val="18"/>
                <w:szCs w:val="18"/>
              </w:rPr>
            </w:pPr>
            <w:hyperlink r:id="rId44" w:history="1">
              <w:r w:rsidRPr="00AC4931">
                <w:rPr>
                  <w:rFonts w:ascii="Arial" w:eastAsia="宋体" w:hAnsi="Arial" w:cs="Arial"/>
                  <w:color w:val="0000FF"/>
                  <w:kern w:val="0"/>
                  <w:sz w:val="18"/>
                  <w:szCs w:val="18"/>
                  <w:u w:val="single"/>
                </w:rPr>
                <w:t>Amended and Restated Agency Agreement, dated February 21, 2020, among Autoliv, Inc., Autoliv ASP, Inc. and the dealers named therein. incorporated by reference to Exhibit 4.12 to the Quarterly Report on Form 10-Q (File No. 001-12933, filing date April 24, 2020).</w:t>
              </w:r>
            </w:hyperlink>
          </w:p>
        </w:tc>
      </w:tr>
      <w:tr w:rsidR="00AC4931" w:rsidRPr="00AC4931" w14:paraId="4B6458DF" w14:textId="77777777" w:rsidTr="00AC4931">
        <w:tc>
          <w:tcPr>
            <w:tcW w:w="0" w:type="auto"/>
            <w:hideMark/>
          </w:tcPr>
          <w:p w14:paraId="7B39DB7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lastRenderedPageBreak/>
              <w:t> </w:t>
            </w:r>
          </w:p>
        </w:tc>
        <w:tc>
          <w:tcPr>
            <w:tcW w:w="0" w:type="auto"/>
            <w:hideMark/>
          </w:tcPr>
          <w:p w14:paraId="75A5D0C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5474D10"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35C7D0E9" w14:textId="77777777" w:rsidTr="00AC4931">
        <w:tc>
          <w:tcPr>
            <w:tcW w:w="0" w:type="auto"/>
            <w:hideMark/>
          </w:tcPr>
          <w:p w14:paraId="63B238CE"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  4.13*</w:t>
            </w:r>
          </w:p>
        </w:tc>
        <w:tc>
          <w:tcPr>
            <w:tcW w:w="0" w:type="auto"/>
            <w:hideMark/>
          </w:tcPr>
          <w:p w14:paraId="473A0FDA"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97EEFF2" w14:textId="77777777" w:rsidR="00AC4931" w:rsidRPr="00AC4931" w:rsidRDefault="00AC4931" w:rsidP="00AC4931">
            <w:pPr>
              <w:widowControl/>
              <w:rPr>
                <w:rFonts w:ascii="Arial" w:eastAsia="宋体" w:hAnsi="Arial" w:cs="Arial"/>
                <w:kern w:val="0"/>
                <w:sz w:val="18"/>
                <w:szCs w:val="18"/>
              </w:rPr>
            </w:pPr>
            <w:hyperlink r:id="rId45" w:history="1">
              <w:r w:rsidRPr="00AC4931">
                <w:rPr>
                  <w:rFonts w:ascii="Arial" w:eastAsia="宋体" w:hAnsi="Arial" w:cs="Arial"/>
                  <w:color w:val="0000FF"/>
                  <w:kern w:val="0"/>
                  <w:sz w:val="18"/>
                  <w:szCs w:val="18"/>
                  <w:u w:val="single"/>
                </w:rPr>
                <w:t>Description of Registrant´s Securities.</w:t>
              </w:r>
            </w:hyperlink>
          </w:p>
        </w:tc>
      </w:tr>
      <w:tr w:rsidR="00AC4931" w:rsidRPr="00AC4931" w14:paraId="0A07F785" w14:textId="77777777" w:rsidTr="00AC4931">
        <w:tc>
          <w:tcPr>
            <w:tcW w:w="0" w:type="auto"/>
            <w:hideMark/>
          </w:tcPr>
          <w:p w14:paraId="4DA644C0"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EA845E0"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88D9132"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1A6F3CF8" w14:textId="77777777" w:rsidTr="00AC4931">
        <w:tc>
          <w:tcPr>
            <w:tcW w:w="0" w:type="auto"/>
            <w:hideMark/>
          </w:tcPr>
          <w:p w14:paraId="6EAF6050"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w:t>
            </w:r>
          </w:p>
        </w:tc>
        <w:tc>
          <w:tcPr>
            <w:tcW w:w="0" w:type="auto"/>
            <w:hideMark/>
          </w:tcPr>
          <w:p w14:paraId="590EC357"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2668B833" w14:textId="77777777" w:rsidR="00AC4931" w:rsidRPr="00AC4931" w:rsidRDefault="00AC4931" w:rsidP="00AC4931">
            <w:pPr>
              <w:widowControl/>
              <w:rPr>
                <w:rFonts w:ascii="Arial" w:eastAsia="宋体" w:hAnsi="Arial" w:cs="Arial"/>
                <w:kern w:val="0"/>
                <w:sz w:val="18"/>
                <w:szCs w:val="18"/>
              </w:rPr>
            </w:pPr>
            <w:hyperlink r:id="rId46" w:history="1">
              <w:r w:rsidRPr="00AC4931">
                <w:rPr>
                  <w:rFonts w:ascii="Arial" w:eastAsia="宋体" w:hAnsi="Arial" w:cs="Arial"/>
                  <w:color w:val="0000FF"/>
                  <w:kern w:val="0"/>
                  <w:sz w:val="18"/>
                  <w:szCs w:val="18"/>
                  <w:u w:val="single"/>
                </w:rPr>
                <w:t>Form of Employment Agreement between Autoliv, Inc. and certain of its executive officers, incorporated herein by reference to Exhibit 10.4 to the Annual Report on Form 10-K/A (File No. 001-12933, filing date July 2, 2002).</w:t>
              </w:r>
            </w:hyperlink>
          </w:p>
        </w:tc>
      </w:tr>
      <w:tr w:rsidR="00AC4931" w:rsidRPr="00AC4931" w14:paraId="04BC715B" w14:textId="77777777" w:rsidTr="00AC4931">
        <w:tc>
          <w:tcPr>
            <w:tcW w:w="0" w:type="auto"/>
            <w:hideMark/>
          </w:tcPr>
          <w:p w14:paraId="3882B1AA" w14:textId="77777777" w:rsidR="00AC4931" w:rsidRPr="00AC4931" w:rsidRDefault="00AC4931" w:rsidP="00AC4931">
            <w:pPr>
              <w:widowControl/>
              <w:jc w:val="left"/>
              <w:rPr>
                <w:rFonts w:ascii="宋体" w:eastAsia="宋体" w:hAnsi="宋体" w:cs="宋体"/>
                <w:kern w:val="0"/>
                <w:sz w:val="14"/>
                <w:szCs w:val="14"/>
              </w:rPr>
            </w:pPr>
            <w:r w:rsidRPr="00AC4931">
              <w:rPr>
                <w:rFonts w:ascii="宋体" w:eastAsia="宋体" w:hAnsi="宋体" w:cs="宋体"/>
                <w:kern w:val="0"/>
                <w:sz w:val="14"/>
                <w:szCs w:val="14"/>
              </w:rPr>
              <w:t> </w:t>
            </w:r>
          </w:p>
        </w:tc>
        <w:tc>
          <w:tcPr>
            <w:tcW w:w="0" w:type="auto"/>
            <w:hideMark/>
          </w:tcPr>
          <w:p w14:paraId="08E689B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F3F26B4"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4991815" w14:textId="77777777" w:rsidTr="00AC4931">
        <w:tc>
          <w:tcPr>
            <w:tcW w:w="0" w:type="auto"/>
            <w:hideMark/>
          </w:tcPr>
          <w:p w14:paraId="4C5558B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10.2+</w:t>
            </w:r>
          </w:p>
        </w:tc>
        <w:tc>
          <w:tcPr>
            <w:tcW w:w="0" w:type="auto"/>
            <w:hideMark/>
          </w:tcPr>
          <w:p w14:paraId="013A6312"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37F74830" w14:textId="77777777" w:rsidR="00AC4931" w:rsidRPr="00AC4931" w:rsidRDefault="00AC4931" w:rsidP="00AC4931">
            <w:pPr>
              <w:widowControl/>
              <w:rPr>
                <w:rFonts w:ascii="Arial" w:eastAsia="宋体" w:hAnsi="Arial" w:cs="Arial"/>
                <w:kern w:val="0"/>
                <w:sz w:val="18"/>
                <w:szCs w:val="18"/>
              </w:rPr>
            </w:pPr>
            <w:hyperlink r:id="rId47" w:history="1">
              <w:r w:rsidRPr="00AC4931">
                <w:rPr>
                  <w:rFonts w:ascii="Arial" w:eastAsia="宋体" w:hAnsi="Arial" w:cs="Arial"/>
                  <w:color w:val="0000FF"/>
                  <w:kern w:val="0"/>
                  <w:sz w:val="18"/>
                  <w:szCs w:val="18"/>
                  <w:u w:val="single"/>
                </w:rPr>
                <w:t>Form of Supplementary Agreement to the Employment Agreement between Autoliv, Inc. and certain of its executive officers, incorporated herein by reference to Exhibit 10.5 to the Annual Report on Form 10-K/A (File No. 001-12933, filing date July 2, 2002).</w:t>
              </w:r>
            </w:hyperlink>
          </w:p>
        </w:tc>
      </w:tr>
      <w:tr w:rsidR="00AC4931" w:rsidRPr="00AC4931" w14:paraId="6BF348E3" w14:textId="77777777" w:rsidTr="00AC4931">
        <w:tc>
          <w:tcPr>
            <w:tcW w:w="0" w:type="auto"/>
            <w:hideMark/>
          </w:tcPr>
          <w:p w14:paraId="203D96E0"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5D1E085"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F9F43A8"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CCCCF17" w14:textId="77777777" w:rsidTr="00AC4931">
        <w:tc>
          <w:tcPr>
            <w:tcW w:w="0" w:type="auto"/>
            <w:hideMark/>
          </w:tcPr>
          <w:p w14:paraId="6F4029E4"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10.3+</w:t>
            </w:r>
          </w:p>
        </w:tc>
        <w:tc>
          <w:tcPr>
            <w:tcW w:w="0" w:type="auto"/>
            <w:hideMark/>
          </w:tcPr>
          <w:p w14:paraId="0B9412BB"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4A9F4FFF" w14:textId="77777777" w:rsidR="00AC4931" w:rsidRPr="00AC4931" w:rsidRDefault="00AC4931" w:rsidP="00AC4931">
            <w:pPr>
              <w:widowControl/>
              <w:rPr>
                <w:rFonts w:ascii="Arial" w:eastAsia="宋体" w:hAnsi="Arial" w:cs="Arial"/>
                <w:kern w:val="0"/>
                <w:sz w:val="18"/>
                <w:szCs w:val="18"/>
              </w:rPr>
            </w:pPr>
            <w:hyperlink r:id="rId48" w:history="1">
              <w:r w:rsidRPr="00AC4931">
                <w:rPr>
                  <w:rFonts w:ascii="Arial" w:eastAsia="宋体" w:hAnsi="Arial" w:cs="Arial"/>
                  <w:color w:val="0000FF"/>
                  <w:kern w:val="0"/>
                  <w:sz w:val="18"/>
                  <w:szCs w:val="18"/>
                  <w:u w:val="single"/>
                </w:rPr>
                <w:t>Form of Severance Agreement between Autoliv, Inc. and certain of its executive officers, incorporated herein by reference to Exhibit 10.7 to the Annual Report on Form 10-K/A (File No. 001-12933, filing date July 2, 2002).</w:t>
              </w:r>
            </w:hyperlink>
          </w:p>
        </w:tc>
      </w:tr>
      <w:tr w:rsidR="00AC4931" w:rsidRPr="00AC4931" w14:paraId="65C8617E" w14:textId="77777777" w:rsidTr="00AC4931">
        <w:tc>
          <w:tcPr>
            <w:tcW w:w="0" w:type="auto"/>
            <w:hideMark/>
          </w:tcPr>
          <w:p w14:paraId="38317CF3"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D9336B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3A6EC6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12026739" w14:textId="77777777" w:rsidTr="00AC4931">
        <w:tc>
          <w:tcPr>
            <w:tcW w:w="0" w:type="auto"/>
            <w:hideMark/>
          </w:tcPr>
          <w:p w14:paraId="53510799"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w:t>
            </w:r>
          </w:p>
        </w:tc>
        <w:tc>
          <w:tcPr>
            <w:tcW w:w="0" w:type="auto"/>
            <w:hideMark/>
          </w:tcPr>
          <w:p w14:paraId="669D56D7"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3D196347" w14:textId="77777777" w:rsidR="00AC4931" w:rsidRPr="00AC4931" w:rsidRDefault="00AC4931" w:rsidP="00AC4931">
            <w:pPr>
              <w:widowControl/>
              <w:rPr>
                <w:rFonts w:ascii="Arial" w:eastAsia="宋体" w:hAnsi="Arial" w:cs="Arial"/>
                <w:kern w:val="0"/>
                <w:sz w:val="18"/>
                <w:szCs w:val="18"/>
              </w:rPr>
            </w:pPr>
            <w:hyperlink r:id="rId49" w:history="1">
              <w:r w:rsidRPr="00AC4931">
                <w:rPr>
                  <w:rFonts w:ascii="Arial" w:eastAsia="宋体" w:hAnsi="Arial" w:cs="Arial"/>
                  <w:color w:val="0000FF"/>
                  <w:kern w:val="0"/>
                  <w:sz w:val="18"/>
                  <w:szCs w:val="18"/>
                  <w:u w:val="single"/>
                </w:rPr>
                <w:t>Form of Amendment to Employment Agreement between Autoliv, Inc. and certain of its executive officers – notice, incorporated herein by reference to Exhibit 10.9 to the Annual Report on Form 10-K (File No. 001-12933, filing date March 14, 2003).</w:t>
              </w:r>
            </w:hyperlink>
          </w:p>
        </w:tc>
      </w:tr>
      <w:tr w:rsidR="00AC4931" w:rsidRPr="00AC4931" w14:paraId="440C295F" w14:textId="77777777" w:rsidTr="00AC4931">
        <w:tc>
          <w:tcPr>
            <w:tcW w:w="0" w:type="auto"/>
            <w:hideMark/>
          </w:tcPr>
          <w:p w14:paraId="013EB3A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D7FAFA4"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681FE7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B7CD81A" w14:textId="77777777" w:rsidTr="00AC4931">
        <w:tc>
          <w:tcPr>
            <w:tcW w:w="0" w:type="auto"/>
            <w:hideMark/>
          </w:tcPr>
          <w:p w14:paraId="219BEAF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10.5+</w:t>
            </w:r>
          </w:p>
        </w:tc>
        <w:tc>
          <w:tcPr>
            <w:tcW w:w="0" w:type="auto"/>
            <w:hideMark/>
          </w:tcPr>
          <w:p w14:paraId="7590F9B0"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55C7C27B" w14:textId="77777777" w:rsidR="00AC4931" w:rsidRPr="00AC4931" w:rsidRDefault="00AC4931" w:rsidP="00AC4931">
            <w:pPr>
              <w:widowControl/>
              <w:jc w:val="left"/>
              <w:rPr>
                <w:rFonts w:ascii="Arial" w:eastAsia="宋体" w:hAnsi="Arial" w:cs="Arial"/>
                <w:kern w:val="0"/>
                <w:sz w:val="18"/>
                <w:szCs w:val="18"/>
              </w:rPr>
            </w:pPr>
            <w:hyperlink r:id="rId50" w:history="1">
              <w:r w:rsidRPr="00AC4931">
                <w:rPr>
                  <w:rFonts w:ascii="Arial" w:eastAsia="宋体" w:hAnsi="Arial" w:cs="Arial"/>
                  <w:color w:val="0000FF"/>
                  <w:kern w:val="0"/>
                  <w:sz w:val="18"/>
                  <w:szCs w:val="18"/>
                  <w:u w:val="single"/>
                </w:rPr>
                <w:t>Form of Supplementary Agreement to Employment Agreement between Autoliv, Inc. and certain of its executive officers – pension, incorporated herein by reference to Exhibit 10.10 to the Annual Report on Form 10-K (File No. 001-12933, filing date March 14, 2003).</w:t>
              </w:r>
            </w:hyperlink>
          </w:p>
        </w:tc>
      </w:tr>
      <w:tr w:rsidR="00AC4931" w:rsidRPr="00AC4931" w14:paraId="08B22627" w14:textId="77777777" w:rsidTr="00AC4931">
        <w:tc>
          <w:tcPr>
            <w:tcW w:w="0" w:type="auto"/>
            <w:hideMark/>
          </w:tcPr>
          <w:p w14:paraId="2F7B3B1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59756B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9E7B25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04E430C9" w14:textId="77777777" w:rsidTr="00AC4931">
        <w:tc>
          <w:tcPr>
            <w:tcW w:w="0" w:type="auto"/>
            <w:hideMark/>
          </w:tcPr>
          <w:p w14:paraId="356E5885"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10.6+</w:t>
            </w:r>
          </w:p>
        </w:tc>
        <w:tc>
          <w:tcPr>
            <w:tcW w:w="0" w:type="auto"/>
            <w:hideMark/>
          </w:tcPr>
          <w:p w14:paraId="6546C28D"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66A28C10" w14:textId="77777777" w:rsidR="00AC4931" w:rsidRPr="00AC4931" w:rsidRDefault="00AC4931" w:rsidP="00AC4931">
            <w:pPr>
              <w:widowControl/>
              <w:jc w:val="left"/>
              <w:rPr>
                <w:rFonts w:ascii="Arial" w:eastAsia="宋体" w:hAnsi="Arial" w:cs="Arial"/>
                <w:kern w:val="0"/>
                <w:sz w:val="18"/>
                <w:szCs w:val="18"/>
              </w:rPr>
            </w:pPr>
            <w:hyperlink r:id="rId51" w:history="1">
              <w:r w:rsidRPr="00AC4931">
                <w:rPr>
                  <w:rFonts w:ascii="Arial" w:eastAsia="宋体" w:hAnsi="Arial" w:cs="Arial"/>
                  <w:color w:val="0000FF"/>
                  <w:kern w:val="0"/>
                  <w:sz w:val="18"/>
                  <w:szCs w:val="18"/>
                  <w:u w:val="single"/>
                  <w:shd w:val="clear" w:color="auto" w:fill="FFFFFF"/>
                </w:rPr>
                <w:t>Form of Pension Agreement between Autoliv, Inc. and certain of its executive officers – additional pension, incorporated herein by reference to Exhibit 10.11 to the Annual Report on Form 10-K (File No. 001-12933, filing date March 14, 2003).</w:t>
              </w:r>
            </w:hyperlink>
          </w:p>
        </w:tc>
      </w:tr>
      <w:tr w:rsidR="00AC4931" w:rsidRPr="00AC4931" w14:paraId="233C513F" w14:textId="77777777" w:rsidTr="00AC4931">
        <w:tc>
          <w:tcPr>
            <w:tcW w:w="0" w:type="auto"/>
            <w:hideMark/>
          </w:tcPr>
          <w:p w14:paraId="413042D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382332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4F1970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327AE22E" w14:textId="77777777" w:rsidTr="00AC4931">
        <w:tc>
          <w:tcPr>
            <w:tcW w:w="0" w:type="auto"/>
            <w:hideMark/>
          </w:tcPr>
          <w:p w14:paraId="5C05A5F7"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10.7+</w:t>
            </w:r>
          </w:p>
        </w:tc>
        <w:tc>
          <w:tcPr>
            <w:tcW w:w="0" w:type="auto"/>
            <w:hideMark/>
          </w:tcPr>
          <w:p w14:paraId="5FBCEAE4"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6D8C17D3" w14:textId="77777777" w:rsidR="00AC4931" w:rsidRPr="00AC4931" w:rsidRDefault="00AC4931" w:rsidP="00AC4931">
            <w:pPr>
              <w:widowControl/>
              <w:jc w:val="left"/>
              <w:rPr>
                <w:rFonts w:ascii="Arial" w:eastAsia="宋体" w:hAnsi="Arial" w:cs="Arial"/>
                <w:kern w:val="0"/>
                <w:sz w:val="18"/>
                <w:szCs w:val="18"/>
              </w:rPr>
            </w:pPr>
            <w:hyperlink r:id="rId52" w:history="1">
              <w:r w:rsidRPr="00AC4931">
                <w:rPr>
                  <w:rFonts w:ascii="Arial" w:eastAsia="宋体" w:hAnsi="Arial" w:cs="Arial"/>
                  <w:color w:val="0000FF"/>
                  <w:kern w:val="0"/>
                  <w:sz w:val="18"/>
                  <w:szCs w:val="18"/>
                  <w:u w:val="single"/>
                </w:rPr>
                <w:t>Autoliv, Inc. 1997 Stock Incentive Plan, as amended and restated on May 6, 2009, incorporated herein by reference to Appendix A of the Definitive Proxy Statement of Autoliv, Inc. on Schedule 14A (filing date March 23, 2009).</w:t>
              </w:r>
            </w:hyperlink>
          </w:p>
        </w:tc>
      </w:tr>
      <w:tr w:rsidR="00AC4931" w:rsidRPr="00AC4931" w14:paraId="56E3DF17" w14:textId="77777777" w:rsidTr="00AC4931">
        <w:tc>
          <w:tcPr>
            <w:tcW w:w="0" w:type="auto"/>
            <w:hideMark/>
          </w:tcPr>
          <w:p w14:paraId="2F43C12C"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556933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55B9EB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0ABF73B5" w14:textId="77777777" w:rsidTr="00AC4931">
        <w:tc>
          <w:tcPr>
            <w:tcW w:w="0" w:type="auto"/>
            <w:hideMark/>
          </w:tcPr>
          <w:p w14:paraId="7EF259AE"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10.8</w:t>
            </w:r>
          </w:p>
        </w:tc>
        <w:tc>
          <w:tcPr>
            <w:tcW w:w="0" w:type="auto"/>
            <w:hideMark/>
          </w:tcPr>
          <w:p w14:paraId="326770BB"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455C8DF9" w14:textId="77777777" w:rsidR="00AC4931" w:rsidRPr="00AC4931" w:rsidRDefault="00AC4931" w:rsidP="00AC4931">
            <w:pPr>
              <w:widowControl/>
              <w:jc w:val="left"/>
              <w:rPr>
                <w:rFonts w:ascii="Arial" w:eastAsia="宋体" w:hAnsi="Arial" w:cs="Arial"/>
                <w:kern w:val="0"/>
                <w:sz w:val="18"/>
                <w:szCs w:val="18"/>
              </w:rPr>
            </w:pPr>
            <w:hyperlink r:id="rId53" w:history="1">
              <w:r w:rsidRPr="00AC4931">
                <w:rPr>
                  <w:rFonts w:ascii="Arial" w:eastAsia="宋体" w:hAnsi="Arial" w:cs="Arial"/>
                  <w:color w:val="0000FF"/>
                  <w:kern w:val="0"/>
                  <w:sz w:val="18"/>
                  <w:szCs w:val="18"/>
                  <w:u w:val="single"/>
                </w:rPr>
                <w:t>Revolving Credit Facility Agreement, dated June 21, 2010, between Autoliv AB, Autoliv, Inc., and Nordea Bank AB (publ), incorporated herein by reference to Exhibit 10.21 to the Quarterly Report on Form 10-Q (File No. 001-12933, filing date July 23, 2010).</w:t>
              </w:r>
            </w:hyperlink>
          </w:p>
        </w:tc>
      </w:tr>
      <w:tr w:rsidR="00AC4931" w:rsidRPr="00AC4931" w14:paraId="42A031A1" w14:textId="77777777" w:rsidTr="00AC4931">
        <w:tc>
          <w:tcPr>
            <w:tcW w:w="0" w:type="auto"/>
            <w:hideMark/>
          </w:tcPr>
          <w:p w14:paraId="6DC6AFF5"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A59359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B6A287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43B5C451" w14:textId="77777777" w:rsidTr="00AC4931">
        <w:tc>
          <w:tcPr>
            <w:tcW w:w="0" w:type="auto"/>
            <w:hideMark/>
          </w:tcPr>
          <w:p w14:paraId="169CCEC0"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10.9</w:t>
            </w:r>
          </w:p>
        </w:tc>
        <w:tc>
          <w:tcPr>
            <w:tcW w:w="0" w:type="auto"/>
            <w:hideMark/>
          </w:tcPr>
          <w:p w14:paraId="18B44663"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56FD0500" w14:textId="77777777" w:rsidR="00AC4931" w:rsidRPr="00AC4931" w:rsidRDefault="00AC4931" w:rsidP="00AC4931">
            <w:pPr>
              <w:widowControl/>
              <w:jc w:val="left"/>
              <w:rPr>
                <w:rFonts w:ascii="Arial" w:eastAsia="宋体" w:hAnsi="Arial" w:cs="Arial"/>
                <w:kern w:val="0"/>
                <w:sz w:val="18"/>
                <w:szCs w:val="18"/>
              </w:rPr>
            </w:pPr>
            <w:hyperlink r:id="rId54" w:history="1">
              <w:r w:rsidRPr="00AC4931">
                <w:rPr>
                  <w:rFonts w:ascii="Arial" w:eastAsia="宋体" w:hAnsi="Arial" w:cs="Arial"/>
                  <w:color w:val="0000FF"/>
                  <w:kern w:val="0"/>
                  <w:sz w:val="18"/>
                  <w:szCs w:val="18"/>
                  <w:u w:val="single"/>
                </w:rPr>
                <w:t>Facility Agreement, dated June 21, 2010, among Autoliv, Inc., Autoliv AB, Swedish Export Credit Corporation, National Export Credits Guarantee Board and Skandinaviska Enskilda Banken AB (publ), incorporated herein by reference to Exhibit 10.22 to the Quarterly Report on Form 10-Q (File No. 001-12933, filing date July 23, 2010).</w:t>
              </w:r>
            </w:hyperlink>
          </w:p>
        </w:tc>
      </w:tr>
      <w:tr w:rsidR="00AC4931" w:rsidRPr="00AC4931" w14:paraId="3B5F52AF" w14:textId="77777777" w:rsidTr="00AC4931">
        <w:tc>
          <w:tcPr>
            <w:tcW w:w="0" w:type="auto"/>
            <w:hideMark/>
          </w:tcPr>
          <w:p w14:paraId="2F391FC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D860D82"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AC10EB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1490D0E7" w14:textId="77777777" w:rsidTr="00AC4931">
        <w:tc>
          <w:tcPr>
            <w:tcW w:w="0" w:type="auto"/>
            <w:hideMark/>
          </w:tcPr>
          <w:p w14:paraId="52F3DE3D"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10.10+</w:t>
            </w:r>
          </w:p>
        </w:tc>
        <w:tc>
          <w:tcPr>
            <w:tcW w:w="0" w:type="auto"/>
            <w:hideMark/>
          </w:tcPr>
          <w:p w14:paraId="70A19BC1"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02E133E7" w14:textId="77777777" w:rsidR="00AC4931" w:rsidRPr="00AC4931" w:rsidRDefault="00AC4931" w:rsidP="00AC4931">
            <w:pPr>
              <w:widowControl/>
              <w:rPr>
                <w:rFonts w:ascii="Arial" w:eastAsia="宋体" w:hAnsi="Arial" w:cs="Arial"/>
                <w:kern w:val="0"/>
                <w:sz w:val="18"/>
                <w:szCs w:val="18"/>
              </w:rPr>
            </w:pPr>
            <w:hyperlink r:id="rId55" w:history="1">
              <w:r w:rsidRPr="00AC4931">
                <w:rPr>
                  <w:rFonts w:ascii="Arial" w:eastAsia="宋体" w:hAnsi="Arial" w:cs="Arial"/>
                  <w:color w:val="0000FF"/>
                  <w:kern w:val="0"/>
                  <w:sz w:val="18"/>
                  <w:szCs w:val="18"/>
                  <w:u w:val="single"/>
                </w:rPr>
                <w:t>Amendment No. 1 to the Autoliv, Inc. 1997 Stock Incentive Plan as amended and restated on May 6, 2009, dated December 17, 2010, incorporated herein by reference to Exhibit 10.24 to the Annual Report on Form 10-K (File No. 001-12933, filing date February 23, 2011).</w:t>
              </w:r>
            </w:hyperlink>
          </w:p>
        </w:tc>
      </w:tr>
      <w:tr w:rsidR="00AC4931" w:rsidRPr="00AC4931" w14:paraId="106277B1" w14:textId="77777777" w:rsidTr="00AC4931">
        <w:tc>
          <w:tcPr>
            <w:tcW w:w="0" w:type="auto"/>
            <w:hideMark/>
          </w:tcPr>
          <w:p w14:paraId="12AAF94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42ABF1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6F2819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1F6DBF95" w14:textId="77777777" w:rsidTr="00AC4931">
        <w:tc>
          <w:tcPr>
            <w:tcW w:w="0" w:type="auto"/>
            <w:hideMark/>
          </w:tcPr>
          <w:p w14:paraId="2C96821E"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10.11+</w:t>
            </w:r>
          </w:p>
        </w:tc>
        <w:tc>
          <w:tcPr>
            <w:tcW w:w="0" w:type="auto"/>
            <w:hideMark/>
          </w:tcPr>
          <w:p w14:paraId="250A70F2"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1C9BC8A9" w14:textId="77777777" w:rsidR="00AC4931" w:rsidRPr="00AC4931" w:rsidRDefault="00AC4931" w:rsidP="00AC4931">
            <w:pPr>
              <w:widowControl/>
              <w:jc w:val="left"/>
              <w:rPr>
                <w:rFonts w:ascii="Arial" w:eastAsia="宋体" w:hAnsi="Arial" w:cs="Arial"/>
                <w:kern w:val="0"/>
                <w:sz w:val="18"/>
                <w:szCs w:val="18"/>
              </w:rPr>
            </w:pPr>
            <w:hyperlink r:id="rId56" w:history="1">
              <w:r w:rsidRPr="00AC4931">
                <w:rPr>
                  <w:rFonts w:ascii="Arial" w:eastAsia="宋体" w:hAnsi="Arial" w:cs="Arial"/>
                  <w:color w:val="0000FF"/>
                  <w:kern w:val="0"/>
                  <w:sz w:val="18"/>
                  <w:szCs w:val="18"/>
                  <w:u w:val="single"/>
                </w:rPr>
                <w:t>Form of Amendment to Employment Agreement between Autoliv, Inc. and certain of its executive officers – pension, incorporated herein by reference to Exhibit 10.26 to the Annual Report on Form 10-K (File No. 001-12933, filing date February 23, 2012).</w:t>
              </w:r>
            </w:hyperlink>
          </w:p>
        </w:tc>
      </w:tr>
      <w:tr w:rsidR="00AC4931" w:rsidRPr="00AC4931" w14:paraId="63B7670A" w14:textId="77777777" w:rsidTr="00AC4931">
        <w:tc>
          <w:tcPr>
            <w:tcW w:w="0" w:type="auto"/>
            <w:hideMark/>
          </w:tcPr>
          <w:p w14:paraId="505B75D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FC4BA94"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936BB2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43051396" w14:textId="77777777" w:rsidTr="00AC4931">
        <w:tc>
          <w:tcPr>
            <w:tcW w:w="0" w:type="auto"/>
            <w:hideMark/>
          </w:tcPr>
          <w:p w14:paraId="0DF8E598"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10.12+</w:t>
            </w:r>
          </w:p>
        </w:tc>
        <w:tc>
          <w:tcPr>
            <w:tcW w:w="0" w:type="auto"/>
            <w:hideMark/>
          </w:tcPr>
          <w:p w14:paraId="208CAE78"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500DF88D" w14:textId="77777777" w:rsidR="00AC4931" w:rsidRPr="00AC4931" w:rsidRDefault="00AC4931" w:rsidP="00AC4931">
            <w:pPr>
              <w:widowControl/>
              <w:jc w:val="left"/>
              <w:rPr>
                <w:rFonts w:ascii="Arial" w:eastAsia="宋体" w:hAnsi="Arial" w:cs="Arial"/>
                <w:kern w:val="0"/>
                <w:sz w:val="18"/>
                <w:szCs w:val="18"/>
              </w:rPr>
            </w:pPr>
            <w:hyperlink r:id="rId57" w:history="1">
              <w:r w:rsidRPr="00AC4931">
                <w:rPr>
                  <w:rFonts w:ascii="Arial" w:eastAsia="宋体" w:hAnsi="Arial" w:cs="Arial"/>
                  <w:color w:val="0000FF"/>
                  <w:kern w:val="0"/>
                  <w:sz w:val="18"/>
                  <w:szCs w:val="18"/>
                  <w:u w:val="single"/>
                </w:rPr>
                <w:t>Form of Amendment to Employment Agreement between Autoliv, Inc. and certain of its executive officers – non-equity incentive award, incorporated herein by reference to Exhibit 10.27 to the Annual Report on Form 10-K (File No. 001-12933, filing date February 23, 2012).</w:t>
              </w:r>
            </w:hyperlink>
          </w:p>
        </w:tc>
      </w:tr>
      <w:tr w:rsidR="00AC4931" w:rsidRPr="00AC4931" w14:paraId="7A8A3257" w14:textId="77777777" w:rsidTr="00AC4931">
        <w:tc>
          <w:tcPr>
            <w:tcW w:w="0" w:type="auto"/>
            <w:hideMark/>
          </w:tcPr>
          <w:p w14:paraId="34CD3D94"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0C039AC"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9714C55"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05B1F3F7" w14:textId="77777777" w:rsidTr="00AC4931">
        <w:tc>
          <w:tcPr>
            <w:tcW w:w="0" w:type="auto"/>
            <w:hideMark/>
          </w:tcPr>
          <w:p w14:paraId="22BA2F2A"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10.13</w:t>
            </w:r>
          </w:p>
        </w:tc>
        <w:tc>
          <w:tcPr>
            <w:tcW w:w="0" w:type="auto"/>
            <w:hideMark/>
          </w:tcPr>
          <w:p w14:paraId="5BB025F6"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0FAD480E" w14:textId="77777777" w:rsidR="00AC4931" w:rsidRPr="00AC4931" w:rsidRDefault="00AC4931" w:rsidP="00AC4931">
            <w:pPr>
              <w:widowControl/>
              <w:jc w:val="left"/>
              <w:rPr>
                <w:rFonts w:ascii="Arial" w:eastAsia="宋体" w:hAnsi="Arial" w:cs="Arial"/>
                <w:kern w:val="0"/>
                <w:sz w:val="18"/>
                <w:szCs w:val="18"/>
              </w:rPr>
            </w:pPr>
            <w:hyperlink r:id="rId58" w:history="1">
              <w:r w:rsidRPr="00AC4931">
                <w:rPr>
                  <w:rFonts w:ascii="Arial" w:eastAsia="宋体" w:hAnsi="Arial" w:cs="Arial"/>
                  <w:color w:val="0000FF"/>
                  <w:kern w:val="0"/>
                  <w:sz w:val="18"/>
                  <w:szCs w:val="18"/>
                  <w:u w:val="single"/>
                </w:rPr>
                <w:t>Remarketing Agreement, dated as of February 9, 2012, incorporated herein by reference to Exhibit 1.1 to the Current Report on Form 8-K (File No. 001-12933, filing date March 15, 2012).</w:t>
              </w:r>
            </w:hyperlink>
          </w:p>
        </w:tc>
      </w:tr>
      <w:tr w:rsidR="00AC4931" w:rsidRPr="00AC4931" w14:paraId="04FC2D50" w14:textId="77777777" w:rsidTr="00AC4931">
        <w:tc>
          <w:tcPr>
            <w:tcW w:w="0" w:type="auto"/>
            <w:hideMark/>
          </w:tcPr>
          <w:p w14:paraId="16E90B06"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55892D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20500C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C77E49A" w14:textId="77777777" w:rsidTr="00AC4931">
        <w:tc>
          <w:tcPr>
            <w:tcW w:w="0" w:type="auto"/>
            <w:hideMark/>
          </w:tcPr>
          <w:p w14:paraId="59630710"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10.14+</w:t>
            </w:r>
          </w:p>
        </w:tc>
        <w:tc>
          <w:tcPr>
            <w:tcW w:w="0" w:type="auto"/>
            <w:hideMark/>
          </w:tcPr>
          <w:p w14:paraId="4712E913"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3B8445D6" w14:textId="77777777" w:rsidR="00AC4931" w:rsidRPr="00AC4931" w:rsidRDefault="00AC4931" w:rsidP="00AC4931">
            <w:pPr>
              <w:widowControl/>
              <w:jc w:val="left"/>
              <w:rPr>
                <w:rFonts w:ascii="Arial" w:eastAsia="宋体" w:hAnsi="Arial" w:cs="Arial"/>
                <w:kern w:val="0"/>
                <w:sz w:val="18"/>
                <w:szCs w:val="18"/>
              </w:rPr>
            </w:pPr>
            <w:hyperlink r:id="rId59" w:history="1">
              <w:r w:rsidRPr="00AC4931">
                <w:rPr>
                  <w:rFonts w:ascii="Arial" w:eastAsia="宋体" w:hAnsi="Arial" w:cs="Arial"/>
                  <w:color w:val="0000FF"/>
                  <w:kern w:val="0"/>
                  <w:sz w:val="18"/>
                  <w:szCs w:val="18"/>
                  <w:u w:val="single"/>
                </w:rPr>
                <w:t>Amendment No. 2 to the Autoliv, Inc. 1997 Stock Incentive Plan, as amended and restated on May 6, 2009, dated May 8, 2012, incorporated herein by reference to Exhibit 10.29 to the Quarterly Report on Form 10-Q (File No. 001-12933, filing date July 20, 2012).</w:t>
              </w:r>
            </w:hyperlink>
          </w:p>
        </w:tc>
      </w:tr>
      <w:tr w:rsidR="00AC4931" w:rsidRPr="00AC4931" w14:paraId="70FF2122" w14:textId="77777777" w:rsidTr="00AC4931">
        <w:tc>
          <w:tcPr>
            <w:tcW w:w="0" w:type="auto"/>
            <w:hideMark/>
          </w:tcPr>
          <w:p w14:paraId="7E89DB2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9AA81D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D4451B3"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FF8C39F" w14:textId="77777777" w:rsidTr="00AC4931">
        <w:tc>
          <w:tcPr>
            <w:tcW w:w="0" w:type="auto"/>
            <w:hideMark/>
          </w:tcPr>
          <w:p w14:paraId="06A6FEC8"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10.15+</w:t>
            </w:r>
          </w:p>
        </w:tc>
        <w:tc>
          <w:tcPr>
            <w:tcW w:w="0" w:type="auto"/>
            <w:hideMark/>
          </w:tcPr>
          <w:p w14:paraId="4F88E1A6"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51457079" w14:textId="77777777" w:rsidR="00AC4931" w:rsidRPr="00AC4931" w:rsidRDefault="00AC4931" w:rsidP="00AC4931">
            <w:pPr>
              <w:widowControl/>
              <w:jc w:val="left"/>
              <w:rPr>
                <w:rFonts w:ascii="Arial" w:eastAsia="宋体" w:hAnsi="Arial" w:cs="Arial"/>
                <w:kern w:val="0"/>
                <w:sz w:val="18"/>
                <w:szCs w:val="18"/>
              </w:rPr>
            </w:pPr>
            <w:hyperlink r:id="rId60" w:history="1">
              <w:r w:rsidRPr="00AC4931">
                <w:rPr>
                  <w:rFonts w:ascii="Arial" w:eastAsia="宋体" w:hAnsi="Arial" w:cs="Arial"/>
                  <w:color w:val="0000FF"/>
                  <w:kern w:val="0"/>
                  <w:sz w:val="18"/>
                  <w:szCs w:val="18"/>
                  <w:u w:val="single"/>
                </w:rPr>
                <w:t>Form of Employment Agreement between Autoliv, Inc. and certain of its executive officers (with Change-in-Control Severance Agreement), incorporated herein by reference to Exhibit 10.34 to the Annual Report on Form 10-K (File No. 001-12933, filing date February 22, 2013).</w:t>
              </w:r>
            </w:hyperlink>
          </w:p>
        </w:tc>
      </w:tr>
      <w:tr w:rsidR="00AC4931" w:rsidRPr="00AC4931" w14:paraId="52C32BBC" w14:textId="77777777" w:rsidTr="00AC4931">
        <w:tc>
          <w:tcPr>
            <w:tcW w:w="0" w:type="auto"/>
            <w:hideMark/>
          </w:tcPr>
          <w:p w14:paraId="357599A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B949546"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E2F971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8F6122B" w14:textId="77777777" w:rsidTr="00AC4931">
        <w:tc>
          <w:tcPr>
            <w:tcW w:w="0" w:type="auto"/>
            <w:hideMark/>
          </w:tcPr>
          <w:p w14:paraId="2471ACDB"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lastRenderedPageBreak/>
              <w:t>10.16+</w:t>
            </w:r>
          </w:p>
        </w:tc>
        <w:tc>
          <w:tcPr>
            <w:tcW w:w="0" w:type="auto"/>
            <w:hideMark/>
          </w:tcPr>
          <w:p w14:paraId="38011411"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1C6BA718" w14:textId="77777777" w:rsidR="00AC4931" w:rsidRPr="00AC4931" w:rsidRDefault="00AC4931" w:rsidP="00AC4931">
            <w:pPr>
              <w:widowControl/>
              <w:jc w:val="left"/>
              <w:rPr>
                <w:rFonts w:ascii="Arial" w:eastAsia="宋体" w:hAnsi="Arial" w:cs="Arial"/>
                <w:kern w:val="0"/>
                <w:sz w:val="18"/>
                <w:szCs w:val="18"/>
              </w:rPr>
            </w:pPr>
            <w:hyperlink r:id="rId61" w:history="1">
              <w:r w:rsidRPr="00AC4931">
                <w:rPr>
                  <w:rFonts w:ascii="Arial" w:eastAsia="宋体" w:hAnsi="Arial" w:cs="Arial"/>
                  <w:color w:val="0000FF"/>
                  <w:kern w:val="0"/>
                  <w:sz w:val="18"/>
                  <w:szCs w:val="18"/>
                  <w:u w:val="single"/>
                </w:rPr>
                <w:t>Form of Employment Agreement between Autoliv, Inc. and certain of its executive officers (without Change-in-Control Severance Agreement), incorporated herein by reference to Exhibit 10.35 to the Annual Report on Form 10-K (File No. 001-12933, filing date February 22, 2013).</w:t>
              </w:r>
            </w:hyperlink>
          </w:p>
        </w:tc>
      </w:tr>
      <w:tr w:rsidR="00AC4931" w:rsidRPr="00AC4931" w14:paraId="4907195B" w14:textId="77777777" w:rsidTr="00AC4931">
        <w:tc>
          <w:tcPr>
            <w:tcW w:w="0" w:type="auto"/>
            <w:hideMark/>
          </w:tcPr>
          <w:p w14:paraId="4323DC4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1C675C5"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5A0E893"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3A529217" w14:textId="77777777" w:rsidTr="00AC4931">
        <w:tc>
          <w:tcPr>
            <w:tcW w:w="0" w:type="auto"/>
            <w:hideMark/>
          </w:tcPr>
          <w:p w14:paraId="30649C9D"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10.17+</w:t>
            </w:r>
          </w:p>
        </w:tc>
        <w:tc>
          <w:tcPr>
            <w:tcW w:w="0" w:type="auto"/>
            <w:hideMark/>
          </w:tcPr>
          <w:p w14:paraId="1ED903BC"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06710ED4" w14:textId="77777777" w:rsidR="00AC4931" w:rsidRPr="00AC4931" w:rsidRDefault="00AC4931" w:rsidP="00AC4931">
            <w:pPr>
              <w:widowControl/>
              <w:jc w:val="left"/>
              <w:rPr>
                <w:rFonts w:ascii="Arial" w:eastAsia="宋体" w:hAnsi="Arial" w:cs="Arial"/>
                <w:kern w:val="0"/>
                <w:sz w:val="18"/>
                <w:szCs w:val="18"/>
              </w:rPr>
            </w:pPr>
            <w:hyperlink r:id="rId62" w:history="1">
              <w:r w:rsidRPr="00AC4931">
                <w:rPr>
                  <w:rFonts w:ascii="Arial" w:eastAsia="宋体" w:hAnsi="Arial" w:cs="Arial"/>
                  <w:color w:val="0000FF"/>
                  <w:kern w:val="0"/>
                  <w:sz w:val="18"/>
                  <w:szCs w:val="18"/>
                  <w:u w:val="single"/>
                </w:rPr>
                <w:t>Form of Change-in-Control Severance Agreement between Autoliv, Inc. and certain of its executive officers, incorporated herein by reference to Exhibit 10.36 to the Annual Report on Form 10-K (File No. 001-12933, filing date February 22, 2013).</w:t>
              </w:r>
            </w:hyperlink>
          </w:p>
        </w:tc>
      </w:tr>
      <w:tr w:rsidR="00AC4931" w:rsidRPr="00AC4931" w14:paraId="11F7B748" w14:textId="77777777" w:rsidTr="00AC4931">
        <w:tc>
          <w:tcPr>
            <w:tcW w:w="0" w:type="auto"/>
            <w:hideMark/>
          </w:tcPr>
          <w:p w14:paraId="0CBB433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70F4E8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1457DC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bl>
    <w:p w14:paraId="673EF33C"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92</w:t>
      </w:r>
    </w:p>
    <w:p w14:paraId="750639D5"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AE595F2"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4B6183E"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8CCC641"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142BD0E4">
          <v:rect id="_x0000_i1119" style="width:0;height:1.5pt" o:hralign="center" o:hrstd="t" o:hrnoshade="t" o:hr="t" fillcolor="black" stroked="f"/>
        </w:pict>
      </w:r>
    </w:p>
    <w:p w14:paraId="62DEB39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49D353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E0FA578"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tbl>
      <w:tblPr>
        <w:tblW w:w="20614" w:type="dxa"/>
        <w:tblCellMar>
          <w:left w:w="0" w:type="dxa"/>
          <w:right w:w="0" w:type="dxa"/>
        </w:tblCellMar>
        <w:tblLook w:val="04A0" w:firstRow="1" w:lastRow="0" w:firstColumn="1" w:lastColumn="0" w:noHBand="0" w:noVBand="1"/>
      </w:tblPr>
      <w:tblGrid>
        <w:gridCol w:w="1119"/>
        <w:gridCol w:w="171"/>
        <w:gridCol w:w="19324"/>
      </w:tblGrid>
      <w:tr w:rsidR="00AC4931" w:rsidRPr="00AC4931" w14:paraId="45DB5C84" w14:textId="77777777" w:rsidTr="00AC4931">
        <w:tc>
          <w:tcPr>
            <w:tcW w:w="1505" w:type="dxa"/>
            <w:vAlign w:val="center"/>
            <w:hideMark/>
          </w:tcPr>
          <w:p w14:paraId="694BDDA9"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p>
        </w:tc>
        <w:tc>
          <w:tcPr>
            <w:tcW w:w="179" w:type="dxa"/>
            <w:vAlign w:val="center"/>
            <w:hideMark/>
          </w:tcPr>
          <w:p w14:paraId="1E8379FB" w14:textId="77777777" w:rsidR="00AC4931" w:rsidRPr="00AC4931" w:rsidRDefault="00AC4931" w:rsidP="00AC4931">
            <w:pPr>
              <w:widowControl/>
              <w:jc w:val="left"/>
              <w:rPr>
                <w:rFonts w:ascii="Times New Roman" w:eastAsia="Times New Roman" w:hAnsi="Times New Roman" w:cs="Times New Roman"/>
                <w:kern w:val="0"/>
                <w:sz w:val="20"/>
                <w:szCs w:val="20"/>
              </w:rPr>
            </w:pPr>
          </w:p>
        </w:tc>
        <w:tc>
          <w:tcPr>
            <w:tcW w:w="18930" w:type="dxa"/>
            <w:vAlign w:val="center"/>
            <w:hideMark/>
          </w:tcPr>
          <w:p w14:paraId="34EB6701" w14:textId="77777777" w:rsidR="00AC4931" w:rsidRPr="00AC4931" w:rsidRDefault="00AC4931" w:rsidP="00AC4931">
            <w:pPr>
              <w:widowControl/>
              <w:jc w:val="left"/>
              <w:rPr>
                <w:rFonts w:ascii="Times New Roman" w:eastAsia="Times New Roman" w:hAnsi="Times New Roman" w:cs="Times New Roman"/>
                <w:kern w:val="0"/>
                <w:sz w:val="20"/>
                <w:szCs w:val="20"/>
              </w:rPr>
            </w:pPr>
          </w:p>
        </w:tc>
      </w:tr>
      <w:tr w:rsidR="00AC4931" w:rsidRPr="00AC4931" w14:paraId="4F452A7B" w14:textId="77777777" w:rsidTr="00AC4931">
        <w:tc>
          <w:tcPr>
            <w:tcW w:w="0" w:type="auto"/>
            <w:tcBorders>
              <w:bottom w:val="single" w:sz="6" w:space="0" w:color="000000"/>
            </w:tcBorders>
            <w:vAlign w:val="bottom"/>
            <w:hideMark/>
          </w:tcPr>
          <w:p w14:paraId="0B7914EA"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Exhibit</w:t>
            </w:r>
          </w:p>
          <w:p w14:paraId="3F240A22"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No.</w:t>
            </w:r>
          </w:p>
        </w:tc>
        <w:tc>
          <w:tcPr>
            <w:tcW w:w="0" w:type="auto"/>
            <w:hideMark/>
          </w:tcPr>
          <w:p w14:paraId="64A58BDF" w14:textId="77777777" w:rsidR="00AC4931" w:rsidRPr="00AC4931" w:rsidRDefault="00AC4931" w:rsidP="00AC4931">
            <w:pPr>
              <w:widowControl/>
              <w:rPr>
                <w:rFonts w:ascii="宋体" w:eastAsia="宋体" w:hAnsi="宋体" w:cs="宋体"/>
                <w:kern w:val="0"/>
                <w:sz w:val="16"/>
                <w:szCs w:val="16"/>
              </w:rPr>
            </w:pPr>
            <w:r w:rsidRPr="00AC4931">
              <w:rPr>
                <w:rFonts w:ascii="宋体" w:eastAsia="宋体" w:hAnsi="宋体" w:cs="宋体"/>
                <w:kern w:val="0"/>
                <w:sz w:val="16"/>
                <w:szCs w:val="16"/>
              </w:rPr>
              <w:t> </w:t>
            </w:r>
          </w:p>
        </w:tc>
        <w:tc>
          <w:tcPr>
            <w:tcW w:w="0" w:type="auto"/>
            <w:tcBorders>
              <w:bottom w:val="single" w:sz="6" w:space="0" w:color="000000"/>
            </w:tcBorders>
            <w:vAlign w:val="bottom"/>
            <w:hideMark/>
          </w:tcPr>
          <w:p w14:paraId="3DF3DBD4"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Description</w:t>
            </w:r>
          </w:p>
        </w:tc>
      </w:tr>
      <w:tr w:rsidR="00AC4931" w:rsidRPr="00AC4931" w14:paraId="33DBFFE3" w14:textId="77777777" w:rsidTr="00AC4931">
        <w:tc>
          <w:tcPr>
            <w:tcW w:w="0" w:type="auto"/>
            <w:tcBorders>
              <w:top w:val="single" w:sz="6" w:space="0" w:color="000000"/>
            </w:tcBorders>
            <w:hideMark/>
          </w:tcPr>
          <w:p w14:paraId="2B7BA20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1049FB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tcBorders>
              <w:top w:val="single" w:sz="6" w:space="0" w:color="000000"/>
            </w:tcBorders>
            <w:hideMark/>
          </w:tcPr>
          <w:p w14:paraId="69711FC0"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50BFE40" w14:textId="77777777" w:rsidTr="00AC4931">
        <w:tc>
          <w:tcPr>
            <w:tcW w:w="0" w:type="auto"/>
            <w:hideMark/>
          </w:tcPr>
          <w:p w14:paraId="19F479F7"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10.18</w:t>
            </w:r>
          </w:p>
        </w:tc>
        <w:tc>
          <w:tcPr>
            <w:tcW w:w="0" w:type="auto"/>
            <w:hideMark/>
          </w:tcPr>
          <w:p w14:paraId="52F7ABAE"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02821FD6" w14:textId="77777777" w:rsidR="00AC4931" w:rsidRPr="00AC4931" w:rsidRDefault="00AC4931" w:rsidP="00AC4931">
            <w:pPr>
              <w:widowControl/>
              <w:jc w:val="left"/>
              <w:rPr>
                <w:rFonts w:ascii="Arial" w:eastAsia="宋体" w:hAnsi="Arial" w:cs="Arial"/>
                <w:kern w:val="0"/>
                <w:sz w:val="18"/>
                <w:szCs w:val="18"/>
              </w:rPr>
            </w:pPr>
            <w:hyperlink r:id="rId63" w:history="1">
              <w:r w:rsidRPr="00AC4931">
                <w:rPr>
                  <w:rFonts w:ascii="Arial" w:eastAsia="宋体" w:hAnsi="Arial" w:cs="Arial"/>
                  <w:color w:val="0000FF"/>
                  <w:kern w:val="0"/>
                  <w:sz w:val="18"/>
                  <w:szCs w:val="18"/>
                  <w:u w:val="single"/>
                </w:rPr>
                <w:t>Form of Indemnification Agreement between Autoliv, Inc. and its directors and certain of its executive officers, incorporated herein by reference to Exhibit 99.i to the Annual Report on Form 10-K (File No. 001-12933, filing date February 24, 2009).</w:t>
              </w:r>
            </w:hyperlink>
          </w:p>
        </w:tc>
      </w:tr>
      <w:tr w:rsidR="00AC4931" w:rsidRPr="00AC4931" w14:paraId="1656A4ED" w14:textId="77777777" w:rsidTr="00AC4931">
        <w:tc>
          <w:tcPr>
            <w:tcW w:w="0" w:type="auto"/>
            <w:hideMark/>
          </w:tcPr>
          <w:p w14:paraId="4825CF3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D8B6C6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8C9F20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33E3EAB0" w14:textId="77777777" w:rsidTr="00AC4931">
        <w:tc>
          <w:tcPr>
            <w:tcW w:w="0" w:type="auto"/>
            <w:hideMark/>
          </w:tcPr>
          <w:p w14:paraId="1501DC49"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10.19†</w:t>
            </w:r>
          </w:p>
        </w:tc>
        <w:tc>
          <w:tcPr>
            <w:tcW w:w="0" w:type="auto"/>
            <w:hideMark/>
          </w:tcPr>
          <w:p w14:paraId="036C9B3D"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788C27E8" w14:textId="77777777" w:rsidR="00AC4931" w:rsidRPr="00AC4931" w:rsidRDefault="00AC4931" w:rsidP="00AC4931">
            <w:pPr>
              <w:widowControl/>
              <w:jc w:val="left"/>
              <w:rPr>
                <w:rFonts w:ascii="Arial" w:eastAsia="宋体" w:hAnsi="Arial" w:cs="Arial"/>
                <w:kern w:val="0"/>
                <w:sz w:val="18"/>
                <w:szCs w:val="18"/>
              </w:rPr>
            </w:pPr>
            <w:hyperlink r:id="rId64" w:history="1">
              <w:r w:rsidRPr="00AC4931">
                <w:rPr>
                  <w:rFonts w:ascii="Arial" w:eastAsia="宋体" w:hAnsi="Arial" w:cs="Arial"/>
                  <w:color w:val="0000FF"/>
                  <w:kern w:val="0"/>
                  <w:sz w:val="18"/>
                  <w:szCs w:val="18"/>
                  <w:u w:val="single"/>
                </w:rPr>
                <w:t>Finance Contract, dated July 16, 2013, among European Investment Bank, Autoliv AB (publ) and Autoliv, Inc., incorporated herein by reference to Exhibit 10.1 to the Quarterly Report on Form 10-Q (File No. 001-12933, filing date October 24, 2013).</w:t>
              </w:r>
            </w:hyperlink>
          </w:p>
        </w:tc>
      </w:tr>
      <w:tr w:rsidR="00AC4931" w:rsidRPr="00AC4931" w14:paraId="5B5C2F85" w14:textId="77777777" w:rsidTr="00AC4931">
        <w:tc>
          <w:tcPr>
            <w:tcW w:w="0" w:type="auto"/>
            <w:hideMark/>
          </w:tcPr>
          <w:p w14:paraId="49AF4212"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386881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B2025F0"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C6CFB03" w14:textId="77777777" w:rsidTr="00AC4931">
        <w:tc>
          <w:tcPr>
            <w:tcW w:w="0" w:type="auto"/>
            <w:hideMark/>
          </w:tcPr>
          <w:p w14:paraId="7A97D828"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10.20</w:t>
            </w:r>
          </w:p>
        </w:tc>
        <w:tc>
          <w:tcPr>
            <w:tcW w:w="0" w:type="auto"/>
            <w:hideMark/>
          </w:tcPr>
          <w:p w14:paraId="2E4C6461"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43B39BCE" w14:textId="77777777" w:rsidR="00AC4931" w:rsidRPr="00AC4931" w:rsidRDefault="00AC4931" w:rsidP="00AC4931">
            <w:pPr>
              <w:widowControl/>
              <w:jc w:val="left"/>
              <w:rPr>
                <w:rFonts w:ascii="Arial" w:eastAsia="宋体" w:hAnsi="Arial" w:cs="Arial"/>
                <w:spacing w:val="-4"/>
                <w:kern w:val="0"/>
                <w:sz w:val="18"/>
                <w:szCs w:val="18"/>
              </w:rPr>
            </w:pPr>
            <w:hyperlink r:id="rId65" w:history="1">
              <w:r w:rsidRPr="00AC4931">
                <w:rPr>
                  <w:rFonts w:ascii="Arial" w:eastAsia="宋体" w:hAnsi="Arial" w:cs="Arial"/>
                  <w:color w:val="0000FF"/>
                  <w:spacing w:val="-4"/>
                  <w:kern w:val="0"/>
                  <w:sz w:val="18"/>
                  <w:szCs w:val="18"/>
                  <w:u w:val="single"/>
                </w:rPr>
                <w:t>Guarantee Agreement, dated July 16, 2013, between European Investment Bank and Autoliv, Inc., incorporated herein by reference to Exhibit 10.12 to the Quarterly Report on Form 10-Q (File No. 001-12933, filing date October 24, 2013).</w:t>
              </w:r>
            </w:hyperlink>
          </w:p>
        </w:tc>
      </w:tr>
      <w:tr w:rsidR="00AC4931" w:rsidRPr="00AC4931" w14:paraId="17600094" w14:textId="77777777" w:rsidTr="00AC4931">
        <w:tc>
          <w:tcPr>
            <w:tcW w:w="0" w:type="auto"/>
            <w:hideMark/>
          </w:tcPr>
          <w:p w14:paraId="5BE67F60"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4B1652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48397B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15E7DC65" w14:textId="77777777" w:rsidTr="00AC4931">
        <w:tc>
          <w:tcPr>
            <w:tcW w:w="0" w:type="auto"/>
            <w:hideMark/>
          </w:tcPr>
          <w:p w14:paraId="5902F0FA"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10.21</w:t>
            </w:r>
          </w:p>
        </w:tc>
        <w:tc>
          <w:tcPr>
            <w:tcW w:w="0" w:type="auto"/>
            <w:hideMark/>
          </w:tcPr>
          <w:p w14:paraId="60E37E09"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12670999" w14:textId="77777777" w:rsidR="00AC4931" w:rsidRPr="00AC4931" w:rsidRDefault="00AC4931" w:rsidP="00AC4931">
            <w:pPr>
              <w:widowControl/>
              <w:jc w:val="left"/>
              <w:rPr>
                <w:rFonts w:ascii="Arial" w:eastAsia="宋体" w:hAnsi="Arial" w:cs="Arial"/>
                <w:kern w:val="0"/>
                <w:sz w:val="18"/>
                <w:szCs w:val="18"/>
              </w:rPr>
            </w:pPr>
            <w:hyperlink r:id="rId66" w:history="1">
              <w:r w:rsidRPr="00AC4931">
                <w:rPr>
                  <w:rFonts w:ascii="Arial" w:eastAsia="宋体" w:hAnsi="Arial" w:cs="Arial"/>
                  <w:color w:val="0000FF"/>
                  <w:kern w:val="0"/>
                  <w:sz w:val="18"/>
                  <w:szCs w:val="18"/>
                  <w:u w:val="single"/>
                </w:rPr>
                <w:t>Form of Note Purchase and Guaranty Agreement, dated April 23, 2014, among Autoliv ASP, Inc., Autoliv, Inc. and the purchasers named therein, incorporated herein by reference to Exhibit 4.6 to the Quarterly Report on Form 10-Q (File No. 001-12933, filing date April 25, 2014).</w:t>
              </w:r>
            </w:hyperlink>
          </w:p>
        </w:tc>
      </w:tr>
      <w:tr w:rsidR="00AC4931" w:rsidRPr="00AC4931" w14:paraId="2A8AA358" w14:textId="77777777" w:rsidTr="00AC4931">
        <w:tc>
          <w:tcPr>
            <w:tcW w:w="0" w:type="auto"/>
            <w:hideMark/>
          </w:tcPr>
          <w:p w14:paraId="7AFECFC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C76E5C2"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85907B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4664FF0" w14:textId="77777777" w:rsidTr="00AC4931">
        <w:tc>
          <w:tcPr>
            <w:tcW w:w="0" w:type="auto"/>
            <w:hideMark/>
          </w:tcPr>
          <w:p w14:paraId="23A93DF6"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10.22+</w:t>
            </w:r>
          </w:p>
        </w:tc>
        <w:tc>
          <w:tcPr>
            <w:tcW w:w="0" w:type="auto"/>
            <w:hideMark/>
          </w:tcPr>
          <w:p w14:paraId="2EBADBC9"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518E8A8E" w14:textId="77777777" w:rsidR="00AC4931" w:rsidRPr="00AC4931" w:rsidRDefault="00AC4931" w:rsidP="00AC4931">
            <w:pPr>
              <w:widowControl/>
              <w:jc w:val="left"/>
              <w:rPr>
                <w:rFonts w:ascii="Arial" w:eastAsia="宋体" w:hAnsi="Arial" w:cs="Arial"/>
                <w:kern w:val="0"/>
                <w:sz w:val="18"/>
                <w:szCs w:val="18"/>
              </w:rPr>
            </w:pPr>
            <w:hyperlink r:id="rId67" w:history="1">
              <w:r w:rsidRPr="00AC4931">
                <w:rPr>
                  <w:rFonts w:ascii="Arial" w:eastAsia="宋体" w:hAnsi="Arial" w:cs="Arial"/>
                  <w:color w:val="0000FF"/>
                  <w:kern w:val="0"/>
                  <w:sz w:val="18"/>
                  <w:szCs w:val="18"/>
                  <w:u w:val="single"/>
                </w:rPr>
                <w:t>Form of Supplement to Employment Agreement between Autoliv, Inc. and certain of its executive officers, dated August 13, 2014 and effective as of September 1, 2014, incorporated herein by reference to Exhibit 10.1 to the Quarterly Report on Form 10-Q (File No. 001-12933, filing date October 23, 2014).</w:t>
              </w:r>
            </w:hyperlink>
          </w:p>
        </w:tc>
      </w:tr>
      <w:tr w:rsidR="00AC4931" w:rsidRPr="00AC4931" w14:paraId="6BFEB44E" w14:textId="77777777" w:rsidTr="00AC4931">
        <w:tc>
          <w:tcPr>
            <w:tcW w:w="0" w:type="auto"/>
            <w:hideMark/>
          </w:tcPr>
          <w:p w14:paraId="441588AC"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9290A3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679069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204761A" w14:textId="77777777" w:rsidTr="00AC4931">
        <w:tc>
          <w:tcPr>
            <w:tcW w:w="0" w:type="auto"/>
            <w:hideMark/>
          </w:tcPr>
          <w:p w14:paraId="2558124B"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10.23</w:t>
            </w:r>
          </w:p>
        </w:tc>
        <w:tc>
          <w:tcPr>
            <w:tcW w:w="0" w:type="auto"/>
            <w:hideMark/>
          </w:tcPr>
          <w:p w14:paraId="3EC287C2"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47DF0660" w14:textId="77777777" w:rsidR="00AC4931" w:rsidRPr="00AC4931" w:rsidRDefault="00AC4931" w:rsidP="00AC4931">
            <w:pPr>
              <w:widowControl/>
              <w:jc w:val="left"/>
              <w:rPr>
                <w:rFonts w:ascii="Arial" w:eastAsia="宋体" w:hAnsi="Arial" w:cs="Arial"/>
                <w:kern w:val="0"/>
                <w:sz w:val="18"/>
                <w:szCs w:val="18"/>
              </w:rPr>
            </w:pPr>
            <w:hyperlink r:id="rId68" w:history="1">
              <w:r w:rsidRPr="00AC4931">
                <w:rPr>
                  <w:rFonts w:ascii="Arial" w:eastAsia="宋体" w:hAnsi="Arial" w:cs="Arial"/>
                  <w:color w:val="0000FF"/>
                  <w:kern w:val="0"/>
                  <w:sz w:val="18"/>
                  <w:szCs w:val="18"/>
                  <w:u w:val="single"/>
                </w:rPr>
                <w:t>Amendment, dated January 27, 2015, to the Finance Contract, dated July 16, 2013, among European Investment Bank, Autoliv AB (publ) and Autoliv, Inc., incorporated herein by reference to Exhibit 10.36 to the Annual Report on Form 10- K (File No. 001-12933, filing date February 19, 2015).</w:t>
              </w:r>
            </w:hyperlink>
          </w:p>
        </w:tc>
      </w:tr>
      <w:tr w:rsidR="00AC4931" w:rsidRPr="00AC4931" w14:paraId="26BEEF30" w14:textId="77777777" w:rsidTr="00AC4931">
        <w:tc>
          <w:tcPr>
            <w:tcW w:w="0" w:type="auto"/>
            <w:hideMark/>
          </w:tcPr>
          <w:p w14:paraId="1033AC7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96D50F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1C6E7F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76A3BAC8" w14:textId="77777777" w:rsidTr="00AC4931">
        <w:tc>
          <w:tcPr>
            <w:tcW w:w="0" w:type="auto"/>
            <w:hideMark/>
          </w:tcPr>
          <w:p w14:paraId="05EADE35"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10.24</w:t>
            </w:r>
          </w:p>
        </w:tc>
        <w:tc>
          <w:tcPr>
            <w:tcW w:w="0" w:type="auto"/>
            <w:hideMark/>
          </w:tcPr>
          <w:p w14:paraId="1E5B3B99"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2D0A13BB" w14:textId="77777777" w:rsidR="00AC4931" w:rsidRPr="00AC4931" w:rsidRDefault="00AC4931" w:rsidP="00AC4931">
            <w:pPr>
              <w:widowControl/>
              <w:jc w:val="left"/>
              <w:rPr>
                <w:rFonts w:ascii="Arial" w:eastAsia="宋体" w:hAnsi="Arial" w:cs="Arial"/>
                <w:kern w:val="0"/>
                <w:sz w:val="18"/>
                <w:szCs w:val="18"/>
              </w:rPr>
            </w:pPr>
            <w:hyperlink r:id="rId69" w:history="1">
              <w:r w:rsidRPr="00AC4931">
                <w:rPr>
                  <w:rFonts w:ascii="Arial" w:eastAsia="宋体" w:hAnsi="Arial" w:cs="Arial"/>
                  <w:color w:val="0000FF"/>
                  <w:kern w:val="0"/>
                  <w:sz w:val="18"/>
                  <w:szCs w:val="18"/>
                  <w:u w:val="single"/>
                </w:rPr>
                <w:t>General Terms and Conditions for Swedish Depository Receipts in Autoliv, Inc. representing common shares in Autoliv, Inc., effective as of May</w:t>
              </w:r>
              <w:r w:rsidRPr="00AC4931">
                <w:rPr>
                  <w:rFonts w:ascii="Arial" w:eastAsia="宋体" w:hAnsi="Arial" w:cs="Arial"/>
                  <w:color w:val="0000FF"/>
                  <w:kern w:val="0"/>
                  <w:sz w:val="20"/>
                  <w:szCs w:val="20"/>
                  <w:u w:val="single"/>
                </w:rPr>
                <w:t> 30</w:t>
              </w:r>
              <w:r w:rsidRPr="00AC4931">
                <w:rPr>
                  <w:rFonts w:ascii="Arial" w:eastAsia="宋体" w:hAnsi="Arial" w:cs="Arial"/>
                  <w:color w:val="0000FF"/>
                  <w:kern w:val="0"/>
                  <w:sz w:val="18"/>
                  <w:szCs w:val="18"/>
                  <w:u w:val="single"/>
                </w:rPr>
                <w:t>, 2018, with Skandinaviska Enskilda Banken AB (publ) serving as custodian, incorporated herein by reference to Exhibit 4.5 to the Quarterly Report on Form 10-Q (File No. 001-12933, filing date July 27, 2018).</w:t>
              </w:r>
            </w:hyperlink>
          </w:p>
        </w:tc>
      </w:tr>
      <w:tr w:rsidR="00AC4931" w:rsidRPr="00AC4931" w14:paraId="64C99017" w14:textId="77777777" w:rsidTr="00AC4931">
        <w:tc>
          <w:tcPr>
            <w:tcW w:w="0" w:type="auto"/>
            <w:hideMark/>
          </w:tcPr>
          <w:p w14:paraId="0241804C"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5E39DF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8306CC5"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7E93FDE2" w14:textId="77777777" w:rsidTr="00AC4931">
        <w:tc>
          <w:tcPr>
            <w:tcW w:w="0" w:type="auto"/>
            <w:hideMark/>
          </w:tcPr>
          <w:p w14:paraId="23A9A9FC"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10.25</w:t>
            </w:r>
          </w:p>
        </w:tc>
        <w:tc>
          <w:tcPr>
            <w:tcW w:w="0" w:type="auto"/>
            <w:hideMark/>
          </w:tcPr>
          <w:p w14:paraId="3EEAE40A" w14:textId="77777777" w:rsidR="00AC4931" w:rsidRPr="00AC4931" w:rsidRDefault="00AC4931" w:rsidP="00AC4931">
            <w:pPr>
              <w:widowControl/>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hideMark/>
          </w:tcPr>
          <w:p w14:paraId="543B3603" w14:textId="77777777" w:rsidR="00AC4931" w:rsidRPr="00AC4931" w:rsidRDefault="00AC4931" w:rsidP="00AC4931">
            <w:pPr>
              <w:widowControl/>
              <w:jc w:val="left"/>
              <w:rPr>
                <w:rFonts w:ascii="Arial" w:eastAsia="宋体" w:hAnsi="Arial" w:cs="Arial"/>
                <w:kern w:val="0"/>
                <w:sz w:val="18"/>
                <w:szCs w:val="18"/>
              </w:rPr>
            </w:pPr>
            <w:hyperlink r:id="rId70" w:history="1">
              <w:r w:rsidRPr="00AC4931">
                <w:rPr>
                  <w:rFonts w:ascii="Arial" w:eastAsia="宋体" w:hAnsi="Arial" w:cs="Arial"/>
                  <w:color w:val="0000FF"/>
                  <w:kern w:val="0"/>
                  <w:sz w:val="18"/>
                  <w:szCs w:val="18"/>
                  <w:u w:val="single"/>
                </w:rPr>
                <w:t>Facilities Agreement of $1,100,000,000, dated July 14, 2016, among Autoliv, Inc., Autoliv ASP, Inc., Autoliv AB, HSBC Bank PLC, Mizuho Bank, Ltd. and Investment Banking, Skandinaviska Enskilda Banken AB (publ), and the other parties and lenders named therein, incorporated herein by reference to Exhibit 10.1 to the Quarterly Report on Form 10-Q (File No. 001-12933, filing date October 27, 2016).</w:t>
              </w:r>
            </w:hyperlink>
          </w:p>
        </w:tc>
      </w:tr>
      <w:tr w:rsidR="00AC4931" w:rsidRPr="00AC4931" w14:paraId="1A981F40" w14:textId="77777777" w:rsidTr="00AC4931">
        <w:tc>
          <w:tcPr>
            <w:tcW w:w="0" w:type="auto"/>
            <w:hideMark/>
          </w:tcPr>
          <w:p w14:paraId="0E7FBD6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5925E2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B32E56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8387F4F" w14:textId="77777777" w:rsidTr="00AC4931">
        <w:tc>
          <w:tcPr>
            <w:tcW w:w="0" w:type="auto"/>
            <w:hideMark/>
          </w:tcPr>
          <w:p w14:paraId="58F3AAF2"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10.26+</w:t>
            </w:r>
          </w:p>
        </w:tc>
        <w:tc>
          <w:tcPr>
            <w:tcW w:w="0" w:type="auto"/>
            <w:hideMark/>
          </w:tcPr>
          <w:p w14:paraId="16F1F7C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BBC7745" w14:textId="77777777" w:rsidR="00AC4931" w:rsidRPr="00AC4931" w:rsidRDefault="00AC4931" w:rsidP="00AC4931">
            <w:pPr>
              <w:widowControl/>
              <w:rPr>
                <w:rFonts w:ascii="Arial" w:eastAsia="宋体" w:hAnsi="Arial" w:cs="Arial"/>
                <w:kern w:val="0"/>
                <w:sz w:val="18"/>
                <w:szCs w:val="18"/>
              </w:rPr>
            </w:pPr>
            <w:hyperlink r:id="rId71" w:history="1">
              <w:r w:rsidRPr="00AC4931">
                <w:rPr>
                  <w:rFonts w:ascii="Arial" w:eastAsia="宋体" w:hAnsi="Arial" w:cs="Arial"/>
                  <w:color w:val="0000FF"/>
                  <w:kern w:val="0"/>
                  <w:sz w:val="18"/>
                  <w:szCs w:val="18"/>
                  <w:u w:val="single"/>
                </w:rPr>
                <w:t>Autoliv, Inc. Non-employee Director Compensation Policy, effective January 1, 2017, incorporated herein by reference to Exhibit 10.1 to the Quarterly Report on Form 10-Q (File No. 001-12933, filing date April 28, 2017).</w:t>
              </w:r>
            </w:hyperlink>
          </w:p>
        </w:tc>
      </w:tr>
      <w:tr w:rsidR="00AC4931" w:rsidRPr="00AC4931" w14:paraId="4F88A3C0" w14:textId="77777777" w:rsidTr="00AC4931">
        <w:tc>
          <w:tcPr>
            <w:tcW w:w="0" w:type="auto"/>
            <w:hideMark/>
          </w:tcPr>
          <w:p w14:paraId="5A78F375"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D20AFB6"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A01BBA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CD7B656" w14:textId="77777777" w:rsidTr="00AC4931">
        <w:tc>
          <w:tcPr>
            <w:tcW w:w="0" w:type="auto"/>
            <w:hideMark/>
          </w:tcPr>
          <w:p w14:paraId="47FECB6D"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lastRenderedPageBreak/>
              <w:t>10.27+</w:t>
            </w:r>
          </w:p>
        </w:tc>
        <w:tc>
          <w:tcPr>
            <w:tcW w:w="0" w:type="auto"/>
            <w:hideMark/>
          </w:tcPr>
          <w:p w14:paraId="14CEE3C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005E2B9" w14:textId="77777777" w:rsidR="00AC4931" w:rsidRPr="00AC4931" w:rsidRDefault="00AC4931" w:rsidP="00AC4931">
            <w:pPr>
              <w:widowControl/>
              <w:rPr>
                <w:rFonts w:ascii="Arial" w:eastAsia="宋体" w:hAnsi="Arial" w:cs="Arial"/>
                <w:kern w:val="0"/>
                <w:sz w:val="18"/>
                <w:szCs w:val="18"/>
              </w:rPr>
            </w:pPr>
            <w:hyperlink r:id="rId72" w:history="1">
              <w:r w:rsidRPr="00AC4931">
                <w:rPr>
                  <w:rFonts w:ascii="Arial" w:eastAsia="宋体" w:hAnsi="Arial" w:cs="Arial"/>
                  <w:color w:val="0000FF"/>
                  <w:kern w:val="0"/>
                  <w:sz w:val="18"/>
                  <w:szCs w:val="18"/>
                  <w:u w:val="single"/>
                </w:rPr>
                <w:t>Amendment No. 3 to the Autoliv, Inc. 1997 Stock Incentive Plan, as amended and restated, dated April 24, 2017, incorporated herein by reference to Exhibit 10.2 to the Quarterly Report on Form 10-Q (File No. 001-12933, filing date April 28, 2017).</w:t>
              </w:r>
            </w:hyperlink>
          </w:p>
        </w:tc>
      </w:tr>
      <w:tr w:rsidR="00AC4931" w:rsidRPr="00AC4931" w14:paraId="3070BB40" w14:textId="77777777" w:rsidTr="00AC4931">
        <w:tc>
          <w:tcPr>
            <w:tcW w:w="0" w:type="auto"/>
            <w:hideMark/>
          </w:tcPr>
          <w:p w14:paraId="5A7AE6F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7FC91B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F6FD5F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392E17D9" w14:textId="77777777" w:rsidTr="00AC4931">
        <w:tc>
          <w:tcPr>
            <w:tcW w:w="0" w:type="auto"/>
            <w:hideMark/>
          </w:tcPr>
          <w:p w14:paraId="6FCC6196"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10.28+</w:t>
            </w:r>
          </w:p>
        </w:tc>
        <w:tc>
          <w:tcPr>
            <w:tcW w:w="0" w:type="auto"/>
            <w:hideMark/>
          </w:tcPr>
          <w:p w14:paraId="0EC8A172"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1E63FE5" w14:textId="77777777" w:rsidR="00AC4931" w:rsidRPr="00AC4931" w:rsidRDefault="00AC4931" w:rsidP="00AC4931">
            <w:pPr>
              <w:widowControl/>
              <w:rPr>
                <w:rFonts w:ascii="Arial" w:eastAsia="宋体" w:hAnsi="Arial" w:cs="Arial"/>
                <w:kern w:val="0"/>
                <w:sz w:val="18"/>
                <w:szCs w:val="18"/>
              </w:rPr>
            </w:pPr>
            <w:hyperlink r:id="rId73" w:history="1">
              <w:r w:rsidRPr="00AC4931">
                <w:rPr>
                  <w:rFonts w:ascii="Arial" w:eastAsia="宋体" w:hAnsi="Arial" w:cs="Arial"/>
                  <w:color w:val="0000FF"/>
                  <w:kern w:val="0"/>
                  <w:sz w:val="18"/>
                  <w:szCs w:val="18"/>
                  <w:u w:val="single"/>
                </w:rPr>
                <w:t>Form of Non-Employee Director restricted stock unit award agreement to be used under the Autoliv, Inc. 1997 Stock Incentive Plan, as amended and restated, incorporated herein by reference to Exhibit 10.3 to the Quarterly Report on Form 10-Q (File No. 001-12933, filing date April 28, 2017).</w:t>
              </w:r>
            </w:hyperlink>
          </w:p>
        </w:tc>
      </w:tr>
      <w:tr w:rsidR="00AC4931" w:rsidRPr="00AC4931" w14:paraId="3FE13091" w14:textId="77777777" w:rsidTr="00AC4931">
        <w:tc>
          <w:tcPr>
            <w:tcW w:w="0" w:type="auto"/>
            <w:hideMark/>
          </w:tcPr>
          <w:p w14:paraId="3855A9A3"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959A8D5"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FAECC52"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1029EEF9" w14:textId="77777777" w:rsidTr="00AC4931">
        <w:tc>
          <w:tcPr>
            <w:tcW w:w="0" w:type="auto"/>
            <w:hideMark/>
          </w:tcPr>
          <w:p w14:paraId="3D110F28"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10.29+</w:t>
            </w:r>
          </w:p>
        </w:tc>
        <w:tc>
          <w:tcPr>
            <w:tcW w:w="0" w:type="auto"/>
            <w:hideMark/>
          </w:tcPr>
          <w:p w14:paraId="527F3B4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61148FC" w14:textId="77777777" w:rsidR="00AC4931" w:rsidRPr="00AC4931" w:rsidRDefault="00AC4931" w:rsidP="00AC4931">
            <w:pPr>
              <w:widowControl/>
              <w:rPr>
                <w:rFonts w:ascii="Arial" w:eastAsia="宋体" w:hAnsi="Arial" w:cs="Arial"/>
                <w:kern w:val="0"/>
                <w:sz w:val="18"/>
                <w:szCs w:val="18"/>
              </w:rPr>
            </w:pPr>
            <w:hyperlink r:id="rId74" w:history="1">
              <w:r w:rsidRPr="00AC4931">
                <w:rPr>
                  <w:rFonts w:ascii="Arial" w:eastAsia="宋体" w:hAnsi="Arial" w:cs="Arial"/>
                  <w:color w:val="0000FF"/>
                  <w:kern w:val="0"/>
                  <w:sz w:val="18"/>
                  <w:szCs w:val="18"/>
                  <w:u w:val="single"/>
                </w:rPr>
                <w:t>Form of Employee restricted stock unit award agreement (2017) to be used under the Autoliv, Inc. 1997 Stock Incentive Plan, as amended and restated, incorporated herein by reference to Exhibit 10.4 to the Quarterly Report on Form 10-Q (File No. 001-12933, filing date April 28, 2017).</w:t>
              </w:r>
            </w:hyperlink>
          </w:p>
        </w:tc>
      </w:tr>
      <w:tr w:rsidR="00AC4931" w:rsidRPr="00AC4931" w14:paraId="2C04D3B9" w14:textId="77777777" w:rsidTr="00AC4931">
        <w:tc>
          <w:tcPr>
            <w:tcW w:w="0" w:type="auto"/>
            <w:hideMark/>
          </w:tcPr>
          <w:p w14:paraId="33C19103"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3E4EFAA"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0CB22D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ACBFB53" w14:textId="77777777" w:rsidTr="00AC4931">
        <w:tc>
          <w:tcPr>
            <w:tcW w:w="0" w:type="auto"/>
            <w:hideMark/>
          </w:tcPr>
          <w:p w14:paraId="503B2178"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10.30+</w:t>
            </w:r>
          </w:p>
        </w:tc>
        <w:tc>
          <w:tcPr>
            <w:tcW w:w="0" w:type="auto"/>
            <w:hideMark/>
          </w:tcPr>
          <w:p w14:paraId="077FDA74"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EEC5028" w14:textId="77777777" w:rsidR="00AC4931" w:rsidRPr="00AC4931" w:rsidRDefault="00AC4931" w:rsidP="00AC4931">
            <w:pPr>
              <w:widowControl/>
              <w:jc w:val="left"/>
              <w:rPr>
                <w:rFonts w:ascii="Arial" w:eastAsia="宋体" w:hAnsi="Arial" w:cs="Arial"/>
                <w:kern w:val="0"/>
                <w:sz w:val="18"/>
                <w:szCs w:val="18"/>
              </w:rPr>
            </w:pPr>
            <w:hyperlink r:id="rId75" w:history="1">
              <w:r w:rsidRPr="00AC4931">
                <w:rPr>
                  <w:rFonts w:ascii="Arial" w:eastAsia="宋体" w:hAnsi="Arial" w:cs="Arial"/>
                  <w:color w:val="0000FF"/>
                  <w:kern w:val="0"/>
                  <w:sz w:val="18"/>
                  <w:szCs w:val="18"/>
                  <w:u w:val="single"/>
                </w:rPr>
                <w:t>Form of performance share award agreement (2017) to be used under the Autoliv, Inc. 1997 Stock Incentive Plan, as amended and restated, incorporated herein by reference to Exhibit 10.5 to the Quarterly Report on Form 10-Q (File No. 001-12933, filing date April 28, 2017).</w:t>
              </w:r>
            </w:hyperlink>
          </w:p>
        </w:tc>
      </w:tr>
      <w:tr w:rsidR="00AC4931" w:rsidRPr="00AC4931" w14:paraId="7BA0159C" w14:textId="77777777" w:rsidTr="00AC4931">
        <w:tc>
          <w:tcPr>
            <w:tcW w:w="0" w:type="auto"/>
            <w:hideMark/>
          </w:tcPr>
          <w:p w14:paraId="5E759576"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FF3C8C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66B40C2"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07494E9" w14:textId="77777777" w:rsidTr="00AC4931">
        <w:tc>
          <w:tcPr>
            <w:tcW w:w="0" w:type="auto"/>
            <w:hideMark/>
          </w:tcPr>
          <w:p w14:paraId="4769F849"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10.31</w:t>
            </w:r>
          </w:p>
        </w:tc>
        <w:tc>
          <w:tcPr>
            <w:tcW w:w="0" w:type="auto"/>
            <w:hideMark/>
          </w:tcPr>
          <w:p w14:paraId="4766D0A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E60539D" w14:textId="77777777" w:rsidR="00AC4931" w:rsidRPr="00AC4931" w:rsidRDefault="00AC4931" w:rsidP="00AC4931">
            <w:pPr>
              <w:widowControl/>
              <w:jc w:val="left"/>
              <w:rPr>
                <w:rFonts w:ascii="Arial" w:eastAsia="宋体" w:hAnsi="Arial" w:cs="Arial"/>
                <w:kern w:val="0"/>
                <w:sz w:val="18"/>
                <w:szCs w:val="18"/>
              </w:rPr>
            </w:pPr>
            <w:hyperlink r:id="rId76" w:history="1">
              <w:r w:rsidRPr="00AC4931">
                <w:rPr>
                  <w:rFonts w:ascii="Arial" w:eastAsia="宋体" w:hAnsi="Arial" w:cs="Arial"/>
                  <w:color w:val="0000FF"/>
                  <w:kern w:val="0"/>
                  <w:sz w:val="18"/>
                  <w:szCs w:val="18"/>
                  <w:u w:val="single"/>
                </w:rPr>
                <w:t>Employee Matters Agreement, dated June 28, 2018, between Veoneer, Inc. and Autoliv, Inc., incorporated herein by reference to Exhibit 10.1 to the Current Report on Form 8-K (File No. 001-12933, filing date July 2, 2018).</w:t>
              </w:r>
            </w:hyperlink>
          </w:p>
        </w:tc>
      </w:tr>
      <w:tr w:rsidR="00AC4931" w:rsidRPr="00AC4931" w14:paraId="2F779EA6" w14:textId="77777777" w:rsidTr="00AC4931">
        <w:tc>
          <w:tcPr>
            <w:tcW w:w="0" w:type="auto"/>
            <w:hideMark/>
          </w:tcPr>
          <w:p w14:paraId="7381978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D9F94B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E196654"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4FC4C6F" w14:textId="77777777" w:rsidTr="00AC4931">
        <w:tc>
          <w:tcPr>
            <w:tcW w:w="0" w:type="auto"/>
            <w:hideMark/>
          </w:tcPr>
          <w:p w14:paraId="1B0E2325"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10.32</w:t>
            </w:r>
          </w:p>
        </w:tc>
        <w:tc>
          <w:tcPr>
            <w:tcW w:w="0" w:type="auto"/>
            <w:hideMark/>
          </w:tcPr>
          <w:p w14:paraId="0866F7F2"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142A68C" w14:textId="77777777" w:rsidR="00AC4931" w:rsidRPr="00AC4931" w:rsidRDefault="00AC4931" w:rsidP="00AC4931">
            <w:pPr>
              <w:widowControl/>
              <w:jc w:val="left"/>
              <w:rPr>
                <w:rFonts w:ascii="Arial" w:eastAsia="宋体" w:hAnsi="Arial" w:cs="Arial"/>
                <w:kern w:val="0"/>
                <w:sz w:val="18"/>
                <w:szCs w:val="18"/>
              </w:rPr>
            </w:pPr>
            <w:hyperlink r:id="rId77" w:history="1">
              <w:r w:rsidRPr="00AC4931">
                <w:rPr>
                  <w:rFonts w:ascii="Arial" w:eastAsia="宋体" w:hAnsi="Arial" w:cs="Arial"/>
                  <w:color w:val="0000FF"/>
                  <w:kern w:val="0"/>
                  <w:sz w:val="18"/>
                  <w:szCs w:val="18"/>
                  <w:u w:val="single"/>
                </w:rPr>
                <w:t>Tax Matters Agreement, dated June 28, 2018, between Veoneer, Inc. and Autoliv, Inc., incorporated herein by reference to Exhibit 10.2 to the Current Report on Form 8-K (File No. 001-12933, filing date July 2, 2018).</w:t>
              </w:r>
            </w:hyperlink>
          </w:p>
        </w:tc>
      </w:tr>
      <w:tr w:rsidR="00AC4931" w:rsidRPr="00AC4931" w14:paraId="27FD001C" w14:textId="77777777" w:rsidTr="00AC4931">
        <w:tc>
          <w:tcPr>
            <w:tcW w:w="0" w:type="auto"/>
            <w:hideMark/>
          </w:tcPr>
          <w:p w14:paraId="7E0D16A9"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72B5784"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4C94230"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3E0B2234" w14:textId="77777777" w:rsidTr="00AC4931">
        <w:tc>
          <w:tcPr>
            <w:tcW w:w="0" w:type="auto"/>
            <w:hideMark/>
          </w:tcPr>
          <w:p w14:paraId="2FF9EF64"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10.33</w:t>
            </w:r>
          </w:p>
        </w:tc>
        <w:tc>
          <w:tcPr>
            <w:tcW w:w="0" w:type="auto"/>
            <w:hideMark/>
          </w:tcPr>
          <w:p w14:paraId="2261922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4313000" w14:textId="77777777" w:rsidR="00AC4931" w:rsidRPr="00AC4931" w:rsidRDefault="00AC4931" w:rsidP="00AC4931">
            <w:pPr>
              <w:widowControl/>
              <w:jc w:val="left"/>
              <w:rPr>
                <w:rFonts w:ascii="Arial" w:eastAsia="宋体" w:hAnsi="Arial" w:cs="Arial"/>
                <w:kern w:val="0"/>
                <w:sz w:val="18"/>
                <w:szCs w:val="18"/>
              </w:rPr>
            </w:pPr>
            <w:hyperlink r:id="rId78" w:history="1">
              <w:r w:rsidRPr="00AC4931">
                <w:rPr>
                  <w:rFonts w:ascii="Arial" w:eastAsia="宋体" w:hAnsi="Arial" w:cs="Arial"/>
                  <w:color w:val="0000FF"/>
                  <w:kern w:val="0"/>
                  <w:sz w:val="18"/>
                  <w:szCs w:val="18"/>
                  <w:u w:val="single"/>
                </w:rPr>
                <w:t>Amended and Restated Transition Services Agreement, dated June 28, 2018, between Veoneer, Inc. and Autoliv, Inc., incorporated herein by reference to Exhibit 10.3 to the Current Report on Form 8-K (File No. 001-12933, filing date July 2, 2018).</w:t>
              </w:r>
            </w:hyperlink>
          </w:p>
        </w:tc>
      </w:tr>
      <w:tr w:rsidR="00AC4931" w:rsidRPr="00AC4931" w14:paraId="6E440E06" w14:textId="77777777" w:rsidTr="00AC4931">
        <w:tc>
          <w:tcPr>
            <w:tcW w:w="0" w:type="auto"/>
            <w:hideMark/>
          </w:tcPr>
          <w:p w14:paraId="4C2BF33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D1D7185"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D98E98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4B18CBE2" w14:textId="77777777" w:rsidTr="00AC4931">
        <w:tc>
          <w:tcPr>
            <w:tcW w:w="0" w:type="auto"/>
            <w:hideMark/>
          </w:tcPr>
          <w:p w14:paraId="43DAF3B1"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10.34</w:t>
            </w:r>
          </w:p>
        </w:tc>
        <w:tc>
          <w:tcPr>
            <w:tcW w:w="0" w:type="auto"/>
            <w:hideMark/>
          </w:tcPr>
          <w:p w14:paraId="41C39C5A"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851F460" w14:textId="77777777" w:rsidR="00AC4931" w:rsidRPr="00AC4931" w:rsidRDefault="00AC4931" w:rsidP="00AC4931">
            <w:pPr>
              <w:widowControl/>
              <w:jc w:val="left"/>
              <w:rPr>
                <w:rFonts w:ascii="Arial" w:eastAsia="宋体" w:hAnsi="Arial" w:cs="Arial"/>
                <w:kern w:val="0"/>
                <w:sz w:val="18"/>
                <w:szCs w:val="18"/>
              </w:rPr>
            </w:pPr>
            <w:hyperlink r:id="rId79" w:history="1">
              <w:r w:rsidRPr="00AC4931">
                <w:rPr>
                  <w:rFonts w:ascii="Arial" w:eastAsia="宋体" w:hAnsi="Arial" w:cs="Arial"/>
                  <w:color w:val="0000FF"/>
                  <w:kern w:val="0"/>
                  <w:sz w:val="18"/>
                  <w:szCs w:val="18"/>
                  <w:u w:val="single"/>
                </w:rPr>
                <w:t>Facilities Agreement, dated May 24, 2018, among Autoliv, Inc., Autoliv ASP, J.P. Morgan Securities PLC and Skandinaviska Enskilda Banken AB (publ), incorporated herein by reference to Exhibit 10.4 to the Quarterly Report on Form 10-Q (File No. 001-12933, filing date July 27, 2018).</w:t>
              </w:r>
            </w:hyperlink>
          </w:p>
        </w:tc>
      </w:tr>
      <w:tr w:rsidR="00AC4931" w:rsidRPr="00AC4931" w14:paraId="59C38485" w14:textId="77777777" w:rsidTr="00AC4931">
        <w:tc>
          <w:tcPr>
            <w:tcW w:w="0" w:type="auto"/>
            <w:hideMark/>
          </w:tcPr>
          <w:p w14:paraId="1152821C"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55619F4"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32E7EC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7D5443EB" w14:textId="77777777" w:rsidTr="00AC4931">
        <w:tc>
          <w:tcPr>
            <w:tcW w:w="0" w:type="auto"/>
            <w:hideMark/>
          </w:tcPr>
          <w:p w14:paraId="3CBFBA8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10.35</w:t>
            </w:r>
          </w:p>
        </w:tc>
        <w:tc>
          <w:tcPr>
            <w:tcW w:w="0" w:type="auto"/>
            <w:hideMark/>
          </w:tcPr>
          <w:p w14:paraId="2262DF0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613B6AF" w14:textId="77777777" w:rsidR="00AC4931" w:rsidRPr="00AC4931" w:rsidRDefault="00AC4931" w:rsidP="00AC4931">
            <w:pPr>
              <w:widowControl/>
              <w:jc w:val="left"/>
              <w:rPr>
                <w:rFonts w:ascii="Arial" w:eastAsia="宋体" w:hAnsi="Arial" w:cs="Arial"/>
                <w:kern w:val="0"/>
                <w:sz w:val="18"/>
                <w:szCs w:val="18"/>
              </w:rPr>
            </w:pPr>
            <w:hyperlink r:id="rId80" w:history="1">
              <w:r w:rsidRPr="00AC4931">
                <w:rPr>
                  <w:rFonts w:ascii="Arial" w:eastAsia="宋体" w:hAnsi="Arial" w:cs="Arial"/>
                  <w:color w:val="0000FF"/>
                  <w:kern w:val="0"/>
                  <w:sz w:val="18"/>
                  <w:szCs w:val="18"/>
                  <w:u w:val="single"/>
                </w:rPr>
                <w:t>Employment Agreement, dated November 20, 2015, between Autoliv, Inc. and Mats Backman, incorporated herein by reference to Exhibit 10.1 to the Quarterly Report on Form 10-Q (File No. 001-12933, filing date July 22, 2016).</w:t>
              </w:r>
            </w:hyperlink>
          </w:p>
        </w:tc>
      </w:tr>
      <w:tr w:rsidR="00AC4931" w:rsidRPr="00AC4931" w14:paraId="77A88244" w14:textId="77777777" w:rsidTr="00AC4931">
        <w:tc>
          <w:tcPr>
            <w:tcW w:w="0" w:type="auto"/>
            <w:hideMark/>
          </w:tcPr>
          <w:p w14:paraId="24BE813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B70C62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06F449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3BD27A67" w14:textId="77777777" w:rsidTr="00AC4931">
        <w:tc>
          <w:tcPr>
            <w:tcW w:w="0" w:type="auto"/>
            <w:hideMark/>
          </w:tcPr>
          <w:p w14:paraId="169A6A4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10.36</w:t>
            </w:r>
          </w:p>
        </w:tc>
        <w:tc>
          <w:tcPr>
            <w:tcW w:w="0" w:type="auto"/>
            <w:hideMark/>
          </w:tcPr>
          <w:p w14:paraId="3CED1910"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EE755C6" w14:textId="77777777" w:rsidR="00AC4931" w:rsidRPr="00AC4931" w:rsidRDefault="00AC4931" w:rsidP="00AC4931">
            <w:pPr>
              <w:widowControl/>
              <w:jc w:val="left"/>
              <w:rPr>
                <w:rFonts w:ascii="Arial" w:eastAsia="宋体" w:hAnsi="Arial" w:cs="Arial"/>
                <w:kern w:val="0"/>
                <w:sz w:val="18"/>
                <w:szCs w:val="18"/>
              </w:rPr>
            </w:pPr>
            <w:hyperlink r:id="rId81" w:history="1">
              <w:r w:rsidRPr="00AC4931">
                <w:rPr>
                  <w:rFonts w:ascii="Arial" w:eastAsia="宋体" w:hAnsi="Arial" w:cs="Arial"/>
                  <w:color w:val="0000FF"/>
                  <w:kern w:val="0"/>
                  <w:sz w:val="18"/>
                  <w:szCs w:val="18"/>
                  <w:u w:val="single"/>
                </w:rPr>
                <w:t>Employment Agreement, effective as of June 29, 2018, by and between Autoliv, Inc. and Mikael Bratt, incorporated herein by reference to Exhibit 10.8 to the Quarterly Report on Form 10-Q (File No. 001-12933, filing date July 27, 2018).</w:t>
              </w:r>
            </w:hyperlink>
          </w:p>
        </w:tc>
      </w:tr>
      <w:tr w:rsidR="00AC4931" w:rsidRPr="00AC4931" w14:paraId="1D7C3369" w14:textId="77777777" w:rsidTr="00AC4931">
        <w:tc>
          <w:tcPr>
            <w:tcW w:w="0" w:type="auto"/>
            <w:hideMark/>
          </w:tcPr>
          <w:p w14:paraId="14AE836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5F4EDC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052A47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3B37A45" w14:textId="77777777" w:rsidTr="00AC4931">
        <w:tc>
          <w:tcPr>
            <w:tcW w:w="0" w:type="auto"/>
            <w:hideMark/>
          </w:tcPr>
          <w:p w14:paraId="40CD163E"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10.37</w:t>
            </w:r>
          </w:p>
        </w:tc>
        <w:tc>
          <w:tcPr>
            <w:tcW w:w="0" w:type="auto"/>
            <w:hideMark/>
          </w:tcPr>
          <w:p w14:paraId="16DB0CDC"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C892092" w14:textId="77777777" w:rsidR="00AC4931" w:rsidRPr="00AC4931" w:rsidRDefault="00AC4931" w:rsidP="00AC4931">
            <w:pPr>
              <w:widowControl/>
              <w:jc w:val="left"/>
              <w:rPr>
                <w:rFonts w:ascii="Arial" w:eastAsia="宋体" w:hAnsi="Arial" w:cs="Arial"/>
                <w:kern w:val="0"/>
                <w:sz w:val="18"/>
                <w:szCs w:val="18"/>
              </w:rPr>
            </w:pPr>
            <w:hyperlink r:id="rId82" w:history="1">
              <w:r w:rsidRPr="00AC4931">
                <w:rPr>
                  <w:rFonts w:ascii="Arial" w:eastAsia="宋体" w:hAnsi="Arial" w:cs="Arial"/>
                  <w:color w:val="0000FF"/>
                  <w:kern w:val="0"/>
                  <w:sz w:val="18"/>
                  <w:szCs w:val="18"/>
                  <w:u w:val="single"/>
                </w:rPr>
                <w:t>Employment Agreement, effective as of June 29, 2018, by and between Autoliv, Inc. and Jennifer Cheng, incorporated herein by reference to Exhibit 10.9 to the Quarterly Report on Form 10-Q (File No. 001-12933, filing date July 27, 2018).</w:t>
              </w:r>
            </w:hyperlink>
          </w:p>
        </w:tc>
      </w:tr>
      <w:tr w:rsidR="00AC4931" w:rsidRPr="00AC4931" w14:paraId="73D0E724" w14:textId="77777777" w:rsidTr="00AC4931">
        <w:tc>
          <w:tcPr>
            <w:tcW w:w="0" w:type="auto"/>
            <w:hideMark/>
          </w:tcPr>
          <w:p w14:paraId="7766A55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7E3147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D94E2E3"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bl>
    <w:p w14:paraId="304057A0"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93</w:t>
      </w:r>
    </w:p>
    <w:p w14:paraId="2F6E5F3B"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38482690"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2FC2AC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F0193D8"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6FF97EA3">
          <v:rect id="_x0000_i1120" style="width:0;height:1.5pt" o:hralign="center" o:hrstd="t" o:hrnoshade="t" o:hr="t" fillcolor="black" stroked="f"/>
        </w:pict>
      </w:r>
    </w:p>
    <w:p w14:paraId="5A919BDC"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F153153"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B11EDEF"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tbl>
      <w:tblPr>
        <w:tblW w:w="20614" w:type="dxa"/>
        <w:tblCellMar>
          <w:left w:w="0" w:type="dxa"/>
          <w:right w:w="0" w:type="dxa"/>
        </w:tblCellMar>
        <w:tblLook w:val="04A0" w:firstRow="1" w:lastRow="0" w:firstColumn="1" w:lastColumn="0" w:noHBand="0" w:noVBand="1"/>
      </w:tblPr>
      <w:tblGrid>
        <w:gridCol w:w="1345"/>
        <w:gridCol w:w="180"/>
        <w:gridCol w:w="19089"/>
      </w:tblGrid>
      <w:tr w:rsidR="00AC4931" w:rsidRPr="00AC4931" w14:paraId="6FCC3FDA" w14:textId="77777777" w:rsidTr="00AC4931">
        <w:tc>
          <w:tcPr>
            <w:tcW w:w="1505" w:type="dxa"/>
            <w:vAlign w:val="center"/>
            <w:hideMark/>
          </w:tcPr>
          <w:p w14:paraId="49E1A6D1"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p>
        </w:tc>
        <w:tc>
          <w:tcPr>
            <w:tcW w:w="179" w:type="dxa"/>
            <w:vAlign w:val="center"/>
            <w:hideMark/>
          </w:tcPr>
          <w:p w14:paraId="70C97438" w14:textId="77777777" w:rsidR="00AC4931" w:rsidRPr="00AC4931" w:rsidRDefault="00AC4931" w:rsidP="00AC4931">
            <w:pPr>
              <w:widowControl/>
              <w:jc w:val="left"/>
              <w:rPr>
                <w:rFonts w:ascii="Times New Roman" w:eastAsia="Times New Roman" w:hAnsi="Times New Roman" w:cs="Times New Roman"/>
                <w:kern w:val="0"/>
                <w:sz w:val="20"/>
                <w:szCs w:val="20"/>
              </w:rPr>
            </w:pPr>
          </w:p>
        </w:tc>
        <w:tc>
          <w:tcPr>
            <w:tcW w:w="18930" w:type="dxa"/>
            <w:vAlign w:val="center"/>
            <w:hideMark/>
          </w:tcPr>
          <w:p w14:paraId="7B7C6F71" w14:textId="77777777" w:rsidR="00AC4931" w:rsidRPr="00AC4931" w:rsidRDefault="00AC4931" w:rsidP="00AC4931">
            <w:pPr>
              <w:widowControl/>
              <w:jc w:val="left"/>
              <w:rPr>
                <w:rFonts w:ascii="Times New Roman" w:eastAsia="Times New Roman" w:hAnsi="Times New Roman" w:cs="Times New Roman"/>
                <w:kern w:val="0"/>
                <w:sz w:val="20"/>
                <w:szCs w:val="20"/>
              </w:rPr>
            </w:pPr>
          </w:p>
        </w:tc>
      </w:tr>
      <w:tr w:rsidR="00AC4931" w:rsidRPr="00AC4931" w14:paraId="646FD1BF" w14:textId="77777777" w:rsidTr="00AC4931">
        <w:tc>
          <w:tcPr>
            <w:tcW w:w="0" w:type="auto"/>
            <w:tcBorders>
              <w:bottom w:val="single" w:sz="6" w:space="0" w:color="000000"/>
            </w:tcBorders>
            <w:vAlign w:val="bottom"/>
            <w:hideMark/>
          </w:tcPr>
          <w:p w14:paraId="09BA8D81"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Exhibit</w:t>
            </w:r>
          </w:p>
          <w:p w14:paraId="54D3325A"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No.</w:t>
            </w:r>
          </w:p>
        </w:tc>
        <w:tc>
          <w:tcPr>
            <w:tcW w:w="0" w:type="auto"/>
            <w:hideMark/>
          </w:tcPr>
          <w:p w14:paraId="453F9224" w14:textId="77777777" w:rsidR="00AC4931" w:rsidRPr="00AC4931" w:rsidRDefault="00AC4931" w:rsidP="00AC4931">
            <w:pPr>
              <w:widowControl/>
              <w:rPr>
                <w:rFonts w:ascii="宋体" w:eastAsia="宋体" w:hAnsi="宋体" w:cs="宋体"/>
                <w:kern w:val="0"/>
                <w:sz w:val="16"/>
                <w:szCs w:val="16"/>
              </w:rPr>
            </w:pPr>
            <w:r w:rsidRPr="00AC4931">
              <w:rPr>
                <w:rFonts w:ascii="宋体" w:eastAsia="宋体" w:hAnsi="宋体" w:cs="宋体"/>
                <w:kern w:val="0"/>
                <w:sz w:val="16"/>
                <w:szCs w:val="16"/>
              </w:rPr>
              <w:t> </w:t>
            </w:r>
          </w:p>
        </w:tc>
        <w:tc>
          <w:tcPr>
            <w:tcW w:w="0" w:type="auto"/>
            <w:tcBorders>
              <w:bottom w:val="single" w:sz="6" w:space="0" w:color="000000"/>
            </w:tcBorders>
            <w:vAlign w:val="bottom"/>
            <w:hideMark/>
          </w:tcPr>
          <w:p w14:paraId="32D65B0D"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Description</w:t>
            </w:r>
          </w:p>
        </w:tc>
      </w:tr>
      <w:tr w:rsidR="00AC4931" w:rsidRPr="00AC4931" w14:paraId="76AF49FE" w14:textId="77777777" w:rsidTr="00AC4931">
        <w:tc>
          <w:tcPr>
            <w:tcW w:w="0" w:type="auto"/>
            <w:tcBorders>
              <w:top w:val="single" w:sz="6" w:space="0" w:color="000000"/>
            </w:tcBorders>
            <w:hideMark/>
          </w:tcPr>
          <w:p w14:paraId="30CE65E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9291142"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tcBorders>
              <w:top w:val="single" w:sz="6" w:space="0" w:color="000000"/>
            </w:tcBorders>
            <w:hideMark/>
          </w:tcPr>
          <w:p w14:paraId="3787FADA"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4DCC99D7" w14:textId="77777777" w:rsidTr="00AC4931">
        <w:tc>
          <w:tcPr>
            <w:tcW w:w="0" w:type="auto"/>
            <w:hideMark/>
          </w:tcPr>
          <w:p w14:paraId="3DB69C7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10.38</w:t>
            </w:r>
          </w:p>
        </w:tc>
        <w:tc>
          <w:tcPr>
            <w:tcW w:w="0" w:type="auto"/>
            <w:hideMark/>
          </w:tcPr>
          <w:p w14:paraId="219C8EF8"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E25737F" w14:textId="77777777" w:rsidR="00AC4931" w:rsidRPr="00AC4931" w:rsidRDefault="00AC4931" w:rsidP="00AC4931">
            <w:pPr>
              <w:widowControl/>
              <w:jc w:val="left"/>
              <w:rPr>
                <w:rFonts w:ascii="Arial" w:eastAsia="宋体" w:hAnsi="Arial" w:cs="Arial"/>
                <w:kern w:val="0"/>
                <w:sz w:val="18"/>
                <w:szCs w:val="18"/>
              </w:rPr>
            </w:pPr>
            <w:hyperlink r:id="rId83" w:history="1">
              <w:r w:rsidRPr="00AC4931">
                <w:rPr>
                  <w:rFonts w:ascii="Arial" w:eastAsia="宋体" w:hAnsi="Arial" w:cs="Arial"/>
                  <w:color w:val="0000FF"/>
                  <w:kern w:val="0"/>
                  <w:sz w:val="18"/>
                  <w:szCs w:val="18"/>
                  <w:u w:val="single"/>
                </w:rPr>
                <w:t>Employment Agreement, effective as of June 29, 2018, by and between Autoliv, Inc. and Daniel Garceau, incorporated herein by reference to Exhibit 10.10 to the Quarterly Report on Form 10-Q (File No. 001-12933, filing date July 27, 2018).</w:t>
              </w:r>
            </w:hyperlink>
          </w:p>
        </w:tc>
      </w:tr>
      <w:tr w:rsidR="00AC4931" w:rsidRPr="00AC4931" w14:paraId="4DBCE869" w14:textId="77777777" w:rsidTr="00AC4931">
        <w:tc>
          <w:tcPr>
            <w:tcW w:w="0" w:type="auto"/>
            <w:hideMark/>
          </w:tcPr>
          <w:p w14:paraId="3D36AA9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53C3D3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3068F8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332553A" w14:textId="77777777" w:rsidTr="00AC4931">
        <w:tc>
          <w:tcPr>
            <w:tcW w:w="0" w:type="auto"/>
            <w:hideMark/>
          </w:tcPr>
          <w:p w14:paraId="632CF117"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lastRenderedPageBreak/>
              <w:t>10.39</w:t>
            </w:r>
          </w:p>
        </w:tc>
        <w:tc>
          <w:tcPr>
            <w:tcW w:w="0" w:type="auto"/>
            <w:hideMark/>
          </w:tcPr>
          <w:p w14:paraId="4E29DD3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7195DDA" w14:textId="77777777" w:rsidR="00AC4931" w:rsidRPr="00AC4931" w:rsidRDefault="00AC4931" w:rsidP="00AC4931">
            <w:pPr>
              <w:widowControl/>
              <w:jc w:val="left"/>
              <w:rPr>
                <w:rFonts w:ascii="Arial" w:eastAsia="宋体" w:hAnsi="Arial" w:cs="Arial"/>
                <w:kern w:val="0"/>
                <w:sz w:val="18"/>
                <w:szCs w:val="18"/>
              </w:rPr>
            </w:pPr>
            <w:hyperlink r:id="rId84" w:history="1">
              <w:r w:rsidRPr="00AC4931">
                <w:rPr>
                  <w:rFonts w:ascii="Arial" w:eastAsia="宋体" w:hAnsi="Arial" w:cs="Arial"/>
                  <w:color w:val="0000FF"/>
                  <w:kern w:val="0"/>
                  <w:sz w:val="18"/>
                  <w:szCs w:val="18"/>
                  <w:u w:val="single"/>
                </w:rPr>
                <w:t>Employment Agreement, effective as of June 29, 2018, by and between Autoliv, Inc. and Michael A. Hague, incorporated herein by reference to Exhibit 10.11 to the Quarterly Report on Form 10-Q (File No. 001-12933, filing date July 27, 2018).</w:t>
              </w:r>
            </w:hyperlink>
          </w:p>
        </w:tc>
      </w:tr>
      <w:tr w:rsidR="00AC4931" w:rsidRPr="00AC4931" w14:paraId="73BC6677" w14:textId="77777777" w:rsidTr="00AC4931">
        <w:tc>
          <w:tcPr>
            <w:tcW w:w="0" w:type="auto"/>
            <w:hideMark/>
          </w:tcPr>
          <w:p w14:paraId="1CFC748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C0F2C72"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D28DD3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7A097074" w14:textId="77777777" w:rsidTr="00AC4931">
        <w:tc>
          <w:tcPr>
            <w:tcW w:w="0" w:type="auto"/>
            <w:hideMark/>
          </w:tcPr>
          <w:p w14:paraId="1DB3E65B"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10.40</w:t>
            </w:r>
          </w:p>
        </w:tc>
        <w:tc>
          <w:tcPr>
            <w:tcW w:w="0" w:type="auto"/>
            <w:hideMark/>
          </w:tcPr>
          <w:p w14:paraId="1999061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E8BF381" w14:textId="77777777" w:rsidR="00AC4931" w:rsidRPr="00AC4931" w:rsidRDefault="00AC4931" w:rsidP="00AC4931">
            <w:pPr>
              <w:widowControl/>
              <w:jc w:val="left"/>
              <w:rPr>
                <w:rFonts w:ascii="Arial" w:eastAsia="宋体" w:hAnsi="Arial" w:cs="Arial"/>
                <w:kern w:val="0"/>
                <w:sz w:val="18"/>
                <w:szCs w:val="18"/>
              </w:rPr>
            </w:pPr>
            <w:hyperlink r:id="rId85" w:history="1">
              <w:r w:rsidRPr="00AC4931">
                <w:rPr>
                  <w:rFonts w:ascii="Arial" w:eastAsia="宋体" w:hAnsi="Arial" w:cs="Arial"/>
                  <w:color w:val="0000FF"/>
                  <w:kern w:val="0"/>
                  <w:sz w:val="18"/>
                  <w:szCs w:val="18"/>
                  <w:u w:val="single"/>
                </w:rPr>
                <w:t>Employment Agreement, effective as of June 29, 2018, by and between Autoliv, Inc. and Jordi Lombarte incorporated herein by reference to Exhibit 10.12 to the Quarterly Report on Form 10-Q (File No. 001-12933, filing date July 27, 2018).</w:t>
              </w:r>
            </w:hyperlink>
          </w:p>
        </w:tc>
      </w:tr>
      <w:tr w:rsidR="00AC4931" w:rsidRPr="00AC4931" w14:paraId="30EDEED3" w14:textId="77777777" w:rsidTr="00AC4931">
        <w:tc>
          <w:tcPr>
            <w:tcW w:w="0" w:type="auto"/>
            <w:hideMark/>
          </w:tcPr>
          <w:p w14:paraId="572C151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132E6D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8CF39E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377AD4C8" w14:textId="77777777" w:rsidTr="00AC4931">
        <w:tc>
          <w:tcPr>
            <w:tcW w:w="0" w:type="auto"/>
            <w:hideMark/>
          </w:tcPr>
          <w:p w14:paraId="32EFD13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10.41</w:t>
            </w:r>
          </w:p>
        </w:tc>
        <w:tc>
          <w:tcPr>
            <w:tcW w:w="0" w:type="auto"/>
            <w:hideMark/>
          </w:tcPr>
          <w:p w14:paraId="35393C0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FC0188D" w14:textId="77777777" w:rsidR="00AC4931" w:rsidRPr="00AC4931" w:rsidRDefault="00AC4931" w:rsidP="00AC4931">
            <w:pPr>
              <w:widowControl/>
              <w:jc w:val="left"/>
              <w:rPr>
                <w:rFonts w:ascii="Arial" w:eastAsia="宋体" w:hAnsi="Arial" w:cs="Arial"/>
                <w:kern w:val="0"/>
                <w:sz w:val="18"/>
                <w:szCs w:val="18"/>
              </w:rPr>
            </w:pPr>
            <w:hyperlink r:id="rId86" w:history="1">
              <w:r w:rsidRPr="00AC4931">
                <w:rPr>
                  <w:rFonts w:ascii="Arial" w:eastAsia="宋体" w:hAnsi="Arial" w:cs="Arial"/>
                  <w:color w:val="0000FF"/>
                  <w:kern w:val="0"/>
                  <w:sz w:val="18"/>
                  <w:szCs w:val="18"/>
                  <w:u w:val="single"/>
                </w:rPr>
                <w:t>Employment Agreement, effective as of June 29, 2018, by and between Autoliv, Inc. and Bradley J. Murray, incorporated herein by reference to Exhibit 10.13 to the Quarterly Report on Form 10-Q (File No. 001-12933, filing date July 27, 2018).</w:t>
              </w:r>
            </w:hyperlink>
          </w:p>
        </w:tc>
      </w:tr>
      <w:tr w:rsidR="00AC4931" w:rsidRPr="00AC4931" w14:paraId="5D92D302" w14:textId="77777777" w:rsidTr="00AC4931">
        <w:tc>
          <w:tcPr>
            <w:tcW w:w="0" w:type="auto"/>
            <w:hideMark/>
          </w:tcPr>
          <w:p w14:paraId="7E41C45C"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C16F71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812A00C"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8367F6F" w14:textId="77777777" w:rsidTr="00AC4931">
        <w:tc>
          <w:tcPr>
            <w:tcW w:w="0" w:type="auto"/>
            <w:hideMark/>
          </w:tcPr>
          <w:p w14:paraId="64B5EE15"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10.42</w:t>
            </w:r>
          </w:p>
        </w:tc>
        <w:tc>
          <w:tcPr>
            <w:tcW w:w="0" w:type="auto"/>
            <w:hideMark/>
          </w:tcPr>
          <w:p w14:paraId="327B8D3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8E58545" w14:textId="77777777" w:rsidR="00AC4931" w:rsidRPr="00AC4931" w:rsidRDefault="00AC4931" w:rsidP="00AC4931">
            <w:pPr>
              <w:widowControl/>
              <w:jc w:val="left"/>
              <w:rPr>
                <w:rFonts w:ascii="Arial" w:eastAsia="宋体" w:hAnsi="Arial" w:cs="Arial"/>
                <w:kern w:val="0"/>
                <w:sz w:val="18"/>
                <w:szCs w:val="18"/>
              </w:rPr>
            </w:pPr>
            <w:hyperlink r:id="rId87" w:history="1">
              <w:r w:rsidRPr="00AC4931">
                <w:rPr>
                  <w:rFonts w:ascii="Arial" w:eastAsia="宋体" w:hAnsi="Arial" w:cs="Arial"/>
                  <w:color w:val="0000FF"/>
                  <w:kern w:val="0"/>
                  <w:sz w:val="18"/>
                  <w:szCs w:val="18"/>
                  <w:u w:val="single"/>
                </w:rPr>
                <w:t>Employment Agreement, effective as of June 29, 2018, by and between Autoliv, Inc. and Anthony J.  Nellis, incorporated herein by reference to Exhibit 10.14 to the Quarterly Report on Form 10-Q (File No. 001-12933, filing date July 27, 2018).</w:t>
              </w:r>
            </w:hyperlink>
          </w:p>
        </w:tc>
      </w:tr>
      <w:tr w:rsidR="00AC4931" w:rsidRPr="00AC4931" w14:paraId="795CF1ED" w14:textId="77777777" w:rsidTr="00AC4931">
        <w:tc>
          <w:tcPr>
            <w:tcW w:w="0" w:type="auto"/>
            <w:hideMark/>
          </w:tcPr>
          <w:p w14:paraId="4DC3973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38D2DA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A1CAE7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41E5E1C4" w14:textId="77777777" w:rsidTr="00AC4931">
        <w:tc>
          <w:tcPr>
            <w:tcW w:w="0" w:type="auto"/>
            <w:hideMark/>
          </w:tcPr>
          <w:p w14:paraId="7DB9F8D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10.43</w:t>
            </w:r>
          </w:p>
        </w:tc>
        <w:tc>
          <w:tcPr>
            <w:tcW w:w="0" w:type="auto"/>
            <w:hideMark/>
          </w:tcPr>
          <w:p w14:paraId="628D72E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77D02EB" w14:textId="77777777" w:rsidR="00AC4931" w:rsidRPr="00AC4931" w:rsidRDefault="00AC4931" w:rsidP="00AC4931">
            <w:pPr>
              <w:widowControl/>
              <w:jc w:val="left"/>
              <w:rPr>
                <w:rFonts w:ascii="Arial" w:eastAsia="宋体" w:hAnsi="Arial" w:cs="Arial"/>
                <w:kern w:val="0"/>
                <w:sz w:val="18"/>
                <w:szCs w:val="18"/>
              </w:rPr>
            </w:pPr>
            <w:hyperlink r:id="rId88" w:history="1">
              <w:r w:rsidRPr="00AC4931">
                <w:rPr>
                  <w:rFonts w:ascii="Arial" w:eastAsia="宋体" w:hAnsi="Arial" w:cs="Arial"/>
                  <w:color w:val="0000FF"/>
                  <w:kern w:val="0"/>
                  <w:sz w:val="18"/>
                  <w:szCs w:val="18"/>
                  <w:u w:val="single"/>
                </w:rPr>
                <w:t>Employment Agreement, effective as of June 29, 2018, by and between Autoliv, Inc. and Sherry Vasa, incorporated herein by reference to Exhibit 10.15 to the Quarterly Report on Form 10-Q (File No. 001-12933, filing date July 27, 2018).</w:t>
              </w:r>
            </w:hyperlink>
          </w:p>
        </w:tc>
      </w:tr>
      <w:tr w:rsidR="00AC4931" w:rsidRPr="00AC4931" w14:paraId="3E8F29DA" w14:textId="77777777" w:rsidTr="00AC4931">
        <w:tc>
          <w:tcPr>
            <w:tcW w:w="0" w:type="auto"/>
            <w:hideMark/>
          </w:tcPr>
          <w:p w14:paraId="2B12E15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E5C795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CA8B0B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18055289" w14:textId="77777777" w:rsidTr="00AC4931">
        <w:tc>
          <w:tcPr>
            <w:tcW w:w="0" w:type="auto"/>
            <w:hideMark/>
          </w:tcPr>
          <w:p w14:paraId="154568D7"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10.44</w:t>
            </w:r>
          </w:p>
        </w:tc>
        <w:tc>
          <w:tcPr>
            <w:tcW w:w="0" w:type="auto"/>
            <w:hideMark/>
          </w:tcPr>
          <w:p w14:paraId="22D3AF0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DEDD4B1" w14:textId="77777777" w:rsidR="00AC4931" w:rsidRPr="00AC4931" w:rsidRDefault="00AC4931" w:rsidP="00AC4931">
            <w:pPr>
              <w:widowControl/>
              <w:jc w:val="left"/>
              <w:rPr>
                <w:rFonts w:ascii="Arial" w:eastAsia="宋体" w:hAnsi="Arial" w:cs="Arial"/>
                <w:kern w:val="0"/>
                <w:sz w:val="18"/>
                <w:szCs w:val="18"/>
              </w:rPr>
            </w:pPr>
            <w:hyperlink r:id="rId89" w:history="1">
              <w:r w:rsidRPr="00AC4931">
                <w:rPr>
                  <w:rFonts w:ascii="Arial" w:eastAsia="宋体" w:hAnsi="Arial" w:cs="Arial"/>
                  <w:color w:val="0000FF"/>
                  <w:kern w:val="0"/>
                  <w:sz w:val="18"/>
                  <w:szCs w:val="18"/>
                  <w:u w:val="single"/>
                </w:rPr>
                <w:t>Cooperation Agreement, dated March 1, 2019, between Autoliv, Inc. and Cevian Capital II GP Limited, incorporated herein by reference to Exhibit 10.1 to the Current Report on Form 8-K (File No. 001-12933, filing date March 1, 2019).</w:t>
              </w:r>
            </w:hyperlink>
          </w:p>
        </w:tc>
      </w:tr>
      <w:tr w:rsidR="00AC4931" w:rsidRPr="00AC4931" w14:paraId="48DFD860" w14:textId="77777777" w:rsidTr="00AC4931">
        <w:tc>
          <w:tcPr>
            <w:tcW w:w="0" w:type="auto"/>
            <w:hideMark/>
          </w:tcPr>
          <w:p w14:paraId="1F3C0925"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D378CD5"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722B0A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52A2C93" w14:textId="77777777" w:rsidTr="00AC4931">
        <w:tc>
          <w:tcPr>
            <w:tcW w:w="0" w:type="auto"/>
            <w:hideMark/>
          </w:tcPr>
          <w:p w14:paraId="4E7CAF5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10.45+</w:t>
            </w:r>
          </w:p>
        </w:tc>
        <w:tc>
          <w:tcPr>
            <w:tcW w:w="0" w:type="auto"/>
            <w:hideMark/>
          </w:tcPr>
          <w:p w14:paraId="205EAB7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AE4C36D" w14:textId="77777777" w:rsidR="00AC4931" w:rsidRPr="00AC4931" w:rsidRDefault="00AC4931" w:rsidP="00AC4931">
            <w:pPr>
              <w:widowControl/>
              <w:jc w:val="left"/>
              <w:rPr>
                <w:rFonts w:ascii="Arial" w:eastAsia="宋体" w:hAnsi="Arial" w:cs="Arial"/>
                <w:kern w:val="0"/>
                <w:sz w:val="18"/>
                <w:szCs w:val="18"/>
              </w:rPr>
            </w:pPr>
            <w:hyperlink r:id="rId90" w:history="1">
              <w:r w:rsidRPr="00AC4931">
                <w:rPr>
                  <w:rFonts w:ascii="Arial" w:eastAsia="宋体" w:hAnsi="Arial" w:cs="Arial"/>
                  <w:color w:val="0000FF"/>
                  <w:kern w:val="0"/>
                  <w:sz w:val="18"/>
                  <w:szCs w:val="18"/>
                  <w:u w:val="single"/>
                </w:rPr>
                <w:t>Form of Employee restricted stock unit grant agreement (2019) to be used under the Autoliv, Inc 1997 Stock Incentive Plan, as amended and restated, incorporated herein by reference to Exhibit 10.2 to the Quarterly Report on Form 10-Q (File No. 001-12933, filing date April 26, 2019</w:t>
              </w:r>
            </w:hyperlink>
            <w:r w:rsidRPr="00AC4931">
              <w:rPr>
                <w:rFonts w:ascii="Arial" w:eastAsia="宋体" w:hAnsi="Arial" w:cs="Arial"/>
                <w:kern w:val="0"/>
                <w:sz w:val="18"/>
                <w:szCs w:val="18"/>
                <w:u w:val="single"/>
              </w:rPr>
              <w:t>).</w:t>
            </w:r>
          </w:p>
        </w:tc>
      </w:tr>
      <w:tr w:rsidR="00AC4931" w:rsidRPr="00AC4931" w14:paraId="5406D6F4" w14:textId="77777777" w:rsidTr="00AC4931">
        <w:tc>
          <w:tcPr>
            <w:tcW w:w="0" w:type="auto"/>
            <w:hideMark/>
          </w:tcPr>
          <w:p w14:paraId="1DFCE689"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A24D52A"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21252F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408C37F6" w14:textId="77777777" w:rsidTr="00AC4931">
        <w:tc>
          <w:tcPr>
            <w:tcW w:w="0" w:type="auto"/>
            <w:hideMark/>
          </w:tcPr>
          <w:p w14:paraId="25713213"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10.46+</w:t>
            </w:r>
          </w:p>
        </w:tc>
        <w:tc>
          <w:tcPr>
            <w:tcW w:w="0" w:type="auto"/>
            <w:hideMark/>
          </w:tcPr>
          <w:p w14:paraId="029AB7C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48A1675" w14:textId="77777777" w:rsidR="00AC4931" w:rsidRPr="00AC4931" w:rsidRDefault="00AC4931" w:rsidP="00AC4931">
            <w:pPr>
              <w:widowControl/>
              <w:jc w:val="left"/>
              <w:rPr>
                <w:rFonts w:ascii="Arial" w:eastAsia="宋体" w:hAnsi="Arial" w:cs="Arial"/>
                <w:kern w:val="0"/>
                <w:sz w:val="18"/>
                <w:szCs w:val="18"/>
              </w:rPr>
            </w:pPr>
            <w:hyperlink r:id="rId91" w:history="1">
              <w:r w:rsidRPr="00AC4931">
                <w:rPr>
                  <w:rFonts w:ascii="Arial" w:eastAsia="宋体" w:hAnsi="Arial" w:cs="Arial"/>
                  <w:color w:val="0000FF"/>
                  <w:kern w:val="0"/>
                  <w:sz w:val="18"/>
                  <w:szCs w:val="18"/>
                  <w:u w:val="single"/>
                </w:rPr>
                <w:t>Form of Employee performance share grant agreement (2019) to be used under the Autoliv, Inc 1997 Stock Incentive Plan, as amended and restated, incorporated herein by reference to Exhibit 10.3 to the Quarterly Report on Form 10-Q (File No. 001-12933, filing date April 26, 2019</w:t>
              </w:r>
            </w:hyperlink>
            <w:r w:rsidRPr="00AC4931">
              <w:rPr>
                <w:rFonts w:ascii="Arial" w:eastAsia="宋体" w:hAnsi="Arial" w:cs="Arial"/>
                <w:kern w:val="0"/>
                <w:sz w:val="18"/>
                <w:szCs w:val="18"/>
                <w:u w:val="single"/>
              </w:rPr>
              <w:t>).</w:t>
            </w:r>
          </w:p>
        </w:tc>
      </w:tr>
      <w:tr w:rsidR="00AC4931" w:rsidRPr="00AC4931" w14:paraId="4ACD272B" w14:textId="77777777" w:rsidTr="00AC4931">
        <w:tc>
          <w:tcPr>
            <w:tcW w:w="0" w:type="auto"/>
            <w:hideMark/>
          </w:tcPr>
          <w:p w14:paraId="5E4B9E5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6065330"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BB21B4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EE06875" w14:textId="77777777" w:rsidTr="00AC4931">
        <w:tc>
          <w:tcPr>
            <w:tcW w:w="0" w:type="auto"/>
            <w:hideMark/>
          </w:tcPr>
          <w:p w14:paraId="3B647530"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10.47+</w:t>
            </w:r>
          </w:p>
        </w:tc>
        <w:tc>
          <w:tcPr>
            <w:tcW w:w="0" w:type="auto"/>
            <w:hideMark/>
          </w:tcPr>
          <w:p w14:paraId="17F080B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087A563" w14:textId="77777777" w:rsidR="00AC4931" w:rsidRPr="00AC4931" w:rsidRDefault="00AC4931" w:rsidP="00AC4931">
            <w:pPr>
              <w:widowControl/>
              <w:jc w:val="left"/>
              <w:rPr>
                <w:rFonts w:ascii="Arial" w:eastAsia="宋体" w:hAnsi="Arial" w:cs="Arial"/>
                <w:kern w:val="0"/>
                <w:sz w:val="18"/>
                <w:szCs w:val="18"/>
              </w:rPr>
            </w:pPr>
            <w:hyperlink r:id="rId92" w:history="1">
              <w:r w:rsidRPr="00AC4931">
                <w:rPr>
                  <w:rFonts w:ascii="Arial" w:eastAsia="宋体" w:hAnsi="Arial" w:cs="Arial"/>
                  <w:color w:val="0000FF"/>
                  <w:kern w:val="0"/>
                  <w:sz w:val="18"/>
                  <w:szCs w:val="18"/>
                  <w:u w:val="single"/>
                </w:rPr>
                <w:t>Addendum, dated April 24, 2019, to the International Assignment Agreement, dated March 21, 2018, between Autoliv, Inc. and Brad Murray, incorporated herein by reference to Exhibit 10.1 to the Quarterly Report on Form 10-Q (File No. 001-12933, filing date July 19, 2019).</w:t>
              </w:r>
            </w:hyperlink>
          </w:p>
        </w:tc>
      </w:tr>
      <w:tr w:rsidR="00AC4931" w:rsidRPr="00AC4931" w14:paraId="350D868E" w14:textId="77777777" w:rsidTr="00AC4931">
        <w:tc>
          <w:tcPr>
            <w:tcW w:w="0" w:type="auto"/>
            <w:hideMark/>
          </w:tcPr>
          <w:p w14:paraId="321431C3"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BC5E260"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18A633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36E33F4" w14:textId="77777777" w:rsidTr="00AC4931">
        <w:tc>
          <w:tcPr>
            <w:tcW w:w="0" w:type="auto"/>
            <w:hideMark/>
          </w:tcPr>
          <w:p w14:paraId="62EFD14C"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10.48</w:t>
            </w:r>
          </w:p>
        </w:tc>
        <w:tc>
          <w:tcPr>
            <w:tcW w:w="0" w:type="auto"/>
            <w:hideMark/>
          </w:tcPr>
          <w:p w14:paraId="253D428A"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A2E75E9" w14:textId="77777777" w:rsidR="00AC4931" w:rsidRPr="00AC4931" w:rsidRDefault="00AC4931" w:rsidP="00AC4931">
            <w:pPr>
              <w:widowControl/>
              <w:jc w:val="left"/>
              <w:rPr>
                <w:rFonts w:ascii="Arial" w:eastAsia="宋体" w:hAnsi="Arial" w:cs="Arial"/>
                <w:kern w:val="0"/>
                <w:sz w:val="18"/>
                <w:szCs w:val="18"/>
              </w:rPr>
            </w:pPr>
            <w:hyperlink r:id="rId93" w:history="1">
              <w:r w:rsidRPr="00AC4931">
                <w:rPr>
                  <w:rFonts w:ascii="Arial" w:eastAsia="宋体" w:hAnsi="Arial" w:cs="Arial"/>
                  <w:color w:val="0000FF"/>
                  <w:kern w:val="0"/>
                  <w:sz w:val="18"/>
                  <w:szCs w:val="18"/>
                  <w:u w:val="single"/>
                </w:rPr>
                <w:t>SEK Facility Agreement dated June 24, 2019 between Autoliv, Inc., Autoliv ASP, Inc. and AB Svensk Exportkredit (Publ),</w:t>
              </w:r>
              <w:r w:rsidRPr="00AC4931">
                <w:rPr>
                  <w:rFonts w:ascii="Arial" w:eastAsia="宋体" w:hAnsi="Arial" w:cs="Arial"/>
                  <w:color w:val="0000FF"/>
                  <w:kern w:val="0"/>
                  <w:sz w:val="20"/>
                  <w:szCs w:val="20"/>
                  <w:u w:val="single"/>
                </w:rPr>
                <w:t> </w:t>
              </w:r>
              <w:r w:rsidRPr="00AC4931">
                <w:rPr>
                  <w:rFonts w:ascii="Arial" w:eastAsia="宋体" w:hAnsi="Arial" w:cs="Arial"/>
                  <w:color w:val="0000FF"/>
                  <w:kern w:val="0"/>
                  <w:sz w:val="18"/>
                  <w:szCs w:val="18"/>
                  <w:u w:val="single"/>
                </w:rPr>
                <w:t>incorporated herein by reference to Exhibit 10.2 to the Quarterly Report on Form 10-Q (File No. 001-12933, filing date July 19, 2019).</w:t>
              </w:r>
            </w:hyperlink>
          </w:p>
        </w:tc>
      </w:tr>
      <w:tr w:rsidR="00AC4931" w:rsidRPr="00AC4931" w14:paraId="69CB1096" w14:textId="77777777" w:rsidTr="00AC4931">
        <w:tc>
          <w:tcPr>
            <w:tcW w:w="0" w:type="auto"/>
            <w:hideMark/>
          </w:tcPr>
          <w:p w14:paraId="55CBD5F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7DCDCD2"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F102793"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8370AB8" w14:textId="77777777" w:rsidTr="00AC4931">
        <w:tc>
          <w:tcPr>
            <w:tcW w:w="0" w:type="auto"/>
            <w:hideMark/>
          </w:tcPr>
          <w:p w14:paraId="2E4830B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10.49+</w:t>
            </w:r>
          </w:p>
        </w:tc>
        <w:tc>
          <w:tcPr>
            <w:tcW w:w="0" w:type="auto"/>
            <w:hideMark/>
          </w:tcPr>
          <w:p w14:paraId="2280ED3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7191492" w14:textId="77777777" w:rsidR="00AC4931" w:rsidRPr="00AC4931" w:rsidRDefault="00AC4931" w:rsidP="00AC4931">
            <w:pPr>
              <w:widowControl/>
              <w:jc w:val="left"/>
              <w:rPr>
                <w:rFonts w:ascii="Arial" w:eastAsia="宋体" w:hAnsi="Arial" w:cs="Arial"/>
                <w:kern w:val="0"/>
                <w:sz w:val="18"/>
                <w:szCs w:val="18"/>
              </w:rPr>
            </w:pPr>
            <w:hyperlink r:id="rId94" w:history="1">
              <w:r w:rsidRPr="00AC4931">
                <w:rPr>
                  <w:rFonts w:ascii="Arial" w:eastAsia="宋体" w:hAnsi="Arial" w:cs="Arial"/>
                  <w:color w:val="0000FF"/>
                  <w:kern w:val="0"/>
                  <w:sz w:val="18"/>
                  <w:szCs w:val="18"/>
                  <w:u w:val="single"/>
                </w:rPr>
                <w:t>Supplement to Employment Agreement, dated June 20, 2019, between Autoliv, Inc. and Daniel Garceau, incorporated herein by reference to Exhibit 10.3 to the Quarterly Report on Form 10-Q (File No. 001-12933, filing date July 19, 2019).</w:t>
              </w:r>
            </w:hyperlink>
          </w:p>
        </w:tc>
      </w:tr>
      <w:tr w:rsidR="00AC4931" w:rsidRPr="00AC4931" w14:paraId="11ABD7B2" w14:textId="77777777" w:rsidTr="00AC4931">
        <w:tc>
          <w:tcPr>
            <w:tcW w:w="0" w:type="auto"/>
            <w:hideMark/>
          </w:tcPr>
          <w:p w14:paraId="62A2FAF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183234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EEC7E0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043DBC24" w14:textId="77777777" w:rsidTr="00AC4931">
        <w:tc>
          <w:tcPr>
            <w:tcW w:w="0" w:type="auto"/>
            <w:hideMark/>
          </w:tcPr>
          <w:p w14:paraId="087E7287"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10.50+</w:t>
            </w:r>
          </w:p>
        </w:tc>
        <w:tc>
          <w:tcPr>
            <w:tcW w:w="0" w:type="auto"/>
            <w:hideMark/>
          </w:tcPr>
          <w:p w14:paraId="75FC549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C473EB6" w14:textId="77777777" w:rsidR="00AC4931" w:rsidRPr="00AC4931" w:rsidRDefault="00AC4931" w:rsidP="00AC4931">
            <w:pPr>
              <w:widowControl/>
              <w:jc w:val="left"/>
              <w:rPr>
                <w:rFonts w:ascii="Arial" w:eastAsia="宋体" w:hAnsi="Arial" w:cs="Arial"/>
                <w:kern w:val="0"/>
                <w:sz w:val="18"/>
                <w:szCs w:val="18"/>
              </w:rPr>
            </w:pPr>
            <w:hyperlink r:id="rId95" w:history="1">
              <w:r w:rsidRPr="00AC4931">
                <w:rPr>
                  <w:rFonts w:ascii="Arial" w:eastAsia="宋体" w:hAnsi="Arial" w:cs="Arial"/>
                  <w:color w:val="0000FF"/>
                  <w:kern w:val="0"/>
                  <w:sz w:val="18"/>
                  <w:szCs w:val="18"/>
                  <w:u w:val="single"/>
                </w:rPr>
                <w:t>Mutual Separation Agreement, dated July 1, 2019, between Autoliv, Inc. and Mike Hague, incorporated herein by reference to Exhibit 10.4 to the Quarterly Report on Form 10-Q (File No. 001-12933, filing date July 19, 2019).</w:t>
              </w:r>
            </w:hyperlink>
          </w:p>
        </w:tc>
      </w:tr>
      <w:tr w:rsidR="00AC4931" w:rsidRPr="00AC4931" w14:paraId="42D3B425" w14:textId="77777777" w:rsidTr="00AC4931">
        <w:tc>
          <w:tcPr>
            <w:tcW w:w="0" w:type="auto"/>
            <w:hideMark/>
          </w:tcPr>
          <w:p w14:paraId="4F67537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9FA0AB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87B074C"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707D3C96" w14:textId="77777777" w:rsidTr="00AC4931">
        <w:tc>
          <w:tcPr>
            <w:tcW w:w="0" w:type="auto"/>
            <w:hideMark/>
          </w:tcPr>
          <w:p w14:paraId="4EB2B87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10.51+</w:t>
            </w:r>
          </w:p>
        </w:tc>
        <w:tc>
          <w:tcPr>
            <w:tcW w:w="0" w:type="auto"/>
            <w:hideMark/>
          </w:tcPr>
          <w:p w14:paraId="395CBDCC"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5EA16E6" w14:textId="77777777" w:rsidR="00AC4931" w:rsidRPr="00AC4931" w:rsidRDefault="00AC4931" w:rsidP="00AC4931">
            <w:pPr>
              <w:widowControl/>
              <w:jc w:val="left"/>
              <w:rPr>
                <w:rFonts w:ascii="Arial" w:eastAsia="宋体" w:hAnsi="Arial" w:cs="Arial"/>
                <w:kern w:val="0"/>
                <w:sz w:val="18"/>
                <w:szCs w:val="18"/>
              </w:rPr>
            </w:pPr>
            <w:hyperlink r:id="rId96" w:history="1">
              <w:r w:rsidRPr="00AC4931">
                <w:rPr>
                  <w:rFonts w:ascii="Arial" w:eastAsia="宋体" w:hAnsi="Arial" w:cs="Arial"/>
                  <w:color w:val="0000FF"/>
                  <w:kern w:val="0"/>
                  <w:sz w:val="18"/>
                  <w:szCs w:val="18"/>
                  <w:u w:val="single"/>
                </w:rPr>
                <w:t>Employment Agreement, dated July 14, 2016, between Autoliv, Inc. and Christian Hanke, incorporated herein by reference to Exhibit 10.2 to the Quarterly Report on Form 10-Q (File No. 001-12933, filing date October 25, 2019).</w:t>
              </w:r>
            </w:hyperlink>
          </w:p>
        </w:tc>
      </w:tr>
      <w:tr w:rsidR="00AC4931" w:rsidRPr="00AC4931" w14:paraId="6747036D" w14:textId="77777777" w:rsidTr="00AC4931">
        <w:tc>
          <w:tcPr>
            <w:tcW w:w="0" w:type="auto"/>
            <w:hideMark/>
          </w:tcPr>
          <w:p w14:paraId="0F8A27D4"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226A1B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F15ED8C"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54F35BD8" w14:textId="77777777" w:rsidTr="00AC4931">
        <w:tc>
          <w:tcPr>
            <w:tcW w:w="0" w:type="auto"/>
            <w:hideMark/>
          </w:tcPr>
          <w:p w14:paraId="2A5B583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10.52+</w:t>
            </w:r>
          </w:p>
        </w:tc>
        <w:tc>
          <w:tcPr>
            <w:tcW w:w="0" w:type="auto"/>
            <w:hideMark/>
          </w:tcPr>
          <w:p w14:paraId="0D5349B6"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F3F92E6" w14:textId="77777777" w:rsidR="00AC4931" w:rsidRPr="00AC4931" w:rsidRDefault="00AC4931" w:rsidP="00AC4931">
            <w:pPr>
              <w:widowControl/>
              <w:jc w:val="left"/>
              <w:rPr>
                <w:rFonts w:ascii="Arial" w:eastAsia="宋体" w:hAnsi="Arial" w:cs="Arial"/>
                <w:kern w:val="0"/>
                <w:sz w:val="18"/>
                <w:szCs w:val="18"/>
              </w:rPr>
            </w:pPr>
            <w:hyperlink r:id="rId97" w:history="1">
              <w:r w:rsidRPr="00AC4931">
                <w:rPr>
                  <w:rFonts w:ascii="Arial" w:eastAsia="宋体" w:hAnsi="Arial" w:cs="Arial"/>
                  <w:color w:val="0000FF"/>
                  <w:kern w:val="0"/>
                  <w:sz w:val="18"/>
                  <w:szCs w:val="18"/>
                  <w:u w:val="single"/>
                </w:rPr>
                <w:t>Employment Agreement, dated April 23, 2019, between Autoliv, Inc. and Frithjof Oldorff, incorporated herein by reference to Exhibit 10.3 to the Quarterly Report on Form 10-Q (File No. 001-12933, filing date October 25, 2019).</w:t>
              </w:r>
            </w:hyperlink>
          </w:p>
        </w:tc>
      </w:tr>
      <w:tr w:rsidR="00AC4931" w:rsidRPr="00AC4931" w14:paraId="23AC9B85" w14:textId="77777777" w:rsidTr="00AC4931">
        <w:tc>
          <w:tcPr>
            <w:tcW w:w="0" w:type="auto"/>
            <w:hideMark/>
          </w:tcPr>
          <w:p w14:paraId="1717429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2625B84"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25DCDCA"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50C08878" w14:textId="77777777" w:rsidTr="00AC4931">
        <w:tc>
          <w:tcPr>
            <w:tcW w:w="0" w:type="auto"/>
            <w:hideMark/>
          </w:tcPr>
          <w:p w14:paraId="2FD70EB1"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10.53+</w:t>
            </w:r>
          </w:p>
        </w:tc>
        <w:tc>
          <w:tcPr>
            <w:tcW w:w="0" w:type="auto"/>
            <w:hideMark/>
          </w:tcPr>
          <w:p w14:paraId="685B59D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39185A3" w14:textId="77777777" w:rsidR="00AC4931" w:rsidRPr="00AC4931" w:rsidRDefault="00AC4931" w:rsidP="00AC4931">
            <w:pPr>
              <w:widowControl/>
              <w:jc w:val="left"/>
              <w:rPr>
                <w:rFonts w:ascii="Arial" w:eastAsia="宋体" w:hAnsi="Arial" w:cs="Arial"/>
                <w:kern w:val="0"/>
                <w:sz w:val="18"/>
                <w:szCs w:val="18"/>
              </w:rPr>
            </w:pPr>
            <w:hyperlink r:id="rId98" w:history="1">
              <w:r w:rsidRPr="00AC4931">
                <w:rPr>
                  <w:rFonts w:ascii="Arial" w:eastAsia="宋体" w:hAnsi="Arial" w:cs="Arial"/>
                  <w:color w:val="0000FF"/>
                  <w:kern w:val="0"/>
                  <w:sz w:val="18"/>
                  <w:szCs w:val="18"/>
                  <w:u w:val="single"/>
                </w:rPr>
                <w:t>Employment Agreement, dated March 18, 2019, between Autoliv, Inc. and Christian Swahn, incorporated herein by reference to Exhibit 10.4 to the Quarterly Report on Form 10-Q (File No. 001-12933, filing date October 25, 2019).</w:t>
              </w:r>
            </w:hyperlink>
          </w:p>
        </w:tc>
      </w:tr>
      <w:tr w:rsidR="00AC4931" w:rsidRPr="00AC4931" w14:paraId="00CF1761" w14:textId="77777777" w:rsidTr="00AC4931">
        <w:tc>
          <w:tcPr>
            <w:tcW w:w="0" w:type="auto"/>
            <w:hideMark/>
          </w:tcPr>
          <w:p w14:paraId="05403DA9"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C8A3C9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E43F9B3"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42D3ED8" w14:textId="77777777" w:rsidTr="00AC4931">
        <w:tc>
          <w:tcPr>
            <w:tcW w:w="0" w:type="auto"/>
            <w:hideMark/>
          </w:tcPr>
          <w:p w14:paraId="23C0A56E"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10.54+</w:t>
            </w:r>
          </w:p>
        </w:tc>
        <w:tc>
          <w:tcPr>
            <w:tcW w:w="0" w:type="auto"/>
            <w:hideMark/>
          </w:tcPr>
          <w:p w14:paraId="3097217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0EC840D" w14:textId="77777777" w:rsidR="00AC4931" w:rsidRPr="00AC4931" w:rsidRDefault="00AC4931" w:rsidP="00AC4931">
            <w:pPr>
              <w:widowControl/>
              <w:jc w:val="left"/>
              <w:rPr>
                <w:rFonts w:ascii="Arial" w:eastAsia="宋体" w:hAnsi="Arial" w:cs="Arial"/>
                <w:kern w:val="0"/>
                <w:sz w:val="18"/>
                <w:szCs w:val="18"/>
              </w:rPr>
            </w:pPr>
            <w:hyperlink r:id="rId99" w:history="1">
              <w:r w:rsidRPr="00AC4931">
                <w:rPr>
                  <w:rFonts w:ascii="Arial" w:eastAsia="宋体" w:hAnsi="Arial" w:cs="Arial"/>
                  <w:color w:val="0000FF"/>
                  <w:kern w:val="0"/>
                  <w:sz w:val="18"/>
                  <w:szCs w:val="18"/>
                  <w:u w:val="single"/>
                </w:rPr>
                <w:t>Employment Agreement, dated February 15, 2019, between Autoliv, Inc. and Magnus Jarlegren, incorporated herein by reference to Exhibit 10.5 to the Quarterly Report on Form 10-Q (File No. 001-12933, filing date October 25, 2019).</w:t>
              </w:r>
            </w:hyperlink>
          </w:p>
          <w:p w14:paraId="7C92BB6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4ACB3B54" w14:textId="77777777" w:rsidTr="00AC4931">
        <w:tc>
          <w:tcPr>
            <w:tcW w:w="0" w:type="auto"/>
            <w:hideMark/>
          </w:tcPr>
          <w:p w14:paraId="76D0B876"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10.55</w:t>
            </w:r>
          </w:p>
        </w:tc>
        <w:tc>
          <w:tcPr>
            <w:tcW w:w="0" w:type="auto"/>
            <w:hideMark/>
          </w:tcPr>
          <w:p w14:paraId="40417875"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AB7086E" w14:textId="77777777" w:rsidR="00AC4931" w:rsidRPr="00AC4931" w:rsidRDefault="00AC4931" w:rsidP="00AC4931">
            <w:pPr>
              <w:widowControl/>
              <w:jc w:val="left"/>
              <w:rPr>
                <w:rFonts w:ascii="Arial" w:eastAsia="宋体" w:hAnsi="Arial" w:cs="Arial"/>
                <w:kern w:val="0"/>
                <w:sz w:val="18"/>
                <w:szCs w:val="18"/>
              </w:rPr>
            </w:pPr>
            <w:hyperlink r:id="rId100" w:history="1">
              <w:r w:rsidRPr="00AC4931">
                <w:rPr>
                  <w:rFonts w:ascii="Arial" w:eastAsia="宋体" w:hAnsi="Arial" w:cs="Arial"/>
                  <w:color w:val="0000FF"/>
                  <w:kern w:val="0"/>
                  <w:sz w:val="18"/>
                  <w:szCs w:val="18"/>
                  <w:u w:val="single"/>
                </w:rPr>
                <w:t>Form of Indemnification Agreement between Autoliv, Inc. and its directors and certain of its executive officers, incorporated herein by reference to Exhibit 10.6 to the Quarterly Report on Form 10-Q (File No. 001-12933, filing date October 25, 2019).</w:t>
              </w:r>
            </w:hyperlink>
          </w:p>
        </w:tc>
      </w:tr>
      <w:tr w:rsidR="00AC4931" w:rsidRPr="00AC4931" w14:paraId="73837AE2" w14:textId="77777777" w:rsidTr="00AC4931">
        <w:tc>
          <w:tcPr>
            <w:tcW w:w="0" w:type="auto"/>
            <w:hideMark/>
          </w:tcPr>
          <w:p w14:paraId="71AFD769"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1E7C57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38E41EA"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13D12946" w14:textId="77777777" w:rsidTr="00AC4931">
        <w:tc>
          <w:tcPr>
            <w:tcW w:w="0" w:type="auto"/>
            <w:hideMark/>
          </w:tcPr>
          <w:p w14:paraId="160E2EE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10.56</w:t>
            </w:r>
            <w:r w:rsidRPr="00AC4931">
              <w:rPr>
                <w:rFonts w:ascii="Arial" w:eastAsia="宋体" w:hAnsi="Arial" w:cs="Arial"/>
                <w:kern w:val="0"/>
                <w:sz w:val="19"/>
                <w:szCs w:val="19"/>
                <w:vertAlign w:val="superscript"/>
              </w:rPr>
              <w:t>+</w:t>
            </w:r>
          </w:p>
        </w:tc>
        <w:tc>
          <w:tcPr>
            <w:tcW w:w="0" w:type="auto"/>
            <w:hideMark/>
          </w:tcPr>
          <w:p w14:paraId="39295477"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019A3433" w14:textId="77777777" w:rsidR="00AC4931" w:rsidRPr="00AC4931" w:rsidRDefault="00AC4931" w:rsidP="00AC4931">
            <w:pPr>
              <w:widowControl/>
              <w:jc w:val="left"/>
              <w:rPr>
                <w:rFonts w:ascii="Arial" w:eastAsia="宋体" w:hAnsi="Arial" w:cs="Arial"/>
                <w:kern w:val="0"/>
                <w:sz w:val="18"/>
                <w:szCs w:val="18"/>
              </w:rPr>
            </w:pPr>
            <w:hyperlink r:id="rId101" w:history="1">
              <w:r w:rsidRPr="00AC4931">
                <w:rPr>
                  <w:rFonts w:ascii="Arial" w:eastAsia="宋体" w:hAnsi="Arial" w:cs="Arial"/>
                  <w:color w:val="0000FF"/>
                  <w:kern w:val="0"/>
                  <w:sz w:val="18"/>
                  <w:szCs w:val="18"/>
                  <w:u w:val="single"/>
                </w:rPr>
                <w:t>Employment Agreement, dated November 26, 2019 and effective as of March 1, 2020, between Autoliv, Inc. and Fredrik Westin, incorporated herein by reference to Exhibit 10.56 to the Annual Report on Form 10-K (File No. 001-12933, filing date February 21, 2020).</w:t>
              </w:r>
            </w:hyperlink>
          </w:p>
        </w:tc>
      </w:tr>
      <w:tr w:rsidR="00AC4931" w:rsidRPr="00AC4931" w14:paraId="3C124E91" w14:textId="77777777" w:rsidTr="00AC4931">
        <w:tc>
          <w:tcPr>
            <w:tcW w:w="0" w:type="auto"/>
            <w:hideMark/>
          </w:tcPr>
          <w:p w14:paraId="5A29245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lastRenderedPageBreak/>
              <w:t> </w:t>
            </w:r>
          </w:p>
        </w:tc>
        <w:tc>
          <w:tcPr>
            <w:tcW w:w="0" w:type="auto"/>
            <w:hideMark/>
          </w:tcPr>
          <w:p w14:paraId="7765097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A2A191C"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219547C7" w14:textId="77777777" w:rsidTr="00AC4931">
        <w:tc>
          <w:tcPr>
            <w:tcW w:w="0" w:type="auto"/>
            <w:hideMark/>
          </w:tcPr>
          <w:p w14:paraId="255CF335"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10.57</w:t>
            </w:r>
            <w:r w:rsidRPr="00AC4931">
              <w:rPr>
                <w:rFonts w:ascii="Arial" w:eastAsia="宋体" w:hAnsi="Arial" w:cs="Arial"/>
                <w:kern w:val="0"/>
                <w:sz w:val="19"/>
                <w:szCs w:val="19"/>
                <w:vertAlign w:val="superscript"/>
              </w:rPr>
              <w:t>+</w:t>
            </w:r>
          </w:p>
        </w:tc>
        <w:tc>
          <w:tcPr>
            <w:tcW w:w="0" w:type="auto"/>
            <w:hideMark/>
          </w:tcPr>
          <w:p w14:paraId="79EB0C9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9501DD5" w14:textId="77777777" w:rsidR="00AC4931" w:rsidRPr="00AC4931" w:rsidRDefault="00AC4931" w:rsidP="00AC4931">
            <w:pPr>
              <w:widowControl/>
              <w:jc w:val="left"/>
              <w:rPr>
                <w:rFonts w:ascii="Arial" w:eastAsia="宋体" w:hAnsi="Arial" w:cs="Arial"/>
                <w:kern w:val="0"/>
                <w:sz w:val="18"/>
                <w:szCs w:val="18"/>
              </w:rPr>
            </w:pPr>
            <w:hyperlink r:id="rId102" w:history="1">
              <w:r w:rsidRPr="00AC4931">
                <w:rPr>
                  <w:rFonts w:ascii="Arial" w:eastAsia="宋体" w:hAnsi="Arial" w:cs="Arial"/>
                  <w:color w:val="0000FF"/>
                  <w:kern w:val="0"/>
                  <w:sz w:val="18"/>
                  <w:szCs w:val="18"/>
                  <w:u w:val="single"/>
                </w:rPr>
                <w:t>Employment Agreement, dated January 23, 2020, between Autoliv, Inc. and Bradley Murray, incorporated herein by reference to Exhibit 10.57 to the Annual Report on Form 10-K (File No. 001-12933, filing date February 21, 2020).</w:t>
              </w:r>
            </w:hyperlink>
          </w:p>
        </w:tc>
      </w:tr>
      <w:tr w:rsidR="00AC4931" w:rsidRPr="00AC4931" w14:paraId="06AC388F" w14:textId="77777777" w:rsidTr="00AC4931">
        <w:tc>
          <w:tcPr>
            <w:tcW w:w="0" w:type="auto"/>
            <w:hideMark/>
          </w:tcPr>
          <w:p w14:paraId="76EF5722"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6EEBC3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FB89155"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199945F0" w14:textId="77777777" w:rsidTr="00AC4931">
        <w:tc>
          <w:tcPr>
            <w:tcW w:w="0" w:type="auto"/>
            <w:hideMark/>
          </w:tcPr>
          <w:p w14:paraId="18026ECA"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10.58</w:t>
            </w:r>
            <w:r w:rsidRPr="00AC4931">
              <w:rPr>
                <w:rFonts w:ascii="Arial" w:eastAsia="宋体" w:hAnsi="Arial" w:cs="Arial"/>
                <w:kern w:val="0"/>
                <w:sz w:val="19"/>
                <w:szCs w:val="19"/>
                <w:vertAlign w:val="superscript"/>
              </w:rPr>
              <w:t>+</w:t>
            </w:r>
          </w:p>
        </w:tc>
        <w:tc>
          <w:tcPr>
            <w:tcW w:w="0" w:type="auto"/>
            <w:hideMark/>
          </w:tcPr>
          <w:p w14:paraId="3060EEA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1AF9FFC" w14:textId="77777777" w:rsidR="00AC4931" w:rsidRPr="00AC4931" w:rsidRDefault="00AC4931" w:rsidP="00AC4931">
            <w:pPr>
              <w:widowControl/>
              <w:jc w:val="left"/>
              <w:rPr>
                <w:rFonts w:ascii="Arial" w:eastAsia="宋体" w:hAnsi="Arial" w:cs="Arial"/>
                <w:kern w:val="0"/>
                <w:sz w:val="18"/>
                <w:szCs w:val="18"/>
              </w:rPr>
            </w:pPr>
            <w:hyperlink r:id="rId103" w:history="1">
              <w:r w:rsidRPr="00AC4931">
                <w:rPr>
                  <w:rFonts w:ascii="Arial" w:eastAsia="宋体" w:hAnsi="Arial" w:cs="Arial"/>
                  <w:color w:val="0000FF"/>
                  <w:kern w:val="0"/>
                  <w:sz w:val="18"/>
                  <w:szCs w:val="18"/>
                  <w:u w:val="single"/>
                </w:rPr>
                <w:t>Employment Agreement, dated January 23, 2020, between Autoliv, Inc. and Svante Mogefors, incorporated herein by reference to Exhibit 10.58 to the Annual Report on Form 10-K (File No. 001-12933, filing date February 21, 2020).</w:t>
              </w:r>
            </w:hyperlink>
          </w:p>
        </w:tc>
      </w:tr>
      <w:tr w:rsidR="00AC4931" w:rsidRPr="00AC4931" w14:paraId="1E6ADB58" w14:textId="77777777" w:rsidTr="00AC4931">
        <w:tc>
          <w:tcPr>
            <w:tcW w:w="0" w:type="auto"/>
            <w:hideMark/>
          </w:tcPr>
          <w:p w14:paraId="281CD54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52F4E3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2D7DDF5"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5EC6E36C" w14:textId="77777777" w:rsidTr="00AC4931">
        <w:tc>
          <w:tcPr>
            <w:tcW w:w="0" w:type="auto"/>
            <w:hideMark/>
          </w:tcPr>
          <w:p w14:paraId="046D828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10.59</w:t>
            </w:r>
            <w:r w:rsidRPr="00AC4931">
              <w:rPr>
                <w:rFonts w:ascii="Arial" w:eastAsia="宋体" w:hAnsi="Arial" w:cs="Arial"/>
                <w:kern w:val="0"/>
                <w:sz w:val="19"/>
                <w:szCs w:val="19"/>
                <w:vertAlign w:val="superscript"/>
              </w:rPr>
              <w:t>+</w:t>
            </w:r>
          </w:p>
        </w:tc>
        <w:tc>
          <w:tcPr>
            <w:tcW w:w="0" w:type="auto"/>
            <w:hideMark/>
          </w:tcPr>
          <w:p w14:paraId="7836554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77280E0" w14:textId="77777777" w:rsidR="00AC4931" w:rsidRPr="00AC4931" w:rsidRDefault="00AC4931" w:rsidP="00AC4931">
            <w:pPr>
              <w:widowControl/>
              <w:jc w:val="left"/>
              <w:rPr>
                <w:rFonts w:ascii="Arial" w:eastAsia="宋体" w:hAnsi="Arial" w:cs="Arial"/>
                <w:kern w:val="0"/>
                <w:sz w:val="18"/>
                <w:szCs w:val="18"/>
              </w:rPr>
            </w:pPr>
            <w:hyperlink r:id="rId104" w:history="1">
              <w:r w:rsidRPr="00AC4931">
                <w:rPr>
                  <w:rFonts w:ascii="Arial" w:eastAsia="宋体" w:hAnsi="Arial" w:cs="Arial"/>
                  <w:color w:val="0000FF"/>
                  <w:kern w:val="0"/>
                  <w:sz w:val="18"/>
                  <w:szCs w:val="18"/>
                  <w:u w:val="single"/>
                </w:rPr>
                <w:t>Form of Employee 2020 restricted stock units grant agreement promised under the Autoliv, Inc 1997 Stock Incentive Plan, as amended and restated, incorporated herein by reference to Exhibit 10.4 to the Quarterly Report on Form 10-Q (File No. 001-12933, filing date April 24, 2020).</w:t>
              </w:r>
            </w:hyperlink>
          </w:p>
        </w:tc>
      </w:tr>
      <w:tr w:rsidR="00AC4931" w:rsidRPr="00AC4931" w14:paraId="0265F93B" w14:textId="77777777" w:rsidTr="00AC4931">
        <w:tc>
          <w:tcPr>
            <w:tcW w:w="0" w:type="auto"/>
            <w:hideMark/>
          </w:tcPr>
          <w:p w14:paraId="0F0F7C1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018D16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3273696"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bl>
    <w:p w14:paraId="1D16ECA8"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94</w:t>
      </w:r>
    </w:p>
    <w:p w14:paraId="1381A08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6EF948EA"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C6F3756"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1AAC1AD"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517C1BD0">
          <v:rect id="_x0000_i1121" style="width:0;height:1.5pt" o:hralign="center" o:hrstd="t" o:hrnoshade="t" o:hr="t" fillcolor="black" stroked="f"/>
        </w:pict>
      </w:r>
    </w:p>
    <w:p w14:paraId="0ED4BED3"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2A9683E"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810D6DD"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tbl>
      <w:tblPr>
        <w:tblW w:w="20614" w:type="dxa"/>
        <w:tblCellMar>
          <w:left w:w="0" w:type="dxa"/>
          <w:right w:w="0" w:type="dxa"/>
        </w:tblCellMar>
        <w:tblLook w:val="04A0" w:firstRow="1" w:lastRow="0" w:firstColumn="1" w:lastColumn="0" w:noHBand="0" w:noVBand="1"/>
      </w:tblPr>
      <w:tblGrid>
        <w:gridCol w:w="1359"/>
        <w:gridCol w:w="180"/>
        <w:gridCol w:w="19075"/>
      </w:tblGrid>
      <w:tr w:rsidR="00AC4931" w:rsidRPr="00AC4931" w14:paraId="090D3EBA" w14:textId="77777777" w:rsidTr="00AC4931">
        <w:tc>
          <w:tcPr>
            <w:tcW w:w="1505" w:type="dxa"/>
            <w:vAlign w:val="center"/>
            <w:hideMark/>
          </w:tcPr>
          <w:p w14:paraId="090F829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p>
        </w:tc>
        <w:tc>
          <w:tcPr>
            <w:tcW w:w="179" w:type="dxa"/>
            <w:vAlign w:val="center"/>
            <w:hideMark/>
          </w:tcPr>
          <w:p w14:paraId="33111446" w14:textId="77777777" w:rsidR="00AC4931" w:rsidRPr="00AC4931" w:rsidRDefault="00AC4931" w:rsidP="00AC4931">
            <w:pPr>
              <w:widowControl/>
              <w:jc w:val="left"/>
              <w:rPr>
                <w:rFonts w:ascii="Times New Roman" w:eastAsia="Times New Roman" w:hAnsi="Times New Roman" w:cs="Times New Roman"/>
                <w:kern w:val="0"/>
                <w:sz w:val="20"/>
                <w:szCs w:val="20"/>
              </w:rPr>
            </w:pPr>
          </w:p>
        </w:tc>
        <w:tc>
          <w:tcPr>
            <w:tcW w:w="18930" w:type="dxa"/>
            <w:vAlign w:val="center"/>
            <w:hideMark/>
          </w:tcPr>
          <w:p w14:paraId="31439739" w14:textId="77777777" w:rsidR="00AC4931" w:rsidRPr="00AC4931" w:rsidRDefault="00AC4931" w:rsidP="00AC4931">
            <w:pPr>
              <w:widowControl/>
              <w:jc w:val="left"/>
              <w:rPr>
                <w:rFonts w:ascii="Times New Roman" w:eastAsia="Times New Roman" w:hAnsi="Times New Roman" w:cs="Times New Roman"/>
                <w:kern w:val="0"/>
                <w:sz w:val="20"/>
                <w:szCs w:val="20"/>
              </w:rPr>
            </w:pPr>
          </w:p>
        </w:tc>
      </w:tr>
      <w:tr w:rsidR="00AC4931" w:rsidRPr="00AC4931" w14:paraId="1A0DB9A5" w14:textId="77777777" w:rsidTr="00AC4931">
        <w:tc>
          <w:tcPr>
            <w:tcW w:w="0" w:type="auto"/>
            <w:tcBorders>
              <w:bottom w:val="single" w:sz="6" w:space="0" w:color="000000"/>
            </w:tcBorders>
            <w:vAlign w:val="bottom"/>
            <w:hideMark/>
          </w:tcPr>
          <w:p w14:paraId="5C2C10F4"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Exhibit</w:t>
            </w:r>
          </w:p>
          <w:p w14:paraId="21934100"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No.</w:t>
            </w:r>
          </w:p>
        </w:tc>
        <w:tc>
          <w:tcPr>
            <w:tcW w:w="0" w:type="auto"/>
            <w:hideMark/>
          </w:tcPr>
          <w:p w14:paraId="2931671B" w14:textId="77777777" w:rsidR="00AC4931" w:rsidRPr="00AC4931" w:rsidRDefault="00AC4931" w:rsidP="00AC4931">
            <w:pPr>
              <w:widowControl/>
              <w:rPr>
                <w:rFonts w:ascii="宋体" w:eastAsia="宋体" w:hAnsi="宋体" w:cs="宋体"/>
                <w:kern w:val="0"/>
                <w:sz w:val="16"/>
                <w:szCs w:val="16"/>
              </w:rPr>
            </w:pPr>
            <w:r w:rsidRPr="00AC4931">
              <w:rPr>
                <w:rFonts w:ascii="宋体" w:eastAsia="宋体" w:hAnsi="宋体" w:cs="宋体"/>
                <w:kern w:val="0"/>
                <w:sz w:val="16"/>
                <w:szCs w:val="16"/>
              </w:rPr>
              <w:t> </w:t>
            </w:r>
          </w:p>
        </w:tc>
        <w:tc>
          <w:tcPr>
            <w:tcW w:w="0" w:type="auto"/>
            <w:tcBorders>
              <w:bottom w:val="single" w:sz="6" w:space="0" w:color="000000"/>
            </w:tcBorders>
            <w:vAlign w:val="bottom"/>
            <w:hideMark/>
          </w:tcPr>
          <w:p w14:paraId="674D42EF" w14:textId="77777777" w:rsidR="00AC4931" w:rsidRPr="00AC4931" w:rsidRDefault="00AC4931" w:rsidP="00AC4931">
            <w:pPr>
              <w:widowControl/>
              <w:jc w:val="center"/>
              <w:rPr>
                <w:rFonts w:ascii="Arial" w:eastAsia="宋体" w:hAnsi="Arial" w:cs="Arial"/>
                <w:b/>
                <w:bCs/>
                <w:kern w:val="0"/>
                <w:sz w:val="16"/>
                <w:szCs w:val="16"/>
              </w:rPr>
            </w:pPr>
            <w:r w:rsidRPr="00AC4931">
              <w:rPr>
                <w:rFonts w:ascii="Arial" w:eastAsia="宋体" w:hAnsi="Arial" w:cs="Arial"/>
                <w:b/>
                <w:bCs/>
                <w:kern w:val="0"/>
                <w:sz w:val="16"/>
                <w:szCs w:val="16"/>
              </w:rPr>
              <w:t>Description</w:t>
            </w:r>
          </w:p>
        </w:tc>
      </w:tr>
      <w:tr w:rsidR="00AC4931" w:rsidRPr="00AC4931" w14:paraId="7CE3B2CD" w14:textId="77777777" w:rsidTr="00AC4931">
        <w:tc>
          <w:tcPr>
            <w:tcW w:w="0" w:type="auto"/>
            <w:tcBorders>
              <w:top w:val="single" w:sz="6" w:space="0" w:color="000000"/>
            </w:tcBorders>
            <w:hideMark/>
          </w:tcPr>
          <w:p w14:paraId="1B97BB3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6F629B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tcBorders>
              <w:top w:val="single" w:sz="6" w:space="0" w:color="000000"/>
            </w:tcBorders>
            <w:hideMark/>
          </w:tcPr>
          <w:p w14:paraId="4CABFBB2"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AD0EEAA" w14:textId="77777777" w:rsidTr="00AC4931">
        <w:tc>
          <w:tcPr>
            <w:tcW w:w="0" w:type="auto"/>
            <w:hideMark/>
          </w:tcPr>
          <w:p w14:paraId="464F6C31"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10.60</w:t>
            </w:r>
            <w:r w:rsidRPr="00AC4931">
              <w:rPr>
                <w:rFonts w:ascii="Arial" w:eastAsia="宋体" w:hAnsi="Arial" w:cs="Arial"/>
                <w:kern w:val="0"/>
                <w:sz w:val="19"/>
                <w:szCs w:val="19"/>
                <w:vertAlign w:val="superscript"/>
              </w:rPr>
              <w:t>+</w:t>
            </w:r>
          </w:p>
        </w:tc>
        <w:tc>
          <w:tcPr>
            <w:tcW w:w="0" w:type="auto"/>
            <w:hideMark/>
          </w:tcPr>
          <w:p w14:paraId="6FF6683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B0A078F" w14:textId="77777777" w:rsidR="00AC4931" w:rsidRPr="00AC4931" w:rsidRDefault="00AC4931" w:rsidP="00AC4931">
            <w:pPr>
              <w:widowControl/>
              <w:jc w:val="left"/>
              <w:rPr>
                <w:rFonts w:ascii="Arial" w:eastAsia="宋体" w:hAnsi="Arial" w:cs="Arial"/>
                <w:kern w:val="0"/>
                <w:sz w:val="18"/>
                <w:szCs w:val="18"/>
              </w:rPr>
            </w:pPr>
            <w:hyperlink r:id="rId105" w:history="1">
              <w:r w:rsidRPr="00AC4931">
                <w:rPr>
                  <w:rFonts w:ascii="Arial" w:eastAsia="宋体" w:hAnsi="Arial" w:cs="Arial"/>
                  <w:color w:val="0000FF"/>
                  <w:kern w:val="0"/>
                  <w:sz w:val="18"/>
                  <w:szCs w:val="18"/>
                  <w:u w:val="single"/>
                </w:rPr>
                <w:t>Form of Employee 2020 performance share units grant agreement promised under the Autoliv, Inc 1997 Stock Incentive Plan, as amended and restated, incorporated herein by reference to Exhibit 10.5 to the Quarterly Report on Form 10-Q (File No. 001-12933, filing date April 24, 2020).</w:t>
              </w:r>
            </w:hyperlink>
          </w:p>
        </w:tc>
      </w:tr>
      <w:tr w:rsidR="00AC4931" w:rsidRPr="00AC4931" w14:paraId="6998A0E0" w14:textId="77777777" w:rsidTr="00AC4931">
        <w:tc>
          <w:tcPr>
            <w:tcW w:w="0" w:type="auto"/>
            <w:hideMark/>
          </w:tcPr>
          <w:p w14:paraId="2C60B0F2"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4710EC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5051B4F9"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3271B242" w14:textId="77777777" w:rsidTr="00AC4931">
        <w:tc>
          <w:tcPr>
            <w:tcW w:w="0" w:type="auto"/>
            <w:hideMark/>
          </w:tcPr>
          <w:p w14:paraId="1F60AB36"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10.61</w:t>
            </w:r>
          </w:p>
        </w:tc>
        <w:tc>
          <w:tcPr>
            <w:tcW w:w="0" w:type="auto"/>
            <w:hideMark/>
          </w:tcPr>
          <w:p w14:paraId="5A94F76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FE5155F" w14:textId="77777777" w:rsidR="00AC4931" w:rsidRPr="00AC4931" w:rsidRDefault="00AC4931" w:rsidP="00AC4931">
            <w:pPr>
              <w:widowControl/>
              <w:jc w:val="left"/>
              <w:rPr>
                <w:rFonts w:ascii="Arial" w:eastAsia="宋体" w:hAnsi="Arial" w:cs="Arial"/>
                <w:kern w:val="0"/>
                <w:sz w:val="18"/>
                <w:szCs w:val="18"/>
              </w:rPr>
            </w:pPr>
            <w:hyperlink r:id="rId106" w:history="1">
              <w:r w:rsidRPr="00AC4931">
                <w:rPr>
                  <w:rFonts w:ascii="Arial" w:eastAsia="宋体" w:hAnsi="Arial" w:cs="Arial"/>
                  <w:color w:val="0000FF"/>
                  <w:kern w:val="0"/>
                  <w:sz w:val="18"/>
                  <w:szCs w:val="18"/>
                  <w:u w:val="single"/>
                </w:rPr>
                <w:t>Facility Agreement, dated May 28, 2020, by and among Autoliv AB, as borrower, Autoliv, Inc. and Autoliv ASP, as guarantors, and AB Svensk Exportkredit, as lender, incorporated herein by reference to Exhibit 10.1 to the Quarterly Report on Form 10-Q (File No. 001-12933, filing date July 17, 2020).</w:t>
              </w:r>
            </w:hyperlink>
          </w:p>
        </w:tc>
      </w:tr>
      <w:tr w:rsidR="00AC4931" w:rsidRPr="00AC4931" w14:paraId="55770015" w14:textId="77777777" w:rsidTr="00AC4931">
        <w:tc>
          <w:tcPr>
            <w:tcW w:w="0" w:type="auto"/>
            <w:hideMark/>
          </w:tcPr>
          <w:p w14:paraId="4ED05229"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28ECD3F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08CD292" w14:textId="77777777" w:rsidR="00AC4931" w:rsidRPr="00AC4931" w:rsidRDefault="00AC4931" w:rsidP="00AC4931">
            <w:pPr>
              <w:widowControl/>
              <w:jc w:val="left"/>
              <w:rPr>
                <w:rFonts w:ascii="Times New Roman" w:eastAsia="宋体" w:hAnsi="Times New Roman" w:cs="Times New Roman"/>
                <w:kern w:val="0"/>
                <w:sz w:val="18"/>
                <w:szCs w:val="18"/>
              </w:rPr>
            </w:pPr>
            <w:r w:rsidRPr="00AC4931">
              <w:rPr>
                <w:rFonts w:ascii="Times New Roman" w:eastAsia="宋体" w:hAnsi="Times New Roman" w:cs="Times New Roman"/>
                <w:kern w:val="0"/>
                <w:sz w:val="18"/>
                <w:szCs w:val="18"/>
              </w:rPr>
              <w:t> </w:t>
            </w:r>
          </w:p>
        </w:tc>
      </w:tr>
      <w:tr w:rsidR="00AC4931" w:rsidRPr="00AC4931" w14:paraId="45DFF9C6" w14:textId="77777777" w:rsidTr="00AC4931">
        <w:tc>
          <w:tcPr>
            <w:tcW w:w="0" w:type="auto"/>
            <w:hideMark/>
          </w:tcPr>
          <w:p w14:paraId="514B05B0"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10.62</w:t>
            </w:r>
            <w:r w:rsidRPr="00AC4931">
              <w:rPr>
                <w:rFonts w:ascii="Arial" w:eastAsia="宋体" w:hAnsi="Arial" w:cs="Arial"/>
                <w:kern w:val="0"/>
                <w:sz w:val="19"/>
                <w:szCs w:val="19"/>
                <w:vertAlign w:val="superscript"/>
              </w:rPr>
              <w:t>+</w:t>
            </w:r>
          </w:p>
        </w:tc>
        <w:tc>
          <w:tcPr>
            <w:tcW w:w="0" w:type="auto"/>
            <w:hideMark/>
          </w:tcPr>
          <w:p w14:paraId="46260588"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BAF0F05" w14:textId="77777777" w:rsidR="00AC4931" w:rsidRPr="00AC4931" w:rsidRDefault="00AC4931" w:rsidP="00AC4931">
            <w:pPr>
              <w:widowControl/>
              <w:jc w:val="left"/>
              <w:rPr>
                <w:rFonts w:ascii="Arial" w:eastAsia="宋体" w:hAnsi="Arial" w:cs="Arial"/>
                <w:kern w:val="0"/>
                <w:sz w:val="18"/>
                <w:szCs w:val="18"/>
              </w:rPr>
            </w:pPr>
            <w:hyperlink r:id="rId107" w:history="1">
              <w:r w:rsidRPr="00AC4931">
                <w:rPr>
                  <w:rFonts w:ascii="Arial" w:eastAsia="宋体" w:hAnsi="Arial" w:cs="Arial"/>
                  <w:color w:val="0000FF"/>
                  <w:kern w:val="0"/>
                  <w:sz w:val="18"/>
                  <w:szCs w:val="18"/>
                  <w:u w:val="single"/>
                </w:rPr>
                <w:t>Form of Non-Employee Directors 2020 restricted stock units grant agreement under the Autoliv, Inc 1997 Stock Incentive Plan, as amended and restated, incorporated herein by reference to Exhibit 10.2 to the Quarterly Report on Form 10-Q (File No. 001-12933, filing date July 17, 2020).</w:t>
              </w:r>
            </w:hyperlink>
          </w:p>
        </w:tc>
      </w:tr>
      <w:tr w:rsidR="00AC4931" w:rsidRPr="00AC4931" w14:paraId="74023ADD" w14:textId="77777777" w:rsidTr="00AC4931">
        <w:tc>
          <w:tcPr>
            <w:tcW w:w="0" w:type="auto"/>
            <w:hideMark/>
          </w:tcPr>
          <w:p w14:paraId="3C7DFB4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81E4855"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CC9C7C9"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0A2318D0" w14:textId="77777777" w:rsidTr="00AC4931">
        <w:tc>
          <w:tcPr>
            <w:tcW w:w="0" w:type="auto"/>
            <w:hideMark/>
          </w:tcPr>
          <w:p w14:paraId="1499301E"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10.63</w:t>
            </w:r>
            <w:r w:rsidRPr="00AC4931">
              <w:rPr>
                <w:rFonts w:ascii="Arial" w:eastAsia="宋体" w:hAnsi="Arial" w:cs="Arial"/>
                <w:kern w:val="0"/>
                <w:sz w:val="19"/>
                <w:szCs w:val="19"/>
                <w:vertAlign w:val="superscript"/>
              </w:rPr>
              <w:t>+</w:t>
            </w:r>
          </w:p>
        </w:tc>
        <w:tc>
          <w:tcPr>
            <w:tcW w:w="0" w:type="auto"/>
            <w:hideMark/>
          </w:tcPr>
          <w:p w14:paraId="53D79DE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1D0964F" w14:textId="77777777" w:rsidR="00AC4931" w:rsidRPr="00AC4931" w:rsidRDefault="00AC4931" w:rsidP="00AC4931">
            <w:pPr>
              <w:widowControl/>
              <w:jc w:val="left"/>
              <w:rPr>
                <w:rFonts w:ascii="Arial" w:eastAsia="宋体" w:hAnsi="Arial" w:cs="Arial"/>
                <w:kern w:val="0"/>
                <w:sz w:val="18"/>
                <w:szCs w:val="18"/>
              </w:rPr>
            </w:pPr>
            <w:hyperlink r:id="rId108" w:history="1">
              <w:r w:rsidRPr="00AC4931">
                <w:rPr>
                  <w:rFonts w:ascii="Arial" w:eastAsia="宋体" w:hAnsi="Arial" w:cs="Arial"/>
                  <w:color w:val="0000FF"/>
                  <w:kern w:val="0"/>
                  <w:sz w:val="18"/>
                  <w:szCs w:val="18"/>
                  <w:u w:val="single"/>
                </w:rPr>
                <w:t>Employment Agreement, dated May 20, 2020 and effective as of July 1, 2020, between Autoliv, Inc. and Per Ericson, incorporated herein by reference to Exhibit 10.3 to the Quarterly Report on Form 10-Q (File No. 001-12933, filing date July 17, 2020).</w:t>
              </w:r>
            </w:hyperlink>
          </w:p>
        </w:tc>
      </w:tr>
      <w:tr w:rsidR="00AC4931" w:rsidRPr="00AC4931" w14:paraId="12D5BA3A" w14:textId="77777777" w:rsidTr="00AC4931">
        <w:tc>
          <w:tcPr>
            <w:tcW w:w="0" w:type="auto"/>
            <w:hideMark/>
          </w:tcPr>
          <w:p w14:paraId="7F7B9B4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40204E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C841992"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10936AD4" w14:textId="77777777" w:rsidTr="00AC4931">
        <w:tc>
          <w:tcPr>
            <w:tcW w:w="0" w:type="auto"/>
            <w:hideMark/>
          </w:tcPr>
          <w:p w14:paraId="2C5601C9"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10.64</w:t>
            </w:r>
            <w:r w:rsidRPr="00AC4931">
              <w:rPr>
                <w:rFonts w:ascii="Arial" w:eastAsia="宋体" w:hAnsi="Arial" w:cs="Arial"/>
                <w:kern w:val="0"/>
                <w:sz w:val="19"/>
                <w:szCs w:val="19"/>
                <w:vertAlign w:val="superscript"/>
              </w:rPr>
              <w:t>+</w:t>
            </w:r>
          </w:p>
        </w:tc>
        <w:tc>
          <w:tcPr>
            <w:tcW w:w="0" w:type="auto"/>
            <w:hideMark/>
          </w:tcPr>
          <w:p w14:paraId="7A8F5721"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80E8865" w14:textId="77777777" w:rsidR="00AC4931" w:rsidRPr="00AC4931" w:rsidRDefault="00AC4931" w:rsidP="00AC4931">
            <w:pPr>
              <w:widowControl/>
              <w:jc w:val="left"/>
              <w:rPr>
                <w:rFonts w:ascii="Arial" w:eastAsia="宋体" w:hAnsi="Arial" w:cs="Arial"/>
                <w:kern w:val="0"/>
                <w:sz w:val="18"/>
                <w:szCs w:val="18"/>
              </w:rPr>
            </w:pPr>
            <w:hyperlink r:id="rId109" w:history="1">
              <w:r w:rsidRPr="00AC4931">
                <w:rPr>
                  <w:rFonts w:ascii="Arial" w:eastAsia="宋体" w:hAnsi="Arial" w:cs="Arial"/>
                  <w:color w:val="0000FF"/>
                  <w:kern w:val="0"/>
                  <w:sz w:val="18"/>
                  <w:szCs w:val="18"/>
                  <w:u w:val="single"/>
                </w:rPr>
                <w:t>Employment Agreement, dated June 8, 2020 and effective as of June 15, 2020, between Autoliv, Inc. and Kevin Fox, incorporated herein by reference to Exhibit 10.4 to the Quarterly Report on Form 10-Q (File No. 001-12933, filing date July 17, 2020).</w:t>
              </w:r>
            </w:hyperlink>
          </w:p>
        </w:tc>
      </w:tr>
      <w:tr w:rsidR="00AC4931" w:rsidRPr="00AC4931" w14:paraId="37E2DBB8" w14:textId="77777777" w:rsidTr="00AC4931">
        <w:tc>
          <w:tcPr>
            <w:tcW w:w="0" w:type="auto"/>
            <w:hideMark/>
          </w:tcPr>
          <w:p w14:paraId="0275FC3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0359A27A"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0BAC34B"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4CA7A56A" w14:textId="77777777" w:rsidTr="00AC4931">
        <w:tc>
          <w:tcPr>
            <w:tcW w:w="0" w:type="auto"/>
            <w:hideMark/>
          </w:tcPr>
          <w:p w14:paraId="1513F761"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10.65</w:t>
            </w:r>
            <w:r w:rsidRPr="00AC4931">
              <w:rPr>
                <w:rFonts w:ascii="Arial" w:eastAsia="宋体" w:hAnsi="Arial" w:cs="Arial"/>
                <w:kern w:val="0"/>
                <w:sz w:val="19"/>
                <w:szCs w:val="19"/>
                <w:vertAlign w:val="superscript"/>
              </w:rPr>
              <w:t>+</w:t>
            </w:r>
          </w:p>
        </w:tc>
        <w:tc>
          <w:tcPr>
            <w:tcW w:w="0" w:type="auto"/>
            <w:hideMark/>
          </w:tcPr>
          <w:p w14:paraId="3A05F1A5"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11423A2" w14:textId="77777777" w:rsidR="00AC4931" w:rsidRPr="00AC4931" w:rsidRDefault="00AC4931" w:rsidP="00AC4931">
            <w:pPr>
              <w:widowControl/>
              <w:jc w:val="left"/>
              <w:rPr>
                <w:rFonts w:ascii="Arial" w:eastAsia="宋体" w:hAnsi="Arial" w:cs="Arial"/>
                <w:kern w:val="0"/>
                <w:sz w:val="18"/>
                <w:szCs w:val="18"/>
              </w:rPr>
            </w:pPr>
            <w:hyperlink r:id="rId110" w:history="1">
              <w:r w:rsidRPr="00AC4931">
                <w:rPr>
                  <w:rFonts w:ascii="Arial" w:eastAsia="宋体" w:hAnsi="Arial" w:cs="Arial"/>
                  <w:color w:val="0000FF"/>
                  <w:kern w:val="0"/>
                  <w:sz w:val="18"/>
                  <w:szCs w:val="18"/>
                  <w:u w:val="single"/>
                </w:rPr>
                <w:t>Amendment, effective November 1, 2020, to Employment Agreement, effective as of June 29, 2018, by and between Autoliv, Inc. and Bradley J. Murray, incorporated herein by reference to Exhibit 10.1 to the Quarterly Report on Form 10-Q (File No. 001-12933, filing date October 23, 2020).</w:t>
              </w:r>
            </w:hyperlink>
          </w:p>
        </w:tc>
      </w:tr>
      <w:tr w:rsidR="00AC4931" w:rsidRPr="00AC4931" w14:paraId="442F1C9B" w14:textId="77777777" w:rsidTr="00AC4931">
        <w:tc>
          <w:tcPr>
            <w:tcW w:w="0" w:type="auto"/>
            <w:hideMark/>
          </w:tcPr>
          <w:p w14:paraId="5681A9C0"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75A0736"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3D38200"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51A17066" w14:textId="77777777" w:rsidTr="00AC4931">
        <w:tc>
          <w:tcPr>
            <w:tcW w:w="0" w:type="auto"/>
            <w:hideMark/>
          </w:tcPr>
          <w:p w14:paraId="5E6941A5"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10.66</w:t>
            </w:r>
            <w:r w:rsidRPr="00AC4931">
              <w:rPr>
                <w:rFonts w:ascii="Arial" w:eastAsia="宋体" w:hAnsi="Arial" w:cs="Arial"/>
                <w:kern w:val="0"/>
                <w:sz w:val="19"/>
                <w:szCs w:val="19"/>
                <w:vertAlign w:val="superscript"/>
              </w:rPr>
              <w:t>+</w:t>
            </w:r>
          </w:p>
        </w:tc>
        <w:tc>
          <w:tcPr>
            <w:tcW w:w="0" w:type="auto"/>
            <w:hideMark/>
          </w:tcPr>
          <w:p w14:paraId="070840E5"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2AE3E85" w14:textId="77777777" w:rsidR="00AC4931" w:rsidRPr="00AC4931" w:rsidRDefault="00AC4931" w:rsidP="00AC4931">
            <w:pPr>
              <w:widowControl/>
              <w:jc w:val="left"/>
              <w:rPr>
                <w:rFonts w:ascii="Arial" w:eastAsia="宋体" w:hAnsi="Arial" w:cs="Arial"/>
                <w:kern w:val="0"/>
                <w:sz w:val="18"/>
                <w:szCs w:val="18"/>
              </w:rPr>
            </w:pPr>
            <w:hyperlink r:id="rId111" w:history="1">
              <w:r w:rsidRPr="00AC4931">
                <w:rPr>
                  <w:rFonts w:ascii="Arial" w:eastAsia="宋体" w:hAnsi="Arial" w:cs="Arial"/>
                  <w:color w:val="0000FF"/>
                  <w:kern w:val="0"/>
                  <w:sz w:val="18"/>
                  <w:szCs w:val="18"/>
                  <w:u w:val="single"/>
                </w:rPr>
                <w:t>Employment Agreement, effective as of August 17, 2020, by and between Autoliv AB and Mikael Hagström incorporated herein by reference to Exhibit 10.2 to the Quarterly Report on Form 10-Q (File No. 001-12933, filing date October 23, 2020).</w:t>
              </w:r>
            </w:hyperlink>
          </w:p>
        </w:tc>
      </w:tr>
      <w:tr w:rsidR="00AC4931" w:rsidRPr="00AC4931" w14:paraId="1997AD10" w14:textId="77777777" w:rsidTr="00AC4931">
        <w:tc>
          <w:tcPr>
            <w:tcW w:w="0" w:type="auto"/>
            <w:hideMark/>
          </w:tcPr>
          <w:p w14:paraId="3961CB1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7B97A4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1962F0C"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66D09C6D" w14:textId="77777777" w:rsidTr="00AC4931">
        <w:tc>
          <w:tcPr>
            <w:tcW w:w="0" w:type="auto"/>
            <w:hideMark/>
          </w:tcPr>
          <w:p w14:paraId="6AD7002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21*</w:t>
            </w:r>
          </w:p>
        </w:tc>
        <w:tc>
          <w:tcPr>
            <w:tcW w:w="0" w:type="auto"/>
            <w:hideMark/>
          </w:tcPr>
          <w:p w14:paraId="552D9AA1"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5191F0D2" w14:textId="77777777" w:rsidR="00AC4931" w:rsidRPr="00AC4931" w:rsidRDefault="00AC4931" w:rsidP="00AC4931">
            <w:pPr>
              <w:widowControl/>
              <w:jc w:val="left"/>
              <w:rPr>
                <w:rFonts w:ascii="Arial" w:eastAsia="宋体" w:hAnsi="Arial" w:cs="Arial"/>
                <w:kern w:val="0"/>
                <w:sz w:val="18"/>
                <w:szCs w:val="18"/>
              </w:rPr>
            </w:pPr>
            <w:hyperlink r:id="rId112" w:history="1">
              <w:r w:rsidRPr="00AC4931">
                <w:rPr>
                  <w:rFonts w:ascii="Arial" w:eastAsia="宋体" w:hAnsi="Arial" w:cs="Arial"/>
                  <w:color w:val="0000FF"/>
                  <w:kern w:val="0"/>
                  <w:sz w:val="18"/>
                  <w:szCs w:val="18"/>
                  <w:u w:val="single"/>
                </w:rPr>
                <w:t>Autoliv’s List of Subsidiaries.</w:t>
              </w:r>
            </w:hyperlink>
          </w:p>
        </w:tc>
      </w:tr>
      <w:tr w:rsidR="00AC4931" w:rsidRPr="00AC4931" w14:paraId="78111D3B" w14:textId="77777777" w:rsidTr="00AC4931">
        <w:tc>
          <w:tcPr>
            <w:tcW w:w="0" w:type="auto"/>
            <w:hideMark/>
          </w:tcPr>
          <w:p w14:paraId="6C0DF044"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DC7456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0BE856B"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0BFE315F" w14:textId="77777777" w:rsidTr="00AC4931">
        <w:tc>
          <w:tcPr>
            <w:tcW w:w="0" w:type="auto"/>
            <w:hideMark/>
          </w:tcPr>
          <w:p w14:paraId="439B4596"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23*</w:t>
            </w:r>
          </w:p>
        </w:tc>
        <w:tc>
          <w:tcPr>
            <w:tcW w:w="0" w:type="auto"/>
            <w:hideMark/>
          </w:tcPr>
          <w:p w14:paraId="36C96DB9"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68833110" w14:textId="77777777" w:rsidR="00AC4931" w:rsidRPr="00AC4931" w:rsidRDefault="00AC4931" w:rsidP="00AC4931">
            <w:pPr>
              <w:widowControl/>
              <w:jc w:val="left"/>
              <w:rPr>
                <w:rFonts w:ascii="Arial" w:eastAsia="宋体" w:hAnsi="Arial" w:cs="Arial"/>
                <w:kern w:val="0"/>
                <w:sz w:val="18"/>
                <w:szCs w:val="18"/>
              </w:rPr>
            </w:pPr>
            <w:hyperlink r:id="rId113" w:history="1">
              <w:r w:rsidRPr="00AC4931">
                <w:rPr>
                  <w:rFonts w:ascii="Arial" w:eastAsia="宋体" w:hAnsi="Arial" w:cs="Arial"/>
                  <w:color w:val="0000FF"/>
                  <w:kern w:val="0"/>
                  <w:sz w:val="18"/>
                  <w:szCs w:val="18"/>
                  <w:u w:val="single"/>
                </w:rPr>
                <w:t>Consent of Independent Registered Public Accounting Firm.</w:t>
              </w:r>
            </w:hyperlink>
          </w:p>
        </w:tc>
      </w:tr>
      <w:tr w:rsidR="00AC4931" w:rsidRPr="00AC4931" w14:paraId="62100ED8" w14:textId="77777777" w:rsidTr="00AC4931">
        <w:tc>
          <w:tcPr>
            <w:tcW w:w="0" w:type="auto"/>
            <w:hideMark/>
          </w:tcPr>
          <w:p w14:paraId="31B8B4F9"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lastRenderedPageBreak/>
              <w:t> </w:t>
            </w:r>
          </w:p>
        </w:tc>
        <w:tc>
          <w:tcPr>
            <w:tcW w:w="0" w:type="auto"/>
            <w:hideMark/>
          </w:tcPr>
          <w:p w14:paraId="1603756C"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DBC7638"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145C7A8A" w14:textId="77777777" w:rsidTr="00AC4931">
        <w:tc>
          <w:tcPr>
            <w:tcW w:w="0" w:type="auto"/>
            <w:hideMark/>
          </w:tcPr>
          <w:p w14:paraId="1D165FC5"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31.1*</w:t>
            </w:r>
          </w:p>
        </w:tc>
        <w:tc>
          <w:tcPr>
            <w:tcW w:w="0" w:type="auto"/>
            <w:hideMark/>
          </w:tcPr>
          <w:p w14:paraId="7E64C03C"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7A2FBC6C" w14:textId="77777777" w:rsidR="00AC4931" w:rsidRPr="00AC4931" w:rsidRDefault="00AC4931" w:rsidP="00AC4931">
            <w:pPr>
              <w:widowControl/>
              <w:jc w:val="left"/>
              <w:rPr>
                <w:rFonts w:ascii="Arial" w:eastAsia="宋体" w:hAnsi="Arial" w:cs="Arial"/>
                <w:kern w:val="0"/>
                <w:sz w:val="18"/>
                <w:szCs w:val="18"/>
              </w:rPr>
            </w:pPr>
            <w:hyperlink r:id="rId114" w:history="1">
              <w:r w:rsidRPr="00AC4931">
                <w:rPr>
                  <w:rFonts w:ascii="Arial" w:eastAsia="宋体" w:hAnsi="Arial" w:cs="Arial"/>
                  <w:color w:val="0000FF"/>
                  <w:kern w:val="0"/>
                  <w:sz w:val="18"/>
                  <w:szCs w:val="18"/>
                  <w:u w:val="single"/>
                </w:rPr>
                <w:t>Certification of Chief Executive Officer, pursuant to Rule 13a-14(a) promulgated under the Securities Exchange Act of 1934, as amended.</w:t>
              </w:r>
            </w:hyperlink>
          </w:p>
        </w:tc>
      </w:tr>
      <w:tr w:rsidR="00AC4931" w:rsidRPr="00AC4931" w14:paraId="4F415CE9" w14:textId="77777777" w:rsidTr="00AC4931">
        <w:tc>
          <w:tcPr>
            <w:tcW w:w="0" w:type="auto"/>
            <w:hideMark/>
          </w:tcPr>
          <w:p w14:paraId="3AD5CAF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6D910FF"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06DCC3F"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64FFCD36" w14:textId="77777777" w:rsidTr="00AC4931">
        <w:tc>
          <w:tcPr>
            <w:tcW w:w="0" w:type="auto"/>
            <w:hideMark/>
          </w:tcPr>
          <w:p w14:paraId="19963030"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31.2*</w:t>
            </w:r>
          </w:p>
        </w:tc>
        <w:tc>
          <w:tcPr>
            <w:tcW w:w="0" w:type="auto"/>
            <w:hideMark/>
          </w:tcPr>
          <w:p w14:paraId="31C3573D"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2DF682AC" w14:textId="77777777" w:rsidR="00AC4931" w:rsidRPr="00AC4931" w:rsidRDefault="00AC4931" w:rsidP="00AC4931">
            <w:pPr>
              <w:widowControl/>
              <w:jc w:val="left"/>
              <w:rPr>
                <w:rFonts w:ascii="Arial" w:eastAsia="宋体" w:hAnsi="Arial" w:cs="Arial"/>
                <w:kern w:val="0"/>
                <w:sz w:val="18"/>
                <w:szCs w:val="18"/>
              </w:rPr>
            </w:pPr>
            <w:hyperlink r:id="rId115" w:history="1">
              <w:r w:rsidRPr="00AC4931">
                <w:rPr>
                  <w:rFonts w:ascii="Arial" w:eastAsia="宋体" w:hAnsi="Arial" w:cs="Arial"/>
                  <w:color w:val="0000FF"/>
                  <w:kern w:val="0"/>
                  <w:sz w:val="18"/>
                  <w:szCs w:val="18"/>
                  <w:u w:val="single"/>
                </w:rPr>
                <w:t>Certification of Chief Financial Officer, pursuant to Rule 13a-14(a) promulgated under the Securities Exchange Act of 1934, as amended.</w:t>
              </w:r>
            </w:hyperlink>
          </w:p>
        </w:tc>
      </w:tr>
      <w:tr w:rsidR="00AC4931" w:rsidRPr="00AC4931" w14:paraId="39F9B7E3" w14:textId="77777777" w:rsidTr="00AC4931">
        <w:tc>
          <w:tcPr>
            <w:tcW w:w="0" w:type="auto"/>
            <w:hideMark/>
          </w:tcPr>
          <w:p w14:paraId="44706A75"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7B0DC2D"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6FB83BD"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1F830401" w14:textId="77777777" w:rsidTr="00AC4931">
        <w:tc>
          <w:tcPr>
            <w:tcW w:w="0" w:type="auto"/>
            <w:hideMark/>
          </w:tcPr>
          <w:p w14:paraId="3C104B38"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32.1*</w:t>
            </w:r>
          </w:p>
        </w:tc>
        <w:tc>
          <w:tcPr>
            <w:tcW w:w="0" w:type="auto"/>
            <w:hideMark/>
          </w:tcPr>
          <w:p w14:paraId="58226F52"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3C157DAC" w14:textId="77777777" w:rsidR="00AC4931" w:rsidRPr="00AC4931" w:rsidRDefault="00AC4931" w:rsidP="00AC4931">
            <w:pPr>
              <w:widowControl/>
              <w:jc w:val="left"/>
              <w:rPr>
                <w:rFonts w:ascii="Arial" w:eastAsia="宋体" w:hAnsi="Arial" w:cs="Arial"/>
                <w:kern w:val="0"/>
                <w:sz w:val="18"/>
                <w:szCs w:val="18"/>
              </w:rPr>
            </w:pPr>
            <w:hyperlink r:id="rId116" w:history="1">
              <w:r w:rsidRPr="00AC4931">
                <w:rPr>
                  <w:rFonts w:ascii="Arial" w:eastAsia="宋体" w:hAnsi="Arial" w:cs="Arial"/>
                  <w:color w:val="0000FF"/>
                  <w:kern w:val="0"/>
                  <w:sz w:val="18"/>
                  <w:szCs w:val="18"/>
                  <w:u w:val="single"/>
                </w:rPr>
                <w:t>Certification of Chief Executive Officer, pursuant to 18 U.S.C. Section 1350, as adopted pursuant to section 906 of the Sarbanes-Oxley Act of 2002.</w:t>
              </w:r>
            </w:hyperlink>
          </w:p>
        </w:tc>
      </w:tr>
      <w:tr w:rsidR="00AC4931" w:rsidRPr="00AC4931" w14:paraId="5853A3A5" w14:textId="77777777" w:rsidTr="00AC4931">
        <w:tc>
          <w:tcPr>
            <w:tcW w:w="0" w:type="auto"/>
            <w:hideMark/>
          </w:tcPr>
          <w:p w14:paraId="003D7003"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FFEC7C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C4403D3"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510A74D3" w14:textId="77777777" w:rsidTr="00AC4931">
        <w:tc>
          <w:tcPr>
            <w:tcW w:w="0" w:type="auto"/>
            <w:hideMark/>
          </w:tcPr>
          <w:p w14:paraId="1BB9E3A9" w14:textId="77777777" w:rsidR="00AC4931" w:rsidRPr="00AC4931" w:rsidRDefault="00AC4931" w:rsidP="00AC4931">
            <w:pPr>
              <w:widowControl/>
              <w:jc w:val="left"/>
              <w:rPr>
                <w:rFonts w:ascii="Arial" w:eastAsia="宋体" w:hAnsi="Arial" w:cs="Arial"/>
                <w:color w:val="000000"/>
                <w:kern w:val="0"/>
                <w:sz w:val="18"/>
                <w:szCs w:val="18"/>
              </w:rPr>
            </w:pPr>
            <w:r w:rsidRPr="00AC4931">
              <w:rPr>
                <w:rFonts w:ascii="Arial" w:eastAsia="宋体" w:hAnsi="Arial" w:cs="Arial"/>
                <w:color w:val="000000"/>
                <w:kern w:val="0"/>
                <w:sz w:val="18"/>
                <w:szCs w:val="18"/>
              </w:rPr>
              <w:t>32.2*</w:t>
            </w:r>
          </w:p>
        </w:tc>
        <w:tc>
          <w:tcPr>
            <w:tcW w:w="0" w:type="auto"/>
            <w:hideMark/>
          </w:tcPr>
          <w:p w14:paraId="455F8164"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7BF3BF9A" w14:textId="77777777" w:rsidR="00AC4931" w:rsidRPr="00AC4931" w:rsidRDefault="00AC4931" w:rsidP="00AC4931">
            <w:pPr>
              <w:widowControl/>
              <w:jc w:val="left"/>
              <w:rPr>
                <w:rFonts w:ascii="Arial" w:eastAsia="宋体" w:hAnsi="Arial" w:cs="Arial"/>
                <w:kern w:val="0"/>
                <w:sz w:val="18"/>
                <w:szCs w:val="18"/>
              </w:rPr>
            </w:pPr>
            <w:hyperlink r:id="rId117" w:history="1">
              <w:r w:rsidRPr="00AC4931">
                <w:rPr>
                  <w:rFonts w:ascii="Arial" w:eastAsia="宋体" w:hAnsi="Arial" w:cs="Arial"/>
                  <w:color w:val="0000FF"/>
                  <w:kern w:val="0"/>
                  <w:sz w:val="18"/>
                  <w:szCs w:val="18"/>
                  <w:u w:val="single"/>
                </w:rPr>
                <w:t>Certification of Chief Financial Officer, pursuant to 18 U.S.C. Section 1350, as adopted pursuant to section 906 of the Sarbanes-Oxley Act of 2002.</w:t>
              </w:r>
            </w:hyperlink>
          </w:p>
        </w:tc>
      </w:tr>
      <w:tr w:rsidR="00AC4931" w:rsidRPr="00AC4931" w14:paraId="3A15CA5C" w14:textId="77777777" w:rsidTr="00AC4931">
        <w:tc>
          <w:tcPr>
            <w:tcW w:w="0" w:type="auto"/>
            <w:hideMark/>
          </w:tcPr>
          <w:p w14:paraId="1930A27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9D65519"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E8B890F"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53C1A6D4" w14:textId="77777777" w:rsidTr="00AC4931">
        <w:tc>
          <w:tcPr>
            <w:tcW w:w="0" w:type="auto"/>
            <w:hideMark/>
          </w:tcPr>
          <w:p w14:paraId="7100F0F4"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101.INS*</w:t>
            </w:r>
          </w:p>
        </w:tc>
        <w:tc>
          <w:tcPr>
            <w:tcW w:w="0" w:type="auto"/>
            <w:hideMark/>
          </w:tcPr>
          <w:p w14:paraId="4C28B00F"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4FF70D2F" w14:textId="77777777" w:rsidR="00AC4931" w:rsidRPr="00AC4931" w:rsidRDefault="00AC4931" w:rsidP="00AC4931">
            <w:pPr>
              <w:widowControl/>
              <w:jc w:val="left"/>
              <w:rPr>
                <w:rFonts w:ascii="Arial" w:eastAsia="宋体" w:hAnsi="Arial" w:cs="Arial"/>
                <w:spacing w:val="-2"/>
                <w:kern w:val="0"/>
                <w:sz w:val="18"/>
                <w:szCs w:val="18"/>
              </w:rPr>
            </w:pPr>
            <w:r w:rsidRPr="00AC4931">
              <w:rPr>
                <w:rFonts w:ascii="Arial" w:eastAsia="宋体" w:hAnsi="Arial" w:cs="Arial"/>
                <w:spacing w:val="-2"/>
                <w:kern w:val="0"/>
                <w:sz w:val="18"/>
                <w:szCs w:val="18"/>
              </w:rPr>
              <w:t>Inline XBRL Instance Document – The instance document does not appear in the Interactive Date File because its XBRL tags are embedded within the inline XBRL document.</w:t>
            </w:r>
          </w:p>
        </w:tc>
      </w:tr>
      <w:tr w:rsidR="00AC4931" w:rsidRPr="00AC4931" w14:paraId="1EF37DA6" w14:textId="77777777" w:rsidTr="00AC4931">
        <w:tc>
          <w:tcPr>
            <w:tcW w:w="0" w:type="auto"/>
            <w:hideMark/>
          </w:tcPr>
          <w:p w14:paraId="4729FC4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30C08497"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4AB694C"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07955689" w14:textId="77777777" w:rsidTr="00AC4931">
        <w:tc>
          <w:tcPr>
            <w:tcW w:w="0" w:type="auto"/>
            <w:hideMark/>
          </w:tcPr>
          <w:p w14:paraId="7E281880"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101.SCH*</w:t>
            </w:r>
          </w:p>
        </w:tc>
        <w:tc>
          <w:tcPr>
            <w:tcW w:w="0" w:type="auto"/>
            <w:hideMark/>
          </w:tcPr>
          <w:p w14:paraId="6340E67A"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4BD6B973" w14:textId="77777777" w:rsidR="00AC4931" w:rsidRPr="00AC4931" w:rsidRDefault="00AC4931" w:rsidP="00AC4931">
            <w:pPr>
              <w:widowControl/>
              <w:jc w:val="left"/>
              <w:rPr>
                <w:rFonts w:ascii="Arial" w:eastAsia="宋体" w:hAnsi="Arial" w:cs="Arial"/>
                <w:spacing w:val="-2"/>
                <w:kern w:val="0"/>
                <w:sz w:val="18"/>
                <w:szCs w:val="18"/>
              </w:rPr>
            </w:pPr>
            <w:r w:rsidRPr="00AC4931">
              <w:rPr>
                <w:rFonts w:ascii="Arial" w:eastAsia="宋体" w:hAnsi="Arial" w:cs="Arial"/>
                <w:spacing w:val="-2"/>
                <w:kern w:val="0"/>
                <w:sz w:val="18"/>
                <w:szCs w:val="18"/>
              </w:rPr>
              <w:t>Inline XBRL Taxonomy Extension Schema Document.</w:t>
            </w:r>
          </w:p>
        </w:tc>
      </w:tr>
      <w:tr w:rsidR="00AC4931" w:rsidRPr="00AC4931" w14:paraId="72E18F5C" w14:textId="77777777" w:rsidTr="00AC4931">
        <w:tc>
          <w:tcPr>
            <w:tcW w:w="0" w:type="auto"/>
            <w:hideMark/>
          </w:tcPr>
          <w:p w14:paraId="07256C83"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1C08D8B"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302F0EE"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4CCB2589" w14:textId="77777777" w:rsidTr="00AC4931">
        <w:tc>
          <w:tcPr>
            <w:tcW w:w="0" w:type="auto"/>
            <w:hideMark/>
          </w:tcPr>
          <w:p w14:paraId="52459F67"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101.CAL*</w:t>
            </w:r>
          </w:p>
        </w:tc>
        <w:tc>
          <w:tcPr>
            <w:tcW w:w="0" w:type="auto"/>
            <w:hideMark/>
          </w:tcPr>
          <w:p w14:paraId="54010A4F"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46F55503" w14:textId="77777777" w:rsidR="00AC4931" w:rsidRPr="00AC4931" w:rsidRDefault="00AC4931" w:rsidP="00AC4931">
            <w:pPr>
              <w:widowControl/>
              <w:jc w:val="left"/>
              <w:rPr>
                <w:rFonts w:ascii="Arial" w:eastAsia="宋体" w:hAnsi="Arial" w:cs="Arial"/>
                <w:color w:val="000000"/>
                <w:spacing w:val="-2"/>
                <w:kern w:val="0"/>
                <w:sz w:val="18"/>
                <w:szCs w:val="18"/>
              </w:rPr>
            </w:pPr>
            <w:r w:rsidRPr="00AC4931">
              <w:rPr>
                <w:rFonts w:ascii="Arial" w:eastAsia="宋体" w:hAnsi="Arial" w:cs="Arial"/>
                <w:color w:val="000000"/>
                <w:spacing w:val="-2"/>
                <w:kern w:val="0"/>
                <w:sz w:val="18"/>
                <w:szCs w:val="18"/>
              </w:rPr>
              <w:t>Inline XBRL Taxonomy Extension Calculation Linkbase Document.</w:t>
            </w:r>
          </w:p>
        </w:tc>
      </w:tr>
      <w:tr w:rsidR="00AC4931" w:rsidRPr="00AC4931" w14:paraId="301156AD" w14:textId="77777777" w:rsidTr="00AC4931">
        <w:tc>
          <w:tcPr>
            <w:tcW w:w="0" w:type="auto"/>
            <w:hideMark/>
          </w:tcPr>
          <w:p w14:paraId="286BE39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4E07FEFC"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3CDFA8A"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49ACEDBF" w14:textId="77777777" w:rsidTr="00AC4931">
        <w:tc>
          <w:tcPr>
            <w:tcW w:w="0" w:type="auto"/>
            <w:hideMark/>
          </w:tcPr>
          <w:p w14:paraId="2436FCD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101.DEF*</w:t>
            </w:r>
          </w:p>
        </w:tc>
        <w:tc>
          <w:tcPr>
            <w:tcW w:w="0" w:type="auto"/>
            <w:hideMark/>
          </w:tcPr>
          <w:p w14:paraId="6C8DD330"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17EBBC8B" w14:textId="77777777" w:rsidR="00AC4931" w:rsidRPr="00AC4931" w:rsidRDefault="00AC4931" w:rsidP="00AC4931">
            <w:pPr>
              <w:widowControl/>
              <w:jc w:val="left"/>
              <w:rPr>
                <w:rFonts w:ascii="Arial" w:eastAsia="宋体" w:hAnsi="Arial" w:cs="Arial"/>
                <w:color w:val="000000"/>
                <w:spacing w:val="-2"/>
                <w:kern w:val="0"/>
                <w:sz w:val="18"/>
                <w:szCs w:val="18"/>
              </w:rPr>
            </w:pPr>
            <w:r w:rsidRPr="00AC4931">
              <w:rPr>
                <w:rFonts w:ascii="Arial" w:eastAsia="宋体" w:hAnsi="Arial" w:cs="Arial"/>
                <w:color w:val="000000"/>
                <w:spacing w:val="-2"/>
                <w:kern w:val="0"/>
                <w:sz w:val="18"/>
                <w:szCs w:val="18"/>
              </w:rPr>
              <w:t>Inline XBRL Taxonomy Extension Definition Linkbase Document.</w:t>
            </w:r>
          </w:p>
        </w:tc>
      </w:tr>
      <w:tr w:rsidR="00AC4931" w:rsidRPr="00AC4931" w14:paraId="0B77F2EC" w14:textId="77777777" w:rsidTr="00AC4931">
        <w:tc>
          <w:tcPr>
            <w:tcW w:w="0" w:type="auto"/>
            <w:hideMark/>
          </w:tcPr>
          <w:p w14:paraId="0A299CA5"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96B1AC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1CEEAD38"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2BFBF67A" w14:textId="77777777" w:rsidTr="00AC4931">
        <w:tc>
          <w:tcPr>
            <w:tcW w:w="0" w:type="auto"/>
            <w:hideMark/>
          </w:tcPr>
          <w:p w14:paraId="13AEF658"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101.LAB*</w:t>
            </w:r>
          </w:p>
        </w:tc>
        <w:tc>
          <w:tcPr>
            <w:tcW w:w="0" w:type="auto"/>
            <w:hideMark/>
          </w:tcPr>
          <w:p w14:paraId="3A2D40B2"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7517C560" w14:textId="77777777" w:rsidR="00AC4931" w:rsidRPr="00AC4931" w:rsidRDefault="00AC4931" w:rsidP="00AC4931">
            <w:pPr>
              <w:widowControl/>
              <w:jc w:val="left"/>
              <w:rPr>
                <w:rFonts w:ascii="Arial" w:eastAsia="宋体" w:hAnsi="Arial" w:cs="Arial"/>
                <w:color w:val="000000"/>
                <w:spacing w:val="-2"/>
                <w:kern w:val="0"/>
                <w:sz w:val="18"/>
                <w:szCs w:val="18"/>
              </w:rPr>
            </w:pPr>
            <w:r w:rsidRPr="00AC4931">
              <w:rPr>
                <w:rFonts w:ascii="Arial" w:eastAsia="宋体" w:hAnsi="Arial" w:cs="Arial"/>
                <w:color w:val="000000"/>
                <w:spacing w:val="-2"/>
                <w:kern w:val="0"/>
                <w:sz w:val="18"/>
                <w:szCs w:val="18"/>
              </w:rPr>
              <w:t>Inline XBRL Taxonomy Extension Label Linkbase Document.</w:t>
            </w:r>
          </w:p>
        </w:tc>
      </w:tr>
      <w:tr w:rsidR="00AC4931" w:rsidRPr="00AC4931" w14:paraId="2C279AC8" w14:textId="77777777" w:rsidTr="00AC4931">
        <w:tc>
          <w:tcPr>
            <w:tcW w:w="0" w:type="auto"/>
            <w:hideMark/>
          </w:tcPr>
          <w:p w14:paraId="7C2B70D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299610F3"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D151084"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6275B1AC" w14:textId="77777777" w:rsidTr="00AC4931">
        <w:tc>
          <w:tcPr>
            <w:tcW w:w="0" w:type="auto"/>
            <w:hideMark/>
          </w:tcPr>
          <w:p w14:paraId="0669A3D5"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101.PRE*</w:t>
            </w:r>
          </w:p>
        </w:tc>
        <w:tc>
          <w:tcPr>
            <w:tcW w:w="0" w:type="auto"/>
            <w:hideMark/>
          </w:tcPr>
          <w:p w14:paraId="1DBEC632"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3AC63F43" w14:textId="77777777" w:rsidR="00AC4931" w:rsidRPr="00AC4931" w:rsidRDefault="00AC4931" w:rsidP="00AC4931">
            <w:pPr>
              <w:widowControl/>
              <w:jc w:val="left"/>
              <w:rPr>
                <w:rFonts w:ascii="Arial" w:eastAsia="宋体" w:hAnsi="Arial" w:cs="Arial"/>
                <w:spacing w:val="-2"/>
                <w:kern w:val="0"/>
                <w:sz w:val="18"/>
                <w:szCs w:val="18"/>
              </w:rPr>
            </w:pPr>
            <w:r w:rsidRPr="00AC4931">
              <w:rPr>
                <w:rFonts w:ascii="Arial" w:eastAsia="宋体" w:hAnsi="Arial" w:cs="Arial"/>
                <w:spacing w:val="-2"/>
                <w:kern w:val="0"/>
                <w:sz w:val="18"/>
                <w:szCs w:val="18"/>
              </w:rPr>
              <w:t>Inline XBRL Taxonomy Extension Presentation Linkbase Document.</w:t>
            </w:r>
          </w:p>
        </w:tc>
      </w:tr>
      <w:tr w:rsidR="00AC4931" w:rsidRPr="00AC4931" w14:paraId="440DFA6D" w14:textId="77777777" w:rsidTr="00AC4931">
        <w:tc>
          <w:tcPr>
            <w:tcW w:w="0" w:type="auto"/>
            <w:hideMark/>
          </w:tcPr>
          <w:p w14:paraId="582E0680"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78BC2F5E" w14:textId="77777777" w:rsidR="00AC4931" w:rsidRPr="00AC4931" w:rsidRDefault="00AC4931" w:rsidP="00AC4931">
            <w:pPr>
              <w:widowControl/>
              <w:rPr>
                <w:rFonts w:ascii="宋体" w:eastAsia="宋体" w:hAnsi="宋体" w:cs="宋体"/>
                <w:kern w:val="0"/>
                <w:sz w:val="12"/>
                <w:szCs w:val="12"/>
              </w:rPr>
            </w:pPr>
            <w:r w:rsidRPr="00AC4931">
              <w:rPr>
                <w:rFonts w:ascii="宋体" w:eastAsia="宋体" w:hAnsi="宋体" w:cs="宋体"/>
                <w:kern w:val="0"/>
                <w:sz w:val="12"/>
                <w:szCs w:val="12"/>
              </w:rPr>
              <w:t> </w:t>
            </w:r>
          </w:p>
        </w:tc>
        <w:tc>
          <w:tcPr>
            <w:tcW w:w="0" w:type="auto"/>
            <w:hideMark/>
          </w:tcPr>
          <w:p w14:paraId="6672254D" w14:textId="77777777" w:rsidR="00AC4931" w:rsidRPr="00AC4931" w:rsidRDefault="00AC4931" w:rsidP="00AC4931">
            <w:pPr>
              <w:widowControl/>
              <w:jc w:val="left"/>
              <w:rPr>
                <w:rFonts w:ascii="Times New Roman" w:eastAsia="宋体" w:hAnsi="Times New Roman" w:cs="Times New Roman"/>
                <w:kern w:val="0"/>
                <w:sz w:val="12"/>
                <w:szCs w:val="12"/>
              </w:rPr>
            </w:pPr>
            <w:r w:rsidRPr="00AC4931">
              <w:rPr>
                <w:rFonts w:ascii="Times New Roman" w:eastAsia="宋体" w:hAnsi="Times New Roman" w:cs="Times New Roman"/>
                <w:kern w:val="0"/>
                <w:sz w:val="12"/>
                <w:szCs w:val="12"/>
              </w:rPr>
              <w:t> </w:t>
            </w:r>
          </w:p>
        </w:tc>
      </w:tr>
      <w:tr w:rsidR="00AC4931" w:rsidRPr="00AC4931" w14:paraId="41A50FBF" w14:textId="77777777" w:rsidTr="00AC4931">
        <w:tc>
          <w:tcPr>
            <w:tcW w:w="0" w:type="auto"/>
            <w:hideMark/>
          </w:tcPr>
          <w:p w14:paraId="674D0050"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104*</w:t>
            </w:r>
          </w:p>
        </w:tc>
        <w:tc>
          <w:tcPr>
            <w:tcW w:w="0" w:type="auto"/>
            <w:hideMark/>
          </w:tcPr>
          <w:p w14:paraId="1011D94D" w14:textId="77777777" w:rsidR="00AC4931" w:rsidRPr="00AC4931" w:rsidRDefault="00AC4931" w:rsidP="00AC4931">
            <w:pPr>
              <w:widowControl/>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hideMark/>
          </w:tcPr>
          <w:p w14:paraId="17CA2974" w14:textId="77777777" w:rsidR="00AC4931" w:rsidRPr="00AC4931" w:rsidRDefault="00AC4931" w:rsidP="00AC4931">
            <w:pPr>
              <w:widowControl/>
              <w:jc w:val="left"/>
              <w:rPr>
                <w:rFonts w:ascii="Arial" w:eastAsia="宋体" w:hAnsi="Arial" w:cs="Arial"/>
                <w:spacing w:val="-2"/>
                <w:kern w:val="0"/>
                <w:sz w:val="18"/>
                <w:szCs w:val="18"/>
              </w:rPr>
            </w:pPr>
            <w:r w:rsidRPr="00AC4931">
              <w:rPr>
                <w:rFonts w:ascii="Arial" w:eastAsia="宋体" w:hAnsi="Arial" w:cs="Arial"/>
                <w:spacing w:val="-2"/>
                <w:kern w:val="0"/>
                <w:sz w:val="18"/>
                <w:szCs w:val="18"/>
              </w:rPr>
              <w:t>Cover Page Interactive Data File (embedded within the inline XBRL document).</w:t>
            </w:r>
          </w:p>
        </w:tc>
      </w:tr>
    </w:tbl>
    <w:p w14:paraId="7459EC99"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58CA999E" w14:textId="77777777" w:rsidTr="00AC4931">
        <w:tc>
          <w:tcPr>
            <w:tcW w:w="919" w:type="dxa"/>
            <w:noWrap/>
            <w:hideMark/>
          </w:tcPr>
          <w:p w14:paraId="38D69E19" w14:textId="77777777" w:rsidR="00AC4931" w:rsidRPr="00AC4931" w:rsidRDefault="00AC4931" w:rsidP="00AC4931">
            <w:pPr>
              <w:widowControl/>
              <w:rPr>
                <w:rFonts w:ascii="Arial" w:eastAsia="宋体" w:hAnsi="Arial" w:cs="Arial" w:hint="eastAsia"/>
                <w:kern w:val="0"/>
                <w:sz w:val="18"/>
                <w:szCs w:val="18"/>
              </w:rPr>
            </w:pPr>
            <w:r w:rsidRPr="00AC4931">
              <w:rPr>
                <w:rFonts w:ascii="Arial" w:eastAsia="宋体" w:hAnsi="Arial" w:cs="Arial"/>
                <w:kern w:val="0"/>
                <w:sz w:val="18"/>
                <w:szCs w:val="18"/>
              </w:rPr>
              <w:t>*</w:t>
            </w:r>
          </w:p>
        </w:tc>
        <w:tc>
          <w:tcPr>
            <w:tcW w:w="0" w:type="auto"/>
            <w:hideMark/>
          </w:tcPr>
          <w:p w14:paraId="1C7BE9F2" w14:textId="77777777" w:rsidR="00AC4931" w:rsidRPr="00AC4931" w:rsidRDefault="00AC4931" w:rsidP="00AC4931">
            <w:pPr>
              <w:widowControl/>
              <w:rPr>
                <w:rFonts w:ascii="Arial" w:eastAsia="宋体" w:hAnsi="Arial" w:cs="Arial"/>
                <w:kern w:val="0"/>
                <w:sz w:val="18"/>
                <w:szCs w:val="18"/>
              </w:rPr>
            </w:pPr>
            <w:r w:rsidRPr="00AC4931">
              <w:rPr>
                <w:rFonts w:ascii="Arial" w:eastAsia="宋体" w:hAnsi="Arial" w:cs="Arial"/>
                <w:kern w:val="0"/>
                <w:sz w:val="18"/>
                <w:szCs w:val="18"/>
              </w:rPr>
              <w:t>Filed herewith.</w:t>
            </w:r>
          </w:p>
        </w:tc>
      </w:tr>
      <w:tr w:rsidR="00AC4931" w:rsidRPr="00AC4931" w14:paraId="78B4D20C" w14:textId="77777777" w:rsidTr="00AC4931">
        <w:tc>
          <w:tcPr>
            <w:tcW w:w="919" w:type="dxa"/>
            <w:noWrap/>
            <w:hideMark/>
          </w:tcPr>
          <w:p w14:paraId="6F741EC8"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w:t>
            </w:r>
          </w:p>
        </w:tc>
        <w:tc>
          <w:tcPr>
            <w:tcW w:w="0" w:type="auto"/>
            <w:hideMark/>
          </w:tcPr>
          <w:p w14:paraId="54CDDD6F"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Management contract or compensatory plan.</w:t>
            </w:r>
          </w:p>
        </w:tc>
      </w:tr>
    </w:tbl>
    <w:p w14:paraId="4BEB17AF" w14:textId="77777777" w:rsidR="00AC4931" w:rsidRPr="00AC4931" w:rsidRDefault="00AC4931" w:rsidP="00AC4931">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935"/>
        <w:gridCol w:w="19679"/>
      </w:tblGrid>
      <w:tr w:rsidR="00AC4931" w:rsidRPr="00AC4931" w14:paraId="621AB33C" w14:textId="77777777" w:rsidTr="00AC4931">
        <w:tc>
          <w:tcPr>
            <w:tcW w:w="919" w:type="dxa"/>
            <w:noWrap/>
            <w:hideMark/>
          </w:tcPr>
          <w:p w14:paraId="14F88232"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w:t>
            </w:r>
          </w:p>
        </w:tc>
        <w:tc>
          <w:tcPr>
            <w:tcW w:w="0" w:type="auto"/>
            <w:hideMark/>
          </w:tcPr>
          <w:p w14:paraId="1CA7880A" w14:textId="77777777" w:rsidR="00AC4931" w:rsidRPr="00AC4931" w:rsidRDefault="00AC4931" w:rsidP="00AC4931">
            <w:pPr>
              <w:widowControl/>
              <w:spacing w:before="120"/>
              <w:rPr>
                <w:rFonts w:ascii="Arial" w:eastAsia="宋体" w:hAnsi="Arial" w:cs="Arial"/>
                <w:kern w:val="0"/>
                <w:sz w:val="18"/>
                <w:szCs w:val="18"/>
              </w:rPr>
            </w:pPr>
            <w:r w:rsidRPr="00AC4931">
              <w:rPr>
                <w:rFonts w:ascii="Arial" w:eastAsia="宋体" w:hAnsi="Arial" w:cs="Arial"/>
                <w:kern w:val="0"/>
                <w:sz w:val="18"/>
                <w:szCs w:val="18"/>
              </w:rPr>
              <w:t>Confidential treatment requested as to portions of the exhibit. Confidential materials omitted and filed separately with the Securities and Exchange Commission.</w:t>
            </w:r>
          </w:p>
        </w:tc>
      </w:tr>
    </w:tbl>
    <w:p w14:paraId="355AE934" w14:textId="77777777" w:rsidR="00AC4931" w:rsidRPr="00AC4931" w:rsidRDefault="00AC4931" w:rsidP="00AC4931">
      <w:pPr>
        <w:widowControl/>
        <w:spacing w:before="120"/>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7BB132A6"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95</w:t>
      </w:r>
    </w:p>
    <w:p w14:paraId="57F10470"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54441986"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5394058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70A5737E"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2143EA48">
          <v:rect id="_x0000_i1122" style="width:0;height:1.5pt" o:hralign="center" o:hrstd="t" o:hrnoshade="t" o:hr="t" fillcolor="black" stroked="f"/>
        </w:pict>
      </w:r>
    </w:p>
    <w:p w14:paraId="164CAC5A"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167CAAAD"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7AC683E"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3C27F19C"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636CB467" w14:textId="77777777" w:rsidR="00AC4931" w:rsidRPr="00AC4931" w:rsidRDefault="00AC4931" w:rsidP="00AC4931">
      <w:pPr>
        <w:widowControl/>
        <w:jc w:val="left"/>
        <w:rPr>
          <w:rFonts w:ascii="Arial" w:eastAsia="宋体" w:hAnsi="Arial" w:cs="Arial"/>
          <w:b/>
          <w:bCs/>
          <w:color w:val="000000"/>
          <w:spacing w:val="-1"/>
          <w:kern w:val="0"/>
          <w:sz w:val="18"/>
          <w:szCs w:val="18"/>
        </w:rPr>
      </w:pPr>
      <w:r w:rsidRPr="00AC4931">
        <w:rPr>
          <w:rFonts w:ascii="Arial" w:eastAsia="宋体" w:hAnsi="Arial" w:cs="Arial"/>
          <w:b/>
          <w:bCs/>
          <w:color w:val="000000"/>
          <w:spacing w:val="-1"/>
          <w:kern w:val="0"/>
          <w:sz w:val="18"/>
          <w:szCs w:val="18"/>
        </w:rPr>
        <w:t>SIGNATURES</w:t>
      </w:r>
    </w:p>
    <w:p w14:paraId="5C51BF3D"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Pur</w:t>
      </w:r>
      <w:r w:rsidRPr="00AC4931">
        <w:rPr>
          <w:rFonts w:ascii="Arial" w:eastAsia="宋体" w:hAnsi="Arial" w:cs="Arial"/>
          <w:color w:val="000000"/>
          <w:spacing w:val="-1"/>
          <w:kern w:val="0"/>
          <w:sz w:val="18"/>
          <w:szCs w:val="18"/>
        </w:rPr>
        <w:t>s</w:t>
      </w:r>
      <w:r w:rsidRPr="00AC4931">
        <w:rPr>
          <w:rFonts w:ascii="Arial" w:eastAsia="宋体" w:hAnsi="Arial" w:cs="Arial"/>
          <w:color w:val="000000"/>
          <w:kern w:val="0"/>
          <w:sz w:val="18"/>
          <w:szCs w:val="18"/>
        </w:rPr>
        <w:t>uant</w:t>
      </w:r>
      <w:r w:rsidRPr="00AC4931">
        <w:rPr>
          <w:rFonts w:ascii="Arial" w:eastAsia="宋体" w:hAnsi="Arial" w:cs="Arial"/>
          <w:color w:val="000000"/>
          <w:spacing w:val="14"/>
          <w:kern w:val="0"/>
          <w:sz w:val="18"/>
          <w:szCs w:val="18"/>
        </w:rPr>
        <w:t> </w:t>
      </w:r>
      <w:r w:rsidRPr="00AC4931">
        <w:rPr>
          <w:rFonts w:ascii="Arial" w:eastAsia="宋体" w:hAnsi="Arial" w:cs="Arial"/>
          <w:color w:val="000000"/>
          <w:kern w:val="0"/>
          <w:sz w:val="18"/>
          <w:szCs w:val="18"/>
        </w:rPr>
        <w:t>to</w:t>
      </w:r>
      <w:r w:rsidRPr="00AC4931">
        <w:rPr>
          <w:rFonts w:ascii="Arial" w:eastAsia="宋体" w:hAnsi="Arial" w:cs="Arial"/>
          <w:color w:val="000000"/>
          <w:spacing w:val="3"/>
          <w:kern w:val="0"/>
          <w:sz w:val="18"/>
          <w:szCs w:val="18"/>
        </w:rPr>
        <w:t> </w:t>
      </w:r>
      <w:r w:rsidRPr="00AC4931">
        <w:rPr>
          <w:rFonts w:ascii="Arial" w:eastAsia="宋体" w:hAnsi="Arial" w:cs="Arial"/>
          <w:color w:val="000000"/>
          <w:kern w:val="0"/>
          <w:sz w:val="18"/>
          <w:szCs w:val="18"/>
        </w:rPr>
        <w:t>the</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requirements</w:t>
      </w:r>
      <w:r w:rsidRPr="00AC4931">
        <w:rPr>
          <w:rFonts w:ascii="Arial" w:eastAsia="宋体" w:hAnsi="Arial" w:cs="Arial"/>
          <w:color w:val="000000"/>
          <w:spacing w:val="20"/>
          <w:kern w:val="0"/>
          <w:sz w:val="18"/>
          <w:szCs w:val="18"/>
        </w:rPr>
        <w:t> </w:t>
      </w:r>
      <w:r w:rsidRPr="00AC4931">
        <w:rPr>
          <w:rFonts w:ascii="Arial" w:eastAsia="宋体" w:hAnsi="Arial" w:cs="Arial"/>
          <w:color w:val="000000"/>
          <w:kern w:val="0"/>
          <w:sz w:val="18"/>
          <w:szCs w:val="18"/>
        </w:rPr>
        <w:t>of</w:t>
      </w:r>
      <w:r w:rsidRPr="00AC4931">
        <w:rPr>
          <w:rFonts w:ascii="Arial" w:eastAsia="宋体" w:hAnsi="Arial" w:cs="Arial"/>
          <w:color w:val="000000"/>
          <w:spacing w:val="4"/>
          <w:kern w:val="0"/>
          <w:sz w:val="18"/>
          <w:szCs w:val="18"/>
        </w:rPr>
        <w:t> </w:t>
      </w:r>
      <w:r w:rsidRPr="00AC4931">
        <w:rPr>
          <w:rFonts w:ascii="Arial" w:eastAsia="宋体" w:hAnsi="Arial" w:cs="Arial"/>
          <w:color w:val="000000"/>
          <w:kern w:val="0"/>
          <w:sz w:val="18"/>
          <w:szCs w:val="18"/>
        </w:rPr>
        <w:t>Sec</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ion</w:t>
      </w:r>
      <w:r w:rsidRPr="00AC4931">
        <w:rPr>
          <w:rFonts w:ascii="Arial" w:eastAsia="宋体" w:hAnsi="Arial" w:cs="Arial"/>
          <w:color w:val="000000"/>
          <w:spacing w:val="11"/>
          <w:kern w:val="0"/>
          <w:sz w:val="18"/>
          <w:szCs w:val="18"/>
        </w:rPr>
        <w:t> </w:t>
      </w:r>
      <w:r w:rsidRPr="00AC4931">
        <w:rPr>
          <w:rFonts w:ascii="Arial" w:eastAsia="宋体" w:hAnsi="Arial" w:cs="Arial"/>
          <w:color w:val="000000"/>
          <w:kern w:val="0"/>
          <w:sz w:val="18"/>
          <w:szCs w:val="18"/>
        </w:rPr>
        <w:t>13</w:t>
      </w:r>
      <w:r w:rsidRPr="00AC4931">
        <w:rPr>
          <w:rFonts w:ascii="Arial" w:eastAsia="宋体" w:hAnsi="Arial" w:cs="Arial"/>
          <w:color w:val="000000"/>
          <w:spacing w:val="5"/>
          <w:kern w:val="0"/>
          <w:sz w:val="18"/>
          <w:szCs w:val="18"/>
        </w:rPr>
        <w:t> </w:t>
      </w:r>
      <w:r w:rsidRPr="00AC4931">
        <w:rPr>
          <w:rFonts w:ascii="Arial" w:eastAsia="宋体" w:hAnsi="Arial" w:cs="Arial"/>
          <w:color w:val="000000"/>
          <w:kern w:val="0"/>
          <w:sz w:val="18"/>
          <w:szCs w:val="18"/>
        </w:rPr>
        <w:t>or</w:t>
      </w:r>
      <w:r w:rsidRPr="00AC4931">
        <w:rPr>
          <w:rFonts w:ascii="Arial" w:eastAsia="宋体" w:hAnsi="Arial" w:cs="Arial"/>
          <w:color w:val="000000"/>
          <w:spacing w:val="3"/>
          <w:kern w:val="0"/>
          <w:sz w:val="18"/>
          <w:szCs w:val="18"/>
        </w:rPr>
        <w:t> </w:t>
      </w:r>
      <w:r w:rsidRPr="00AC4931">
        <w:rPr>
          <w:rFonts w:ascii="Arial" w:eastAsia="宋体" w:hAnsi="Arial" w:cs="Arial"/>
          <w:color w:val="000000"/>
          <w:kern w:val="0"/>
          <w:sz w:val="18"/>
          <w:szCs w:val="18"/>
        </w:rPr>
        <w:t>15(d)</w:t>
      </w:r>
      <w:r w:rsidRPr="00AC4931">
        <w:rPr>
          <w:rFonts w:ascii="Arial" w:eastAsia="宋体" w:hAnsi="Arial" w:cs="Arial"/>
          <w:color w:val="000000"/>
          <w:spacing w:val="9"/>
          <w:kern w:val="0"/>
          <w:sz w:val="18"/>
          <w:szCs w:val="18"/>
        </w:rPr>
        <w:t> </w:t>
      </w:r>
      <w:r w:rsidRPr="00AC4931">
        <w:rPr>
          <w:rFonts w:ascii="Arial" w:eastAsia="宋体" w:hAnsi="Arial" w:cs="Arial"/>
          <w:color w:val="000000"/>
          <w:kern w:val="0"/>
          <w:sz w:val="18"/>
          <w:szCs w:val="18"/>
        </w:rPr>
        <w:t>of</w:t>
      </w:r>
      <w:r w:rsidRPr="00AC4931">
        <w:rPr>
          <w:rFonts w:ascii="Arial" w:eastAsia="宋体" w:hAnsi="Arial" w:cs="Arial"/>
          <w:color w:val="000000"/>
          <w:spacing w:val="4"/>
          <w:kern w:val="0"/>
          <w:sz w:val="18"/>
          <w:szCs w:val="18"/>
        </w:rPr>
        <w:t> </w:t>
      </w:r>
      <w:r w:rsidRPr="00AC4931">
        <w:rPr>
          <w:rFonts w:ascii="Arial" w:eastAsia="宋体" w:hAnsi="Arial" w:cs="Arial"/>
          <w:color w:val="000000"/>
          <w:kern w:val="0"/>
          <w:sz w:val="18"/>
          <w:szCs w:val="18"/>
        </w:rPr>
        <w:t>the</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Secur</w:t>
      </w:r>
      <w:r w:rsidRPr="00AC4931">
        <w:rPr>
          <w:rFonts w:ascii="Arial" w:eastAsia="宋体" w:hAnsi="Arial" w:cs="Arial"/>
          <w:color w:val="000000"/>
          <w:spacing w:val="1"/>
          <w:kern w:val="0"/>
          <w:sz w:val="18"/>
          <w:szCs w:val="18"/>
        </w:rPr>
        <w:t>i</w:t>
      </w:r>
      <w:r w:rsidRPr="00AC4931">
        <w:rPr>
          <w:rFonts w:ascii="Arial" w:eastAsia="宋体" w:hAnsi="Arial" w:cs="Arial"/>
          <w:color w:val="000000"/>
          <w:kern w:val="0"/>
          <w:sz w:val="18"/>
          <w:szCs w:val="18"/>
        </w:rPr>
        <w:t>ties</w:t>
      </w:r>
      <w:r w:rsidRPr="00AC4931">
        <w:rPr>
          <w:rFonts w:ascii="Arial" w:eastAsia="宋体" w:hAnsi="Arial" w:cs="Arial"/>
          <w:color w:val="000000"/>
          <w:spacing w:val="16"/>
          <w:kern w:val="0"/>
          <w:sz w:val="18"/>
          <w:szCs w:val="18"/>
        </w:rPr>
        <w:t> </w:t>
      </w:r>
      <w:r w:rsidRPr="00AC4931">
        <w:rPr>
          <w:rFonts w:ascii="Arial" w:eastAsia="宋体" w:hAnsi="Arial" w:cs="Arial"/>
          <w:color w:val="000000"/>
          <w:kern w:val="0"/>
          <w:sz w:val="18"/>
          <w:szCs w:val="18"/>
        </w:rPr>
        <w:t>Exchange</w:t>
      </w:r>
      <w:r w:rsidRPr="00AC4931">
        <w:rPr>
          <w:rFonts w:ascii="Arial" w:eastAsia="宋体" w:hAnsi="Arial" w:cs="Arial"/>
          <w:color w:val="000000"/>
          <w:spacing w:val="16"/>
          <w:kern w:val="0"/>
          <w:sz w:val="18"/>
          <w:szCs w:val="18"/>
        </w:rPr>
        <w:t> </w:t>
      </w:r>
      <w:r w:rsidRPr="00AC4931">
        <w:rPr>
          <w:rFonts w:ascii="Arial" w:eastAsia="宋体" w:hAnsi="Arial" w:cs="Arial"/>
          <w:color w:val="000000"/>
          <w:kern w:val="0"/>
          <w:sz w:val="18"/>
          <w:szCs w:val="18"/>
        </w:rPr>
        <w:t>Act</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of</w:t>
      </w:r>
      <w:r w:rsidRPr="00AC4931">
        <w:rPr>
          <w:rFonts w:ascii="Arial" w:eastAsia="宋体" w:hAnsi="Arial" w:cs="Arial"/>
          <w:color w:val="000000"/>
          <w:spacing w:val="3"/>
          <w:kern w:val="0"/>
          <w:sz w:val="18"/>
          <w:szCs w:val="18"/>
        </w:rPr>
        <w:t> </w:t>
      </w:r>
      <w:r w:rsidRPr="00AC4931">
        <w:rPr>
          <w:rFonts w:ascii="Arial" w:eastAsia="宋体" w:hAnsi="Arial" w:cs="Arial"/>
          <w:color w:val="000000"/>
          <w:kern w:val="0"/>
          <w:sz w:val="18"/>
          <w:szCs w:val="18"/>
        </w:rPr>
        <w:t>1934,</w:t>
      </w:r>
      <w:r w:rsidRPr="00AC4931">
        <w:rPr>
          <w:rFonts w:ascii="Arial" w:eastAsia="宋体" w:hAnsi="Arial" w:cs="Arial"/>
          <w:color w:val="000000"/>
          <w:spacing w:val="10"/>
          <w:kern w:val="0"/>
          <w:sz w:val="18"/>
          <w:szCs w:val="18"/>
        </w:rPr>
        <w:t> </w:t>
      </w:r>
      <w:r w:rsidRPr="00AC4931">
        <w:rPr>
          <w:rFonts w:ascii="Arial" w:eastAsia="宋体" w:hAnsi="Arial" w:cs="Arial"/>
          <w:color w:val="000000"/>
          <w:kern w:val="0"/>
          <w:sz w:val="18"/>
          <w:szCs w:val="18"/>
        </w:rPr>
        <w:t>the</w:t>
      </w:r>
      <w:r w:rsidRPr="00AC4931">
        <w:rPr>
          <w:rFonts w:ascii="Arial" w:eastAsia="宋体" w:hAnsi="Arial" w:cs="Arial"/>
          <w:color w:val="000000"/>
          <w:spacing w:val="5"/>
          <w:kern w:val="0"/>
          <w:sz w:val="18"/>
          <w:szCs w:val="18"/>
        </w:rPr>
        <w:t> </w:t>
      </w:r>
      <w:r w:rsidRPr="00AC4931">
        <w:rPr>
          <w:rFonts w:ascii="Arial" w:eastAsia="宋体" w:hAnsi="Arial" w:cs="Arial"/>
          <w:color w:val="000000"/>
          <w:kern w:val="0"/>
          <w:sz w:val="18"/>
          <w:szCs w:val="18"/>
        </w:rPr>
        <w:t>regis</w:t>
      </w:r>
      <w:r w:rsidRPr="00AC4931">
        <w:rPr>
          <w:rFonts w:ascii="Arial" w:eastAsia="宋体" w:hAnsi="Arial" w:cs="Arial"/>
          <w:color w:val="000000"/>
          <w:spacing w:val="1"/>
          <w:kern w:val="0"/>
          <w:sz w:val="18"/>
          <w:szCs w:val="18"/>
        </w:rPr>
        <w:t>t</w:t>
      </w:r>
      <w:r w:rsidRPr="00AC4931">
        <w:rPr>
          <w:rFonts w:ascii="Arial" w:eastAsia="宋体" w:hAnsi="Arial" w:cs="Arial"/>
          <w:color w:val="000000"/>
          <w:kern w:val="0"/>
          <w:sz w:val="18"/>
          <w:szCs w:val="18"/>
        </w:rPr>
        <w:t>rant</w:t>
      </w:r>
      <w:r w:rsidRPr="00AC4931">
        <w:rPr>
          <w:rFonts w:ascii="Arial" w:eastAsia="宋体" w:hAnsi="Arial" w:cs="Arial"/>
          <w:color w:val="000000"/>
          <w:spacing w:val="15"/>
          <w:kern w:val="0"/>
          <w:sz w:val="18"/>
          <w:szCs w:val="18"/>
        </w:rPr>
        <w:t> </w:t>
      </w:r>
      <w:r w:rsidRPr="00AC4931">
        <w:rPr>
          <w:rFonts w:ascii="Arial" w:eastAsia="宋体" w:hAnsi="Arial" w:cs="Arial"/>
          <w:color w:val="000000"/>
          <w:kern w:val="0"/>
          <w:sz w:val="18"/>
          <w:szCs w:val="18"/>
        </w:rPr>
        <w:t>has</w:t>
      </w:r>
      <w:r w:rsidRPr="00AC4931">
        <w:rPr>
          <w:rFonts w:ascii="Arial" w:eastAsia="宋体" w:hAnsi="Arial" w:cs="Arial"/>
          <w:color w:val="000000"/>
          <w:spacing w:val="5"/>
          <w:kern w:val="0"/>
          <w:sz w:val="18"/>
          <w:szCs w:val="18"/>
        </w:rPr>
        <w:t> </w:t>
      </w:r>
      <w:r w:rsidRPr="00AC4931">
        <w:rPr>
          <w:rFonts w:ascii="Arial" w:eastAsia="宋体" w:hAnsi="Arial" w:cs="Arial"/>
          <w:color w:val="000000"/>
          <w:kern w:val="0"/>
          <w:sz w:val="18"/>
          <w:szCs w:val="18"/>
        </w:rPr>
        <w:t>duly</w:t>
      </w:r>
      <w:r w:rsidRPr="00AC4931">
        <w:rPr>
          <w:rFonts w:ascii="Arial" w:eastAsia="宋体" w:hAnsi="Arial" w:cs="Arial"/>
          <w:color w:val="000000"/>
          <w:spacing w:val="7"/>
          <w:kern w:val="0"/>
          <w:sz w:val="18"/>
          <w:szCs w:val="18"/>
        </w:rPr>
        <w:t> </w:t>
      </w:r>
      <w:r w:rsidRPr="00AC4931">
        <w:rPr>
          <w:rFonts w:ascii="Arial" w:eastAsia="宋体" w:hAnsi="Arial" w:cs="Arial"/>
          <w:color w:val="000000"/>
          <w:kern w:val="0"/>
          <w:sz w:val="18"/>
          <w:szCs w:val="18"/>
        </w:rPr>
        <w:t>caused</w:t>
      </w:r>
      <w:r w:rsidRPr="00AC4931">
        <w:rPr>
          <w:rFonts w:ascii="Arial" w:eastAsia="宋体" w:hAnsi="Arial" w:cs="Arial"/>
          <w:color w:val="000000"/>
          <w:spacing w:val="10"/>
          <w:kern w:val="0"/>
          <w:sz w:val="18"/>
          <w:szCs w:val="18"/>
        </w:rPr>
        <w:t> </w:t>
      </w:r>
      <w:r w:rsidRPr="00AC4931">
        <w:rPr>
          <w:rFonts w:ascii="Arial" w:eastAsia="宋体" w:hAnsi="Arial" w:cs="Arial"/>
          <w:color w:val="000000"/>
          <w:spacing w:val="1"/>
          <w:kern w:val="0"/>
          <w:sz w:val="18"/>
          <w:szCs w:val="18"/>
        </w:rPr>
        <w:t>t</w:t>
      </w:r>
      <w:r w:rsidRPr="00AC4931">
        <w:rPr>
          <w:rFonts w:ascii="Arial" w:eastAsia="宋体" w:hAnsi="Arial" w:cs="Arial"/>
          <w:color w:val="000000"/>
          <w:spacing w:val="-1"/>
          <w:kern w:val="0"/>
          <w:sz w:val="18"/>
          <w:szCs w:val="18"/>
        </w:rPr>
        <w:t>h</w:t>
      </w:r>
      <w:r w:rsidRPr="00AC4931">
        <w:rPr>
          <w:rFonts w:ascii="Arial" w:eastAsia="宋体" w:hAnsi="Arial" w:cs="Arial"/>
          <w:color w:val="000000"/>
          <w:kern w:val="0"/>
          <w:sz w:val="18"/>
          <w:szCs w:val="18"/>
        </w:rPr>
        <w:t>is</w:t>
      </w:r>
      <w:r w:rsidRPr="00AC4931">
        <w:rPr>
          <w:rFonts w:ascii="Arial" w:eastAsia="宋体" w:hAnsi="Arial" w:cs="Arial"/>
          <w:color w:val="000000"/>
          <w:spacing w:val="8"/>
          <w:kern w:val="0"/>
          <w:sz w:val="18"/>
          <w:szCs w:val="18"/>
        </w:rPr>
        <w:t> </w:t>
      </w:r>
      <w:r w:rsidRPr="00AC4931">
        <w:rPr>
          <w:rFonts w:ascii="Arial" w:eastAsia="宋体" w:hAnsi="Arial" w:cs="Arial"/>
          <w:color w:val="000000"/>
          <w:kern w:val="0"/>
          <w:sz w:val="18"/>
          <w:szCs w:val="18"/>
        </w:rPr>
        <w:t>rep</w:t>
      </w:r>
      <w:r w:rsidRPr="00AC4931">
        <w:rPr>
          <w:rFonts w:ascii="Arial" w:eastAsia="宋体" w:hAnsi="Arial" w:cs="Arial"/>
          <w:color w:val="000000"/>
          <w:spacing w:val="-1"/>
          <w:kern w:val="0"/>
          <w:sz w:val="18"/>
          <w:szCs w:val="18"/>
        </w:rPr>
        <w:t>o</w:t>
      </w:r>
      <w:r w:rsidRPr="00AC4931">
        <w:rPr>
          <w:rFonts w:ascii="Arial" w:eastAsia="宋体" w:hAnsi="Arial" w:cs="Arial"/>
          <w:color w:val="000000"/>
          <w:kern w:val="0"/>
          <w:sz w:val="18"/>
          <w:szCs w:val="18"/>
        </w:rPr>
        <w:t>rt to</w:t>
      </w:r>
      <w:r w:rsidRPr="00AC4931">
        <w:rPr>
          <w:rFonts w:ascii="Arial" w:eastAsia="宋体" w:hAnsi="Arial" w:cs="Arial"/>
          <w:color w:val="000000"/>
          <w:spacing w:val="3"/>
          <w:kern w:val="0"/>
          <w:sz w:val="18"/>
          <w:szCs w:val="18"/>
        </w:rPr>
        <w:t> </w:t>
      </w:r>
      <w:r w:rsidRPr="00AC4931">
        <w:rPr>
          <w:rFonts w:ascii="Arial" w:eastAsia="宋体" w:hAnsi="Arial" w:cs="Arial"/>
          <w:color w:val="000000"/>
          <w:kern w:val="0"/>
          <w:sz w:val="18"/>
          <w:szCs w:val="18"/>
        </w:rPr>
        <w:t>be</w:t>
      </w:r>
      <w:r w:rsidRPr="00AC4931">
        <w:rPr>
          <w:rFonts w:ascii="Arial" w:eastAsia="宋体" w:hAnsi="Arial" w:cs="Arial"/>
          <w:color w:val="000000"/>
          <w:spacing w:val="4"/>
          <w:kern w:val="0"/>
          <w:sz w:val="18"/>
          <w:szCs w:val="18"/>
        </w:rPr>
        <w:t> </w:t>
      </w:r>
      <w:r w:rsidRPr="00AC4931">
        <w:rPr>
          <w:rFonts w:ascii="Arial" w:eastAsia="宋体" w:hAnsi="Arial" w:cs="Arial"/>
          <w:color w:val="000000"/>
          <w:kern w:val="0"/>
          <w:sz w:val="18"/>
          <w:szCs w:val="18"/>
        </w:rPr>
        <w:t>signed</w:t>
      </w:r>
      <w:r w:rsidRPr="00AC4931">
        <w:rPr>
          <w:rFonts w:ascii="Arial" w:eastAsia="宋体" w:hAnsi="Arial" w:cs="Arial"/>
          <w:color w:val="000000"/>
          <w:spacing w:val="11"/>
          <w:kern w:val="0"/>
          <w:sz w:val="18"/>
          <w:szCs w:val="18"/>
        </w:rPr>
        <w:t> </w:t>
      </w:r>
      <w:r w:rsidRPr="00AC4931">
        <w:rPr>
          <w:rFonts w:ascii="Arial" w:eastAsia="宋体" w:hAnsi="Arial" w:cs="Arial"/>
          <w:color w:val="000000"/>
          <w:kern w:val="0"/>
          <w:sz w:val="18"/>
          <w:szCs w:val="18"/>
        </w:rPr>
        <w:t>on</w:t>
      </w:r>
      <w:r w:rsidRPr="00AC4931">
        <w:rPr>
          <w:rFonts w:ascii="Arial" w:eastAsia="宋体" w:hAnsi="Arial" w:cs="Arial"/>
          <w:color w:val="000000"/>
          <w:spacing w:val="4"/>
          <w:kern w:val="0"/>
          <w:sz w:val="18"/>
          <w:szCs w:val="18"/>
        </w:rPr>
        <w:t> </w:t>
      </w:r>
      <w:r w:rsidRPr="00AC4931">
        <w:rPr>
          <w:rFonts w:ascii="Arial" w:eastAsia="宋体" w:hAnsi="Arial" w:cs="Arial"/>
          <w:color w:val="000000"/>
          <w:spacing w:val="1"/>
          <w:kern w:val="0"/>
          <w:sz w:val="18"/>
          <w:szCs w:val="18"/>
        </w:rPr>
        <w:t>i</w:t>
      </w:r>
      <w:r w:rsidRPr="00AC4931">
        <w:rPr>
          <w:rFonts w:ascii="Arial" w:eastAsia="宋体" w:hAnsi="Arial" w:cs="Arial"/>
          <w:color w:val="000000"/>
          <w:kern w:val="0"/>
          <w:sz w:val="18"/>
          <w:szCs w:val="18"/>
        </w:rPr>
        <w:t>ts</w:t>
      </w:r>
      <w:r w:rsidRPr="00AC4931">
        <w:rPr>
          <w:rFonts w:ascii="Arial" w:eastAsia="宋体" w:hAnsi="Arial" w:cs="Arial"/>
          <w:color w:val="000000"/>
          <w:spacing w:val="5"/>
          <w:kern w:val="0"/>
          <w:sz w:val="18"/>
          <w:szCs w:val="18"/>
        </w:rPr>
        <w:t> </w:t>
      </w:r>
      <w:r w:rsidRPr="00AC4931">
        <w:rPr>
          <w:rFonts w:ascii="Arial" w:eastAsia="宋体" w:hAnsi="Arial" w:cs="Arial"/>
          <w:color w:val="000000"/>
          <w:kern w:val="0"/>
          <w:sz w:val="18"/>
          <w:szCs w:val="18"/>
        </w:rPr>
        <w:t>beha</w:t>
      </w:r>
      <w:r w:rsidRPr="00AC4931">
        <w:rPr>
          <w:rFonts w:ascii="Arial" w:eastAsia="宋体" w:hAnsi="Arial" w:cs="Arial"/>
          <w:color w:val="000000"/>
          <w:spacing w:val="1"/>
          <w:kern w:val="0"/>
          <w:sz w:val="18"/>
          <w:szCs w:val="18"/>
        </w:rPr>
        <w:t>l</w:t>
      </w:r>
      <w:r w:rsidRPr="00AC4931">
        <w:rPr>
          <w:rFonts w:ascii="Arial" w:eastAsia="宋体" w:hAnsi="Arial" w:cs="Arial"/>
          <w:color w:val="000000"/>
          <w:kern w:val="0"/>
          <w:sz w:val="18"/>
          <w:szCs w:val="18"/>
        </w:rPr>
        <w:t>f</w:t>
      </w:r>
      <w:r w:rsidRPr="00AC4931">
        <w:rPr>
          <w:rFonts w:ascii="Arial" w:eastAsia="宋体" w:hAnsi="Arial" w:cs="Arial"/>
          <w:color w:val="000000"/>
          <w:spacing w:val="10"/>
          <w:kern w:val="0"/>
          <w:sz w:val="18"/>
          <w:szCs w:val="18"/>
        </w:rPr>
        <w:t> </w:t>
      </w:r>
      <w:r w:rsidRPr="00AC4931">
        <w:rPr>
          <w:rFonts w:ascii="Arial" w:eastAsia="宋体" w:hAnsi="Arial" w:cs="Arial"/>
          <w:color w:val="000000"/>
          <w:kern w:val="0"/>
          <w:sz w:val="18"/>
          <w:szCs w:val="18"/>
        </w:rPr>
        <w:t>by</w:t>
      </w:r>
      <w:r w:rsidRPr="00AC4931">
        <w:rPr>
          <w:rFonts w:ascii="Arial" w:eastAsia="宋体" w:hAnsi="Arial" w:cs="Arial"/>
          <w:color w:val="000000"/>
          <w:spacing w:val="5"/>
          <w:kern w:val="0"/>
          <w:sz w:val="18"/>
          <w:szCs w:val="18"/>
        </w:rPr>
        <w:t> </w:t>
      </w:r>
      <w:r w:rsidRPr="00AC4931">
        <w:rPr>
          <w:rFonts w:ascii="Arial" w:eastAsia="宋体" w:hAnsi="Arial" w:cs="Arial"/>
          <w:color w:val="000000"/>
          <w:kern w:val="0"/>
          <w:sz w:val="18"/>
          <w:szCs w:val="18"/>
        </w:rPr>
        <w:t>the</w:t>
      </w:r>
      <w:r w:rsidRPr="00AC4931">
        <w:rPr>
          <w:rFonts w:ascii="Arial" w:eastAsia="宋体" w:hAnsi="Arial" w:cs="Arial"/>
          <w:color w:val="000000"/>
          <w:spacing w:val="5"/>
          <w:kern w:val="0"/>
          <w:sz w:val="18"/>
          <w:szCs w:val="18"/>
        </w:rPr>
        <w:t> </w:t>
      </w:r>
      <w:r w:rsidRPr="00AC4931">
        <w:rPr>
          <w:rFonts w:ascii="Arial" w:eastAsia="宋体" w:hAnsi="Arial" w:cs="Arial"/>
          <w:color w:val="000000"/>
          <w:kern w:val="0"/>
          <w:sz w:val="18"/>
          <w:szCs w:val="18"/>
        </w:rPr>
        <w:t>undersigned,</w:t>
      </w:r>
      <w:r w:rsidRPr="00AC4931">
        <w:rPr>
          <w:rFonts w:ascii="Arial" w:eastAsia="宋体" w:hAnsi="Arial" w:cs="Arial"/>
          <w:color w:val="000000"/>
          <w:spacing w:val="20"/>
          <w:kern w:val="0"/>
          <w:sz w:val="18"/>
          <w:szCs w:val="18"/>
        </w:rPr>
        <w:t> </w:t>
      </w:r>
      <w:r w:rsidRPr="00AC4931">
        <w:rPr>
          <w:rFonts w:ascii="Arial" w:eastAsia="宋体" w:hAnsi="Arial" w:cs="Arial"/>
          <w:color w:val="000000"/>
          <w:spacing w:val="1"/>
          <w:kern w:val="0"/>
          <w:sz w:val="18"/>
          <w:szCs w:val="18"/>
        </w:rPr>
        <w:t>th</w:t>
      </w:r>
      <w:r w:rsidRPr="00AC4931">
        <w:rPr>
          <w:rFonts w:ascii="Arial" w:eastAsia="宋体" w:hAnsi="Arial" w:cs="Arial"/>
          <w:color w:val="000000"/>
          <w:kern w:val="0"/>
          <w:sz w:val="18"/>
          <w:szCs w:val="18"/>
        </w:rPr>
        <w:t>ereunto</w:t>
      </w:r>
      <w:r w:rsidRPr="00AC4931">
        <w:rPr>
          <w:rFonts w:ascii="Arial" w:eastAsia="宋体" w:hAnsi="Arial" w:cs="Arial"/>
          <w:color w:val="000000"/>
          <w:spacing w:val="14"/>
          <w:kern w:val="0"/>
          <w:sz w:val="18"/>
          <w:szCs w:val="18"/>
        </w:rPr>
        <w:t> </w:t>
      </w:r>
      <w:r w:rsidRPr="00AC4931">
        <w:rPr>
          <w:rFonts w:ascii="Arial" w:eastAsia="宋体" w:hAnsi="Arial" w:cs="Arial"/>
          <w:color w:val="000000"/>
          <w:kern w:val="0"/>
          <w:sz w:val="18"/>
          <w:szCs w:val="18"/>
        </w:rPr>
        <w:t>duly</w:t>
      </w:r>
      <w:r w:rsidRPr="00AC4931">
        <w:rPr>
          <w:rFonts w:ascii="Arial" w:eastAsia="宋体" w:hAnsi="Arial" w:cs="Arial"/>
          <w:color w:val="000000"/>
          <w:spacing w:val="8"/>
          <w:kern w:val="0"/>
          <w:sz w:val="18"/>
          <w:szCs w:val="18"/>
        </w:rPr>
        <w:t> </w:t>
      </w:r>
      <w:r w:rsidRPr="00AC4931">
        <w:rPr>
          <w:rFonts w:ascii="Arial" w:eastAsia="宋体" w:hAnsi="Arial" w:cs="Arial"/>
          <w:color w:val="000000"/>
          <w:kern w:val="0"/>
          <w:sz w:val="18"/>
          <w:szCs w:val="18"/>
        </w:rPr>
        <w:t>author</w:t>
      </w:r>
      <w:r w:rsidRPr="00AC4931">
        <w:rPr>
          <w:rFonts w:ascii="Arial" w:eastAsia="宋体" w:hAnsi="Arial" w:cs="Arial"/>
          <w:color w:val="000000"/>
          <w:spacing w:val="1"/>
          <w:kern w:val="0"/>
          <w:sz w:val="18"/>
          <w:szCs w:val="18"/>
        </w:rPr>
        <w:t>i</w:t>
      </w:r>
      <w:r w:rsidRPr="00AC4931">
        <w:rPr>
          <w:rFonts w:ascii="Arial" w:eastAsia="宋体" w:hAnsi="Arial" w:cs="Arial"/>
          <w:color w:val="000000"/>
          <w:kern w:val="0"/>
          <w:sz w:val="18"/>
          <w:szCs w:val="18"/>
        </w:rPr>
        <w:t>zed,</w:t>
      </w:r>
      <w:r w:rsidRPr="00AC4931">
        <w:rPr>
          <w:rFonts w:ascii="Arial" w:eastAsia="宋体" w:hAnsi="Arial" w:cs="Arial"/>
          <w:color w:val="000000"/>
          <w:spacing w:val="16"/>
          <w:kern w:val="0"/>
          <w:sz w:val="18"/>
          <w:szCs w:val="18"/>
        </w:rPr>
        <w:t> </w:t>
      </w:r>
      <w:r w:rsidRPr="00AC4931">
        <w:rPr>
          <w:rFonts w:ascii="Arial" w:eastAsia="宋体" w:hAnsi="Arial" w:cs="Arial"/>
          <w:color w:val="000000"/>
          <w:kern w:val="0"/>
          <w:sz w:val="18"/>
          <w:szCs w:val="18"/>
        </w:rPr>
        <w:t>as</w:t>
      </w:r>
      <w:r w:rsidRPr="00AC4931">
        <w:rPr>
          <w:rFonts w:ascii="Arial" w:eastAsia="宋体" w:hAnsi="Arial" w:cs="Arial"/>
          <w:color w:val="000000"/>
          <w:spacing w:val="4"/>
          <w:kern w:val="0"/>
          <w:sz w:val="18"/>
          <w:szCs w:val="18"/>
        </w:rPr>
        <w:t> </w:t>
      </w:r>
      <w:r w:rsidRPr="00AC4931">
        <w:rPr>
          <w:rFonts w:ascii="Arial" w:eastAsia="宋体" w:hAnsi="Arial" w:cs="Arial"/>
          <w:color w:val="000000"/>
          <w:kern w:val="0"/>
          <w:sz w:val="18"/>
          <w:szCs w:val="18"/>
        </w:rPr>
        <w:t>of</w:t>
      </w:r>
      <w:r w:rsidRPr="00AC4931">
        <w:rPr>
          <w:rFonts w:ascii="Arial" w:eastAsia="宋体" w:hAnsi="Arial" w:cs="Arial"/>
          <w:color w:val="000000"/>
          <w:spacing w:val="3"/>
          <w:kern w:val="0"/>
          <w:sz w:val="18"/>
          <w:szCs w:val="18"/>
        </w:rPr>
        <w:t> </w:t>
      </w:r>
      <w:r w:rsidRPr="00AC4931">
        <w:rPr>
          <w:rFonts w:ascii="Arial" w:eastAsia="宋体" w:hAnsi="Arial" w:cs="Arial"/>
          <w:color w:val="000000"/>
          <w:kern w:val="0"/>
          <w:sz w:val="18"/>
          <w:szCs w:val="18"/>
        </w:rPr>
        <w:t>February</w:t>
      </w:r>
      <w:r w:rsidRPr="00AC4931">
        <w:rPr>
          <w:rFonts w:ascii="Arial" w:eastAsia="宋体" w:hAnsi="Arial" w:cs="Arial"/>
          <w:color w:val="000000"/>
          <w:spacing w:val="15"/>
          <w:kern w:val="0"/>
          <w:sz w:val="18"/>
          <w:szCs w:val="18"/>
        </w:rPr>
        <w:t> </w:t>
      </w:r>
      <w:r w:rsidRPr="00AC4931">
        <w:rPr>
          <w:rFonts w:ascii="Arial" w:eastAsia="宋体" w:hAnsi="Arial" w:cs="Arial"/>
          <w:color w:val="000000"/>
          <w:kern w:val="0"/>
          <w:sz w:val="18"/>
          <w:szCs w:val="18"/>
        </w:rPr>
        <w:t>19,</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2021.</w:t>
      </w:r>
    </w:p>
    <w:p w14:paraId="47226F9C"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10138" w:type="dxa"/>
        <w:tblCellMar>
          <w:left w:w="0" w:type="dxa"/>
          <w:right w:w="0" w:type="dxa"/>
        </w:tblCellMar>
        <w:tblLook w:val="04A0" w:firstRow="1" w:lastRow="0" w:firstColumn="1" w:lastColumn="0" w:noHBand="0" w:noVBand="1"/>
      </w:tblPr>
      <w:tblGrid>
        <w:gridCol w:w="676"/>
        <w:gridCol w:w="9462"/>
      </w:tblGrid>
      <w:tr w:rsidR="00AC4931" w:rsidRPr="00AC4931" w14:paraId="0BC23825" w14:textId="77777777" w:rsidTr="00AC4931">
        <w:tc>
          <w:tcPr>
            <w:tcW w:w="676" w:type="dxa"/>
            <w:vAlign w:val="center"/>
            <w:hideMark/>
          </w:tcPr>
          <w:p w14:paraId="0F209575" w14:textId="77777777" w:rsidR="00AC4931" w:rsidRPr="00AC4931" w:rsidRDefault="00AC4931" w:rsidP="00AC4931">
            <w:pPr>
              <w:widowControl/>
              <w:jc w:val="left"/>
              <w:rPr>
                <w:rFonts w:ascii="微软雅黑" w:eastAsia="微软雅黑" w:hAnsi="微软雅黑" w:cs="宋体" w:hint="eastAsia"/>
                <w:color w:val="000000"/>
                <w:kern w:val="0"/>
                <w:sz w:val="18"/>
                <w:szCs w:val="18"/>
              </w:rPr>
            </w:pPr>
          </w:p>
        </w:tc>
        <w:tc>
          <w:tcPr>
            <w:tcW w:w="9462" w:type="dxa"/>
            <w:vAlign w:val="center"/>
            <w:hideMark/>
          </w:tcPr>
          <w:p w14:paraId="70125E8D" w14:textId="77777777" w:rsidR="00AC4931" w:rsidRPr="00AC4931" w:rsidRDefault="00AC4931" w:rsidP="00AC4931">
            <w:pPr>
              <w:widowControl/>
              <w:jc w:val="left"/>
              <w:rPr>
                <w:rFonts w:ascii="Times New Roman" w:eastAsia="Times New Roman" w:hAnsi="Times New Roman" w:cs="Times New Roman"/>
                <w:kern w:val="0"/>
                <w:sz w:val="20"/>
                <w:szCs w:val="20"/>
              </w:rPr>
            </w:pPr>
          </w:p>
        </w:tc>
      </w:tr>
      <w:tr w:rsidR="00AC4931" w:rsidRPr="00AC4931" w14:paraId="0B5398A3" w14:textId="77777777" w:rsidTr="00AC4931">
        <w:tc>
          <w:tcPr>
            <w:tcW w:w="0" w:type="auto"/>
            <w:gridSpan w:val="2"/>
            <w:vAlign w:val="bottom"/>
            <w:hideMark/>
          </w:tcPr>
          <w:p w14:paraId="34F08CBA" w14:textId="77777777" w:rsidR="00AC4931" w:rsidRPr="00AC4931" w:rsidRDefault="00AC4931" w:rsidP="00AC4931">
            <w:pPr>
              <w:widowControl/>
              <w:jc w:val="left"/>
              <w:rPr>
                <w:rFonts w:ascii="Arial" w:eastAsia="宋体" w:hAnsi="Arial" w:cs="Arial"/>
                <w:spacing w:val="-1"/>
                <w:kern w:val="0"/>
                <w:sz w:val="18"/>
                <w:szCs w:val="18"/>
              </w:rPr>
            </w:pPr>
            <w:r w:rsidRPr="00AC4931">
              <w:rPr>
                <w:rFonts w:ascii="Arial" w:eastAsia="宋体" w:hAnsi="Arial" w:cs="Arial"/>
                <w:spacing w:val="-1"/>
                <w:kern w:val="0"/>
                <w:sz w:val="18"/>
                <w:szCs w:val="18"/>
              </w:rPr>
              <w:lastRenderedPageBreak/>
              <w:t>AUTOLIV,</w:t>
            </w:r>
            <w:r w:rsidRPr="00AC4931">
              <w:rPr>
                <w:rFonts w:ascii="Arial" w:eastAsia="宋体" w:hAnsi="Arial" w:cs="Arial"/>
                <w:spacing w:val="20"/>
                <w:kern w:val="0"/>
                <w:sz w:val="18"/>
                <w:szCs w:val="18"/>
              </w:rPr>
              <w:t> </w:t>
            </w:r>
            <w:r w:rsidRPr="00AC4931">
              <w:rPr>
                <w:rFonts w:ascii="Arial" w:eastAsia="宋体" w:hAnsi="Arial" w:cs="Arial"/>
                <w:spacing w:val="-1"/>
                <w:kern w:val="0"/>
                <w:sz w:val="18"/>
                <w:szCs w:val="18"/>
              </w:rPr>
              <w:t>INC.</w:t>
            </w:r>
          </w:p>
        </w:tc>
      </w:tr>
      <w:tr w:rsidR="00AC4931" w:rsidRPr="00AC4931" w14:paraId="7BEE2A9C" w14:textId="77777777" w:rsidTr="00AC4931">
        <w:tc>
          <w:tcPr>
            <w:tcW w:w="0" w:type="auto"/>
            <w:gridSpan w:val="2"/>
            <w:vAlign w:val="bottom"/>
            <w:hideMark/>
          </w:tcPr>
          <w:p w14:paraId="2113494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(Registrant)</w:t>
            </w:r>
          </w:p>
        </w:tc>
      </w:tr>
      <w:tr w:rsidR="00AC4931" w:rsidRPr="00AC4931" w14:paraId="5752B55C" w14:textId="77777777" w:rsidTr="00AC4931">
        <w:tc>
          <w:tcPr>
            <w:tcW w:w="0" w:type="auto"/>
            <w:gridSpan w:val="2"/>
            <w:vAlign w:val="bottom"/>
            <w:hideMark/>
          </w:tcPr>
          <w:p w14:paraId="7AE5A75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59B9BCF" w14:textId="77777777" w:rsidTr="00AC4931">
        <w:tc>
          <w:tcPr>
            <w:tcW w:w="0" w:type="auto"/>
            <w:vAlign w:val="bottom"/>
            <w:hideMark/>
          </w:tcPr>
          <w:p w14:paraId="1B048023"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By</w:t>
            </w:r>
          </w:p>
        </w:tc>
        <w:tc>
          <w:tcPr>
            <w:tcW w:w="0" w:type="auto"/>
            <w:tcBorders>
              <w:bottom w:val="single" w:sz="6" w:space="0" w:color="000000"/>
            </w:tcBorders>
            <w:vAlign w:val="bottom"/>
            <w:hideMark/>
          </w:tcPr>
          <w:p w14:paraId="16B47FE8"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w:t>
            </w:r>
            <w:r w:rsidRPr="00AC4931">
              <w:rPr>
                <w:rFonts w:ascii="Arial" w:eastAsia="宋体" w:hAnsi="Arial" w:cs="Arial"/>
                <w:spacing w:val="4"/>
                <w:kern w:val="0"/>
                <w:sz w:val="18"/>
                <w:szCs w:val="18"/>
              </w:rPr>
              <w:t> </w:t>
            </w:r>
            <w:r w:rsidRPr="00AC4931">
              <w:rPr>
                <w:rFonts w:ascii="Arial" w:eastAsia="宋体" w:hAnsi="Arial" w:cs="Arial"/>
                <w:spacing w:val="-1"/>
                <w:kern w:val="0"/>
                <w:sz w:val="18"/>
                <w:szCs w:val="18"/>
              </w:rPr>
              <w:t>Fredrik Westin</w:t>
            </w:r>
          </w:p>
        </w:tc>
      </w:tr>
      <w:tr w:rsidR="00AC4931" w:rsidRPr="00AC4931" w14:paraId="7731343A" w14:textId="77777777" w:rsidTr="00AC4931">
        <w:tc>
          <w:tcPr>
            <w:tcW w:w="0" w:type="auto"/>
            <w:vAlign w:val="bottom"/>
            <w:hideMark/>
          </w:tcPr>
          <w:p w14:paraId="5DB51456" w14:textId="77777777" w:rsidR="00AC4931" w:rsidRPr="00AC4931" w:rsidRDefault="00AC4931" w:rsidP="00AC4931">
            <w:pPr>
              <w:widowControl/>
              <w:jc w:val="left"/>
              <w:rPr>
                <w:rFonts w:ascii="Times New Roman" w:eastAsia="宋体" w:hAnsi="Times New Roman" w:cs="Times New Roman"/>
                <w:kern w:val="0"/>
                <w:sz w:val="20"/>
                <w:szCs w:val="20"/>
              </w:rPr>
            </w:pPr>
            <w:r w:rsidRPr="00AC4931">
              <w:rPr>
                <w:rFonts w:ascii="Times New Roman" w:eastAsia="宋体" w:hAnsi="Times New Roman" w:cs="Times New Roman"/>
                <w:kern w:val="0"/>
                <w:sz w:val="20"/>
                <w:szCs w:val="20"/>
              </w:rPr>
              <w:t> </w:t>
            </w:r>
          </w:p>
        </w:tc>
        <w:tc>
          <w:tcPr>
            <w:tcW w:w="0" w:type="auto"/>
            <w:vAlign w:val="bottom"/>
            <w:hideMark/>
          </w:tcPr>
          <w:p w14:paraId="06DA13AB"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Fredrik Westin</w:t>
            </w:r>
          </w:p>
        </w:tc>
      </w:tr>
      <w:tr w:rsidR="00AC4931" w:rsidRPr="00AC4931" w14:paraId="7FB22738" w14:textId="77777777" w:rsidTr="00AC4931">
        <w:tc>
          <w:tcPr>
            <w:tcW w:w="0" w:type="auto"/>
            <w:vAlign w:val="bottom"/>
            <w:hideMark/>
          </w:tcPr>
          <w:p w14:paraId="35AD7C3F"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0" w:type="auto"/>
            <w:vAlign w:val="bottom"/>
            <w:hideMark/>
          </w:tcPr>
          <w:p w14:paraId="5B845B5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Chief</w:t>
            </w:r>
            <w:r w:rsidRPr="00AC4931">
              <w:rPr>
                <w:rFonts w:ascii="Arial" w:eastAsia="宋体" w:hAnsi="Arial" w:cs="Arial"/>
                <w:spacing w:val="8"/>
                <w:kern w:val="0"/>
                <w:sz w:val="18"/>
                <w:szCs w:val="18"/>
              </w:rPr>
              <w:t> </w:t>
            </w:r>
            <w:r w:rsidRPr="00AC4931">
              <w:rPr>
                <w:rFonts w:ascii="Arial" w:eastAsia="宋体" w:hAnsi="Arial" w:cs="Arial"/>
                <w:kern w:val="0"/>
                <w:sz w:val="18"/>
                <w:szCs w:val="18"/>
              </w:rPr>
              <w:t>Financial</w:t>
            </w:r>
            <w:r w:rsidRPr="00AC4931">
              <w:rPr>
                <w:rFonts w:ascii="Arial" w:eastAsia="宋体" w:hAnsi="Arial" w:cs="Arial"/>
                <w:spacing w:val="14"/>
                <w:kern w:val="0"/>
                <w:sz w:val="18"/>
                <w:szCs w:val="18"/>
              </w:rPr>
              <w:t> </w:t>
            </w:r>
            <w:r w:rsidRPr="00AC4931">
              <w:rPr>
                <w:rFonts w:ascii="Arial" w:eastAsia="宋体" w:hAnsi="Arial" w:cs="Arial"/>
                <w:kern w:val="0"/>
                <w:sz w:val="18"/>
                <w:szCs w:val="18"/>
              </w:rPr>
              <w:t>Officer</w:t>
            </w:r>
          </w:p>
        </w:tc>
      </w:tr>
    </w:tbl>
    <w:p w14:paraId="70979C22"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034DA9E2" w14:textId="77777777" w:rsidR="00AC4931" w:rsidRPr="00AC4931" w:rsidRDefault="00AC4931" w:rsidP="00AC4931">
      <w:pPr>
        <w:widowControl/>
        <w:spacing w:before="60"/>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Pursuant</w:t>
      </w:r>
      <w:r w:rsidRPr="00AC4931">
        <w:rPr>
          <w:rFonts w:ascii="Arial" w:eastAsia="宋体" w:hAnsi="Arial" w:cs="Arial"/>
          <w:color w:val="000000"/>
          <w:spacing w:val="14"/>
          <w:kern w:val="0"/>
          <w:sz w:val="18"/>
          <w:szCs w:val="18"/>
        </w:rPr>
        <w:t> </w:t>
      </w:r>
      <w:r w:rsidRPr="00AC4931">
        <w:rPr>
          <w:rFonts w:ascii="Arial" w:eastAsia="宋体" w:hAnsi="Arial" w:cs="Arial"/>
          <w:color w:val="000000"/>
          <w:kern w:val="0"/>
          <w:sz w:val="18"/>
          <w:szCs w:val="18"/>
        </w:rPr>
        <w:t>to</w:t>
      </w:r>
      <w:r w:rsidRPr="00AC4931">
        <w:rPr>
          <w:rFonts w:ascii="Arial" w:eastAsia="宋体" w:hAnsi="Arial" w:cs="Arial"/>
          <w:color w:val="000000"/>
          <w:spacing w:val="3"/>
          <w:kern w:val="0"/>
          <w:sz w:val="18"/>
          <w:szCs w:val="18"/>
        </w:rPr>
        <w:t> </w:t>
      </w:r>
      <w:r w:rsidRPr="00AC4931">
        <w:rPr>
          <w:rFonts w:ascii="Arial" w:eastAsia="宋体" w:hAnsi="Arial" w:cs="Arial"/>
          <w:color w:val="000000"/>
          <w:spacing w:val="1"/>
          <w:kern w:val="0"/>
          <w:sz w:val="18"/>
          <w:szCs w:val="18"/>
        </w:rPr>
        <w:t>t</w:t>
      </w:r>
      <w:r w:rsidRPr="00AC4931">
        <w:rPr>
          <w:rFonts w:ascii="Arial" w:eastAsia="宋体" w:hAnsi="Arial" w:cs="Arial"/>
          <w:color w:val="000000"/>
          <w:spacing w:val="-1"/>
          <w:kern w:val="0"/>
          <w:sz w:val="18"/>
          <w:szCs w:val="18"/>
        </w:rPr>
        <w:t>h</w:t>
      </w:r>
      <w:r w:rsidRPr="00AC4931">
        <w:rPr>
          <w:rFonts w:ascii="Arial" w:eastAsia="宋体" w:hAnsi="Arial" w:cs="Arial"/>
          <w:color w:val="000000"/>
          <w:kern w:val="0"/>
          <w:sz w:val="18"/>
          <w:szCs w:val="18"/>
        </w:rPr>
        <w:t>e</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requirements</w:t>
      </w:r>
      <w:r w:rsidRPr="00AC4931">
        <w:rPr>
          <w:rFonts w:ascii="Arial" w:eastAsia="宋体" w:hAnsi="Arial" w:cs="Arial"/>
          <w:color w:val="000000"/>
          <w:spacing w:val="20"/>
          <w:kern w:val="0"/>
          <w:sz w:val="18"/>
          <w:szCs w:val="18"/>
        </w:rPr>
        <w:t> </w:t>
      </w:r>
      <w:r w:rsidRPr="00AC4931">
        <w:rPr>
          <w:rFonts w:ascii="Arial" w:eastAsia="宋体" w:hAnsi="Arial" w:cs="Arial"/>
          <w:color w:val="000000"/>
          <w:kern w:val="0"/>
          <w:sz w:val="18"/>
          <w:szCs w:val="18"/>
        </w:rPr>
        <w:t>of</w:t>
      </w:r>
      <w:r w:rsidRPr="00AC4931">
        <w:rPr>
          <w:rFonts w:ascii="Arial" w:eastAsia="宋体" w:hAnsi="Arial" w:cs="Arial"/>
          <w:color w:val="000000"/>
          <w:spacing w:val="4"/>
          <w:kern w:val="0"/>
          <w:sz w:val="18"/>
          <w:szCs w:val="18"/>
        </w:rPr>
        <w:t> </w:t>
      </w:r>
      <w:r w:rsidRPr="00AC4931">
        <w:rPr>
          <w:rFonts w:ascii="Arial" w:eastAsia="宋体" w:hAnsi="Arial" w:cs="Arial"/>
          <w:color w:val="000000"/>
          <w:kern w:val="0"/>
          <w:sz w:val="18"/>
          <w:szCs w:val="18"/>
        </w:rPr>
        <w:t>the</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Securities</w:t>
      </w:r>
      <w:r w:rsidRPr="00AC4931">
        <w:rPr>
          <w:rFonts w:ascii="Arial" w:eastAsia="宋体" w:hAnsi="Arial" w:cs="Arial"/>
          <w:color w:val="000000"/>
          <w:spacing w:val="16"/>
          <w:kern w:val="0"/>
          <w:sz w:val="18"/>
          <w:szCs w:val="18"/>
        </w:rPr>
        <w:t> </w:t>
      </w:r>
      <w:r w:rsidRPr="00AC4931">
        <w:rPr>
          <w:rFonts w:ascii="Arial" w:eastAsia="宋体" w:hAnsi="Arial" w:cs="Arial"/>
          <w:color w:val="000000"/>
          <w:kern w:val="0"/>
          <w:sz w:val="18"/>
          <w:szCs w:val="18"/>
        </w:rPr>
        <w:t>Exchange</w:t>
      </w:r>
      <w:r w:rsidRPr="00AC4931">
        <w:rPr>
          <w:rFonts w:ascii="Arial" w:eastAsia="宋体" w:hAnsi="Arial" w:cs="Arial"/>
          <w:color w:val="000000"/>
          <w:spacing w:val="16"/>
          <w:kern w:val="0"/>
          <w:sz w:val="18"/>
          <w:szCs w:val="18"/>
        </w:rPr>
        <w:t> </w:t>
      </w:r>
      <w:r w:rsidRPr="00AC4931">
        <w:rPr>
          <w:rFonts w:ascii="Arial" w:eastAsia="宋体" w:hAnsi="Arial" w:cs="Arial"/>
          <w:color w:val="000000"/>
          <w:kern w:val="0"/>
          <w:sz w:val="18"/>
          <w:szCs w:val="18"/>
        </w:rPr>
        <w:t>Act</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of</w:t>
      </w:r>
      <w:r w:rsidRPr="00AC4931">
        <w:rPr>
          <w:rFonts w:ascii="Arial" w:eastAsia="宋体" w:hAnsi="Arial" w:cs="Arial"/>
          <w:color w:val="000000"/>
          <w:spacing w:val="2"/>
          <w:kern w:val="0"/>
          <w:sz w:val="18"/>
          <w:szCs w:val="18"/>
        </w:rPr>
        <w:t> </w:t>
      </w:r>
      <w:r w:rsidRPr="00AC4931">
        <w:rPr>
          <w:rFonts w:ascii="Arial" w:eastAsia="宋体" w:hAnsi="Arial" w:cs="Arial"/>
          <w:color w:val="000000"/>
          <w:kern w:val="0"/>
          <w:sz w:val="18"/>
          <w:szCs w:val="18"/>
        </w:rPr>
        <w:t>1934,</w:t>
      </w:r>
      <w:r w:rsidRPr="00AC4931">
        <w:rPr>
          <w:rFonts w:ascii="Arial" w:eastAsia="宋体" w:hAnsi="Arial" w:cs="Arial"/>
          <w:color w:val="000000"/>
          <w:spacing w:val="9"/>
          <w:kern w:val="0"/>
          <w:sz w:val="18"/>
          <w:szCs w:val="18"/>
        </w:rPr>
        <w:t> </w:t>
      </w:r>
      <w:r w:rsidRPr="00AC4931">
        <w:rPr>
          <w:rFonts w:ascii="Arial" w:eastAsia="宋体" w:hAnsi="Arial" w:cs="Arial"/>
          <w:color w:val="000000"/>
          <w:spacing w:val="1"/>
          <w:kern w:val="0"/>
          <w:sz w:val="18"/>
          <w:szCs w:val="18"/>
        </w:rPr>
        <w:t>t</w:t>
      </w:r>
      <w:r w:rsidRPr="00AC4931">
        <w:rPr>
          <w:rFonts w:ascii="Arial" w:eastAsia="宋体" w:hAnsi="Arial" w:cs="Arial"/>
          <w:color w:val="000000"/>
          <w:spacing w:val="-1"/>
          <w:kern w:val="0"/>
          <w:sz w:val="18"/>
          <w:szCs w:val="18"/>
        </w:rPr>
        <w:t>h</w:t>
      </w:r>
      <w:r w:rsidRPr="00AC4931">
        <w:rPr>
          <w:rFonts w:ascii="Arial" w:eastAsia="宋体" w:hAnsi="Arial" w:cs="Arial"/>
          <w:color w:val="000000"/>
          <w:kern w:val="0"/>
          <w:sz w:val="18"/>
          <w:szCs w:val="18"/>
        </w:rPr>
        <w:t>is</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report</w:t>
      </w:r>
      <w:r w:rsidRPr="00AC4931">
        <w:rPr>
          <w:rFonts w:ascii="Arial" w:eastAsia="宋体" w:hAnsi="Arial" w:cs="Arial"/>
          <w:color w:val="000000"/>
          <w:spacing w:val="10"/>
          <w:kern w:val="0"/>
          <w:sz w:val="18"/>
          <w:szCs w:val="18"/>
        </w:rPr>
        <w:t> </w:t>
      </w:r>
      <w:r w:rsidRPr="00AC4931">
        <w:rPr>
          <w:rFonts w:ascii="Arial" w:eastAsia="宋体" w:hAnsi="Arial" w:cs="Arial"/>
          <w:color w:val="000000"/>
          <w:kern w:val="0"/>
          <w:sz w:val="18"/>
          <w:szCs w:val="18"/>
        </w:rPr>
        <w:t>has</w:t>
      </w:r>
      <w:r w:rsidRPr="00AC4931">
        <w:rPr>
          <w:rFonts w:ascii="Arial" w:eastAsia="宋体" w:hAnsi="Arial" w:cs="Arial"/>
          <w:color w:val="000000"/>
          <w:spacing w:val="5"/>
          <w:kern w:val="0"/>
          <w:sz w:val="18"/>
          <w:szCs w:val="18"/>
        </w:rPr>
        <w:t> </w:t>
      </w:r>
      <w:r w:rsidRPr="00AC4931">
        <w:rPr>
          <w:rFonts w:ascii="Arial" w:eastAsia="宋体" w:hAnsi="Arial" w:cs="Arial"/>
          <w:color w:val="000000"/>
          <w:kern w:val="0"/>
          <w:sz w:val="18"/>
          <w:szCs w:val="18"/>
        </w:rPr>
        <w:t>been</w:t>
      </w:r>
      <w:r w:rsidRPr="00AC4931">
        <w:rPr>
          <w:rFonts w:ascii="Arial" w:eastAsia="宋体" w:hAnsi="Arial" w:cs="Arial"/>
          <w:color w:val="000000"/>
          <w:spacing w:val="8"/>
          <w:kern w:val="0"/>
          <w:sz w:val="18"/>
          <w:szCs w:val="18"/>
        </w:rPr>
        <w:t> </w:t>
      </w:r>
      <w:r w:rsidRPr="00AC4931">
        <w:rPr>
          <w:rFonts w:ascii="Arial" w:eastAsia="宋体" w:hAnsi="Arial" w:cs="Arial"/>
          <w:color w:val="000000"/>
          <w:kern w:val="0"/>
          <w:sz w:val="18"/>
          <w:szCs w:val="18"/>
        </w:rPr>
        <w:t>s</w:t>
      </w:r>
      <w:r w:rsidRPr="00AC4931">
        <w:rPr>
          <w:rFonts w:ascii="Arial" w:eastAsia="宋体" w:hAnsi="Arial" w:cs="Arial"/>
          <w:color w:val="000000"/>
          <w:spacing w:val="1"/>
          <w:kern w:val="0"/>
          <w:sz w:val="18"/>
          <w:szCs w:val="18"/>
        </w:rPr>
        <w:t>i</w:t>
      </w:r>
      <w:r w:rsidRPr="00AC4931">
        <w:rPr>
          <w:rFonts w:ascii="Arial" w:eastAsia="宋体" w:hAnsi="Arial" w:cs="Arial"/>
          <w:color w:val="000000"/>
          <w:kern w:val="0"/>
          <w:sz w:val="18"/>
          <w:szCs w:val="18"/>
        </w:rPr>
        <w:t>gned</w:t>
      </w:r>
      <w:r w:rsidRPr="00AC4931">
        <w:rPr>
          <w:rFonts w:ascii="Arial" w:eastAsia="宋体" w:hAnsi="Arial" w:cs="Arial"/>
          <w:color w:val="000000"/>
          <w:spacing w:val="10"/>
          <w:kern w:val="0"/>
          <w:sz w:val="18"/>
          <w:szCs w:val="18"/>
        </w:rPr>
        <w:t> </w:t>
      </w:r>
      <w:r w:rsidRPr="00AC4931">
        <w:rPr>
          <w:rFonts w:ascii="Arial" w:eastAsia="宋体" w:hAnsi="Arial" w:cs="Arial"/>
          <w:color w:val="000000"/>
          <w:kern w:val="0"/>
          <w:sz w:val="18"/>
          <w:szCs w:val="18"/>
        </w:rPr>
        <w:t>below</w:t>
      </w:r>
      <w:r w:rsidRPr="00AC4931">
        <w:rPr>
          <w:rFonts w:ascii="Arial" w:eastAsia="宋体" w:hAnsi="Arial" w:cs="Arial"/>
          <w:color w:val="000000"/>
          <w:spacing w:val="9"/>
          <w:kern w:val="0"/>
          <w:sz w:val="18"/>
          <w:szCs w:val="18"/>
        </w:rPr>
        <w:t> </w:t>
      </w:r>
      <w:r w:rsidRPr="00AC4931">
        <w:rPr>
          <w:rFonts w:ascii="Arial" w:eastAsia="宋体" w:hAnsi="Arial" w:cs="Arial"/>
          <w:color w:val="000000"/>
          <w:kern w:val="0"/>
          <w:sz w:val="18"/>
          <w:szCs w:val="18"/>
        </w:rPr>
        <w:t>by</w:t>
      </w:r>
      <w:r w:rsidRPr="00AC4931">
        <w:rPr>
          <w:rFonts w:ascii="Arial" w:eastAsia="宋体" w:hAnsi="Arial" w:cs="Arial"/>
          <w:color w:val="000000"/>
          <w:spacing w:val="5"/>
          <w:kern w:val="0"/>
          <w:sz w:val="18"/>
          <w:szCs w:val="18"/>
        </w:rPr>
        <w:t> </w:t>
      </w:r>
      <w:r w:rsidRPr="00AC4931">
        <w:rPr>
          <w:rFonts w:ascii="Arial" w:eastAsia="宋体" w:hAnsi="Arial" w:cs="Arial"/>
          <w:color w:val="000000"/>
          <w:kern w:val="0"/>
          <w:sz w:val="18"/>
          <w:szCs w:val="18"/>
        </w:rPr>
        <w:t>the</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following</w:t>
      </w:r>
      <w:r w:rsidRPr="00AC4931">
        <w:rPr>
          <w:rFonts w:ascii="Arial" w:eastAsia="宋体" w:hAnsi="Arial" w:cs="Arial"/>
          <w:color w:val="000000"/>
          <w:spacing w:val="16"/>
          <w:kern w:val="0"/>
          <w:sz w:val="18"/>
          <w:szCs w:val="18"/>
        </w:rPr>
        <w:t> </w:t>
      </w:r>
      <w:r w:rsidRPr="00AC4931">
        <w:rPr>
          <w:rFonts w:ascii="Arial" w:eastAsia="宋体" w:hAnsi="Arial" w:cs="Arial"/>
          <w:color w:val="000000"/>
          <w:kern w:val="0"/>
          <w:sz w:val="18"/>
          <w:szCs w:val="18"/>
        </w:rPr>
        <w:t>persons</w:t>
      </w:r>
      <w:r w:rsidRPr="00AC4931">
        <w:rPr>
          <w:rFonts w:ascii="Arial" w:eastAsia="宋体" w:hAnsi="Arial" w:cs="Arial"/>
          <w:color w:val="000000"/>
          <w:spacing w:val="12"/>
          <w:kern w:val="0"/>
          <w:sz w:val="18"/>
          <w:szCs w:val="18"/>
        </w:rPr>
        <w:t> </w:t>
      </w:r>
      <w:r w:rsidRPr="00AC4931">
        <w:rPr>
          <w:rFonts w:ascii="Arial" w:eastAsia="宋体" w:hAnsi="Arial" w:cs="Arial"/>
          <w:color w:val="000000"/>
          <w:kern w:val="0"/>
          <w:sz w:val="18"/>
          <w:szCs w:val="18"/>
        </w:rPr>
        <w:t>on behalf</w:t>
      </w:r>
      <w:r w:rsidRPr="00AC4931">
        <w:rPr>
          <w:rFonts w:ascii="Arial" w:eastAsia="宋体" w:hAnsi="Arial" w:cs="Arial"/>
          <w:color w:val="000000"/>
          <w:spacing w:val="10"/>
          <w:kern w:val="0"/>
          <w:sz w:val="18"/>
          <w:szCs w:val="18"/>
        </w:rPr>
        <w:t> </w:t>
      </w:r>
      <w:r w:rsidRPr="00AC4931">
        <w:rPr>
          <w:rFonts w:ascii="Arial" w:eastAsia="宋体" w:hAnsi="Arial" w:cs="Arial"/>
          <w:color w:val="000000"/>
          <w:kern w:val="0"/>
          <w:sz w:val="18"/>
          <w:szCs w:val="18"/>
        </w:rPr>
        <w:t>of</w:t>
      </w:r>
      <w:r w:rsidRPr="00AC4931">
        <w:rPr>
          <w:rFonts w:ascii="Arial" w:eastAsia="宋体" w:hAnsi="Arial" w:cs="Arial"/>
          <w:color w:val="000000"/>
          <w:spacing w:val="4"/>
          <w:kern w:val="0"/>
          <w:sz w:val="18"/>
          <w:szCs w:val="18"/>
        </w:rPr>
        <w:t> </w:t>
      </w:r>
      <w:r w:rsidRPr="00AC4931">
        <w:rPr>
          <w:rFonts w:ascii="Arial" w:eastAsia="宋体" w:hAnsi="Arial" w:cs="Arial"/>
          <w:color w:val="000000"/>
          <w:kern w:val="0"/>
          <w:sz w:val="18"/>
          <w:szCs w:val="18"/>
        </w:rPr>
        <w:t>the</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registrant</w:t>
      </w:r>
      <w:r w:rsidRPr="00AC4931">
        <w:rPr>
          <w:rFonts w:ascii="Arial" w:eastAsia="宋体" w:hAnsi="Arial" w:cs="Arial"/>
          <w:color w:val="000000"/>
          <w:spacing w:val="15"/>
          <w:kern w:val="0"/>
          <w:sz w:val="18"/>
          <w:szCs w:val="18"/>
        </w:rPr>
        <w:t> </w:t>
      </w:r>
      <w:r w:rsidRPr="00AC4931">
        <w:rPr>
          <w:rFonts w:ascii="Arial" w:eastAsia="宋体" w:hAnsi="Arial" w:cs="Arial"/>
          <w:color w:val="000000"/>
          <w:kern w:val="0"/>
          <w:sz w:val="18"/>
          <w:szCs w:val="18"/>
        </w:rPr>
        <w:t>and</w:t>
      </w:r>
      <w:r w:rsidRPr="00AC4931">
        <w:rPr>
          <w:rFonts w:ascii="Arial" w:eastAsia="宋体" w:hAnsi="Arial" w:cs="Arial"/>
          <w:color w:val="000000"/>
          <w:spacing w:val="5"/>
          <w:kern w:val="0"/>
          <w:sz w:val="18"/>
          <w:szCs w:val="18"/>
        </w:rPr>
        <w:t> </w:t>
      </w:r>
      <w:r w:rsidRPr="00AC4931">
        <w:rPr>
          <w:rFonts w:ascii="Arial" w:eastAsia="宋体" w:hAnsi="Arial" w:cs="Arial"/>
          <w:color w:val="000000"/>
          <w:kern w:val="0"/>
          <w:sz w:val="18"/>
          <w:szCs w:val="18"/>
        </w:rPr>
        <w:t>in</w:t>
      </w:r>
      <w:r w:rsidRPr="00AC4931">
        <w:rPr>
          <w:rFonts w:ascii="Arial" w:eastAsia="宋体" w:hAnsi="Arial" w:cs="Arial"/>
          <w:color w:val="000000"/>
          <w:spacing w:val="4"/>
          <w:kern w:val="0"/>
          <w:sz w:val="18"/>
          <w:szCs w:val="18"/>
        </w:rPr>
        <w:t> </w:t>
      </w:r>
      <w:r w:rsidRPr="00AC4931">
        <w:rPr>
          <w:rFonts w:ascii="Arial" w:eastAsia="宋体" w:hAnsi="Arial" w:cs="Arial"/>
          <w:color w:val="000000"/>
          <w:kern w:val="0"/>
          <w:sz w:val="18"/>
          <w:szCs w:val="18"/>
        </w:rPr>
        <w:t>the</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capac</w:t>
      </w:r>
      <w:r w:rsidRPr="00AC4931">
        <w:rPr>
          <w:rFonts w:ascii="Arial" w:eastAsia="宋体" w:hAnsi="Arial" w:cs="Arial"/>
          <w:color w:val="000000"/>
          <w:spacing w:val="-3"/>
          <w:kern w:val="0"/>
          <w:sz w:val="18"/>
          <w:szCs w:val="18"/>
        </w:rPr>
        <w:t>i</w:t>
      </w:r>
      <w:r w:rsidRPr="00AC4931">
        <w:rPr>
          <w:rFonts w:ascii="Arial" w:eastAsia="宋体" w:hAnsi="Arial" w:cs="Arial"/>
          <w:color w:val="000000"/>
          <w:kern w:val="0"/>
          <w:sz w:val="18"/>
          <w:szCs w:val="18"/>
        </w:rPr>
        <w:t>ties</w:t>
      </w:r>
      <w:r w:rsidRPr="00AC4931">
        <w:rPr>
          <w:rFonts w:ascii="Arial" w:eastAsia="宋体" w:hAnsi="Arial" w:cs="Arial"/>
          <w:color w:val="000000"/>
          <w:spacing w:val="16"/>
          <w:kern w:val="0"/>
          <w:sz w:val="18"/>
          <w:szCs w:val="18"/>
        </w:rPr>
        <w:t> </w:t>
      </w:r>
      <w:r w:rsidRPr="00AC4931">
        <w:rPr>
          <w:rFonts w:ascii="Arial" w:eastAsia="宋体" w:hAnsi="Arial" w:cs="Arial"/>
          <w:color w:val="000000"/>
          <w:kern w:val="0"/>
          <w:sz w:val="18"/>
          <w:szCs w:val="18"/>
        </w:rPr>
        <w:t>indicated,</w:t>
      </w:r>
      <w:r w:rsidRPr="00AC4931">
        <w:rPr>
          <w:rFonts w:ascii="Arial" w:eastAsia="宋体" w:hAnsi="Arial" w:cs="Arial"/>
          <w:color w:val="000000"/>
          <w:spacing w:val="16"/>
          <w:kern w:val="0"/>
          <w:sz w:val="18"/>
          <w:szCs w:val="18"/>
        </w:rPr>
        <w:t> </w:t>
      </w:r>
      <w:r w:rsidRPr="00AC4931">
        <w:rPr>
          <w:rFonts w:ascii="Arial" w:eastAsia="宋体" w:hAnsi="Arial" w:cs="Arial"/>
          <w:color w:val="000000"/>
          <w:kern w:val="0"/>
          <w:sz w:val="18"/>
          <w:szCs w:val="18"/>
        </w:rPr>
        <w:t>as</w:t>
      </w:r>
      <w:r w:rsidRPr="00AC4931">
        <w:rPr>
          <w:rFonts w:ascii="Arial" w:eastAsia="宋体" w:hAnsi="Arial" w:cs="Arial"/>
          <w:color w:val="000000"/>
          <w:spacing w:val="3"/>
          <w:kern w:val="0"/>
          <w:sz w:val="18"/>
          <w:szCs w:val="18"/>
        </w:rPr>
        <w:t> </w:t>
      </w:r>
      <w:r w:rsidRPr="00AC4931">
        <w:rPr>
          <w:rFonts w:ascii="Arial" w:eastAsia="宋体" w:hAnsi="Arial" w:cs="Arial"/>
          <w:color w:val="000000"/>
          <w:kern w:val="0"/>
          <w:sz w:val="18"/>
          <w:szCs w:val="18"/>
        </w:rPr>
        <w:t>of</w:t>
      </w:r>
      <w:r w:rsidRPr="00AC4931">
        <w:rPr>
          <w:rFonts w:ascii="Arial" w:eastAsia="宋体" w:hAnsi="Arial" w:cs="Arial"/>
          <w:color w:val="000000"/>
          <w:spacing w:val="4"/>
          <w:kern w:val="0"/>
          <w:sz w:val="18"/>
          <w:szCs w:val="18"/>
        </w:rPr>
        <w:t> </w:t>
      </w:r>
      <w:r w:rsidRPr="00AC4931">
        <w:rPr>
          <w:rFonts w:ascii="Arial" w:eastAsia="宋体" w:hAnsi="Arial" w:cs="Arial"/>
          <w:color w:val="000000"/>
          <w:kern w:val="0"/>
          <w:sz w:val="18"/>
          <w:szCs w:val="18"/>
        </w:rPr>
        <w:t>February</w:t>
      </w:r>
      <w:r w:rsidRPr="00AC4931">
        <w:rPr>
          <w:rFonts w:ascii="Arial" w:eastAsia="宋体" w:hAnsi="Arial" w:cs="Arial"/>
          <w:color w:val="000000"/>
          <w:spacing w:val="15"/>
          <w:kern w:val="0"/>
          <w:sz w:val="18"/>
          <w:szCs w:val="18"/>
        </w:rPr>
        <w:t> </w:t>
      </w:r>
      <w:r w:rsidRPr="00AC4931">
        <w:rPr>
          <w:rFonts w:ascii="Arial" w:eastAsia="宋体" w:hAnsi="Arial" w:cs="Arial"/>
          <w:color w:val="000000"/>
          <w:kern w:val="0"/>
          <w:sz w:val="18"/>
          <w:szCs w:val="18"/>
        </w:rPr>
        <w:t>19,</w:t>
      </w:r>
      <w:r w:rsidRPr="00AC4931">
        <w:rPr>
          <w:rFonts w:ascii="Arial" w:eastAsia="宋体" w:hAnsi="Arial" w:cs="Arial"/>
          <w:color w:val="000000"/>
          <w:spacing w:val="6"/>
          <w:kern w:val="0"/>
          <w:sz w:val="18"/>
          <w:szCs w:val="18"/>
        </w:rPr>
        <w:t> </w:t>
      </w:r>
      <w:r w:rsidRPr="00AC4931">
        <w:rPr>
          <w:rFonts w:ascii="Arial" w:eastAsia="宋体" w:hAnsi="Arial" w:cs="Arial"/>
          <w:color w:val="000000"/>
          <w:kern w:val="0"/>
          <w:sz w:val="18"/>
          <w:szCs w:val="18"/>
        </w:rPr>
        <w:t>2021.</w:t>
      </w:r>
    </w:p>
    <w:p w14:paraId="557AFB5F" w14:textId="77777777" w:rsidR="00AC4931" w:rsidRPr="00AC4931" w:rsidRDefault="00AC4931" w:rsidP="00AC4931">
      <w:pPr>
        <w:widowControl/>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0204"/>
        <w:gridCol w:w="610"/>
        <w:gridCol w:w="9800"/>
      </w:tblGrid>
      <w:tr w:rsidR="00AC4931" w:rsidRPr="00AC4931" w14:paraId="4613FD93" w14:textId="77777777" w:rsidTr="00AC4931">
        <w:tc>
          <w:tcPr>
            <w:tcW w:w="10204" w:type="dxa"/>
            <w:tcBorders>
              <w:bottom w:val="single" w:sz="6" w:space="0" w:color="000000"/>
            </w:tcBorders>
            <w:hideMark/>
          </w:tcPr>
          <w:p w14:paraId="6A0A5529" w14:textId="77777777" w:rsidR="00AC4931" w:rsidRPr="00AC4931" w:rsidRDefault="00AC4931" w:rsidP="00AC4931">
            <w:pPr>
              <w:widowControl/>
              <w:jc w:val="center"/>
              <w:rPr>
                <w:rFonts w:ascii="Arial" w:eastAsia="宋体" w:hAnsi="Arial" w:cs="Arial" w:hint="eastAsia"/>
                <w:b/>
                <w:bCs/>
                <w:kern w:val="0"/>
                <w:sz w:val="18"/>
                <w:szCs w:val="18"/>
              </w:rPr>
            </w:pPr>
            <w:r w:rsidRPr="00AC4931">
              <w:rPr>
                <w:rFonts w:ascii="Arial" w:eastAsia="宋体" w:hAnsi="Arial" w:cs="Arial"/>
                <w:b/>
                <w:bCs/>
                <w:kern w:val="0"/>
                <w:sz w:val="18"/>
                <w:szCs w:val="18"/>
              </w:rPr>
              <w:t>Title</w:t>
            </w:r>
          </w:p>
        </w:tc>
        <w:tc>
          <w:tcPr>
            <w:tcW w:w="610" w:type="dxa"/>
            <w:hideMark/>
          </w:tcPr>
          <w:p w14:paraId="2971FB16" w14:textId="77777777" w:rsidR="00AC4931" w:rsidRPr="00AC4931" w:rsidRDefault="00AC4931" w:rsidP="00AC4931">
            <w:pPr>
              <w:widowControl/>
              <w:jc w:val="center"/>
              <w:rPr>
                <w:rFonts w:ascii="宋体" w:eastAsia="宋体" w:hAnsi="宋体" w:cs="宋体"/>
                <w:b/>
                <w:bCs/>
                <w:kern w:val="0"/>
                <w:sz w:val="18"/>
                <w:szCs w:val="18"/>
              </w:rPr>
            </w:pPr>
            <w:r w:rsidRPr="00AC4931">
              <w:rPr>
                <w:rFonts w:ascii="宋体" w:eastAsia="宋体" w:hAnsi="宋体" w:cs="宋体"/>
                <w:b/>
                <w:bCs/>
                <w:kern w:val="0"/>
                <w:sz w:val="18"/>
                <w:szCs w:val="18"/>
              </w:rPr>
              <w:t> </w:t>
            </w:r>
          </w:p>
        </w:tc>
        <w:tc>
          <w:tcPr>
            <w:tcW w:w="9800" w:type="dxa"/>
            <w:tcBorders>
              <w:bottom w:val="single" w:sz="6" w:space="0" w:color="000000"/>
            </w:tcBorders>
            <w:hideMark/>
          </w:tcPr>
          <w:p w14:paraId="14BA31C5" w14:textId="77777777" w:rsidR="00AC4931" w:rsidRPr="00AC4931" w:rsidRDefault="00AC4931" w:rsidP="00AC4931">
            <w:pPr>
              <w:widowControl/>
              <w:jc w:val="center"/>
              <w:rPr>
                <w:rFonts w:ascii="Arial" w:eastAsia="宋体" w:hAnsi="Arial" w:cs="Arial"/>
                <w:b/>
                <w:bCs/>
                <w:kern w:val="0"/>
                <w:sz w:val="18"/>
                <w:szCs w:val="18"/>
              </w:rPr>
            </w:pPr>
            <w:r w:rsidRPr="00AC4931">
              <w:rPr>
                <w:rFonts w:ascii="Arial" w:eastAsia="宋体" w:hAnsi="Arial" w:cs="Arial"/>
                <w:b/>
                <w:bCs/>
                <w:kern w:val="0"/>
                <w:sz w:val="18"/>
                <w:szCs w:val="18"/>
              </w:rPr>
              <w:t>Na</w:t>
            </w:r>
            <w:r w:rsidRPr="00AC4931">
              <w:rPr>
                <w:rFonts w:ascii="Arial" w:eastAsia="宋体" w:hAnsi="Arial" w:cs="Arial"/>
                <w:b/>
                <w:bCs/>
                <w:spacing w:val="-1"/>
                <w:kern w:val="0"/>
                <w:sz w:val="18"/>
                <w:szCs w:val="18"/>
              </w:rPr>
              <w:t>m</w:t>
            </w:r>
            <w:r w:rsidRPr="00AC4931">
              <w:rPr>
                <w:rFonts w:ascii="Arial" w:eastAsia="宋体" w:hAnsi="Arial" w:cs="Arial"/>
                <w:b/>
                <w:bCs/>
                <w:kern w:val="0"/>
                <w:sz w:val="18"/>
                <w:szCs w:val="18"/>
              </w:rPr>
              <w:t>e</w:t>
            </w:r>
          </w:p>
        </w:tc>
      </w:tr>
      <w:tr w:rsidR="00AC4931" w:rsidRPr="00AC4931" w14:paraId="46FC99FB" w14:textId="77777777" w:rsidTr="00AC4931">
        <w:tc>
          <w:tcPr>
            <w:tcW w:w="10204" w:type="dxa"/>
            <w:tcBorders>
              <w:top w:val="single" w:sz="6" w:space="0" w:color="000000"/>
            </w:tcBorders>
            <w:hideMark/>
          </w:tcPr>
          <w:p w14:paraId="07F3D449"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3023ACD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tcBorders>
              <w:top w:val="single" w:sz="6" w:space="0" w:color="000000"/>
            </w:tcBorders>
            <w:hideMark/>
          </w:tcPr>
          <w:p w14:paraId="63AB8AE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138D6A31" w14:textId="77777777" w:rsidTr="00AC4931">
        <w:tc>
          <w:tcPr>
            <w:tcW w:w="10204" w:type="dxa"/>
            <w:hideMark/>
          </w:tcPr>
          <w:p w14:paraId="63AC18C2"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Chairman</w:t>
            </w:r>
            <w:r w:rsidRPr="00AC4931">
              <w:rPr>
                <w:rFonts w:ascii="Arial" w:eastAsia="宋体" w:hAnsi="Arial" w:cs="Arial"/>
                <w:spacing w:val="16"/>
                <w:kern w:val="0"/>
                <w:sz w:val="18"/>
                <w:szCs w:val="18"/>
              </w:rPr>
              <w:t> </w:t>
            </w:r>
            <w:r w:rsidRPr="00AC4931">
              <w:rPr>
                <w:rFonts w:ascii="Arial" w:eastAsia="宋体" w:hAnsi="Arial" w:cs="Arial"/>
                <w:kern w:val="0"/>
                <w:sz w:val="18"/>
                <w:szCs w:val="18"/>
              </w:rPr>
              <w:t>of</w:t>
            </w:r>
            <w:r w:rsidRPr="00AC4931">
              <w:rPr>
                <w:rFonts w:ascii="Arial" w:eastAsia="宋体" w:hAnsi="Arial" w:cs="Arial"/>
                <w:spacing w:val="3"/>
                <w:kern w:val="0"/>
                <w:sz w:val="18"/>
                <w:szCs w:val="18"/>
              </w:rPr>
              <w:t> </w:t>
            </w:r>
            <w:r w:rsidRPr="00AC4931">
              <w:rPr>
                <w:rFonts w:ascii="Arial" w:eastAsia="宋体" w:hAnsi="Arial" w:cs="Arial"/>
                <w:kern w:val="0"/>
                <w:sz w:val="18"/>
                <w:szCs w:val="18"/>
              </w:rPr>
              <w:t>the</w:t>
            </w:r>
            <w:r w:rsidRPr="00AC4931">
              <w:rPr>
                <w:rFonts w:ascii="Arial" w:eastAsia="宋体" w:hAnsi="Arial" w:cs="Arial"/>
                <w:spacing w:val="6"/>
                <w:kern w:val="0"/>
                <w:sz w:val="18"/>
                <w:szCs w:val="18"/>
              </w:rPr>
              <w:t> </w:t>
            </w:r>
            <w:r w:rsidRPr="00AC4931">
              <w:rPr>
                <w:rFonts w:ascii="Arial" w:eastAsia="宋体" w:hAnsi="Arial" w:cs="Arial"/>
                <w:kern w:val="0"/>
                <w:sz w:val="18"/>
                <w:szCs w:val="18"/>
              </w:rPr>
              <w:t>Board</w:t>
            </w:r>
            <w:r w:rsidRPr="00AC4931">
              <w:rPr>
                <w:rFonts w:ascii="Arial" w:eastAsia="宋体" w:hAnsi="Arial" w:cs="Arial"/>
                <w:spacing w:val="10"/>
                <w:kern w:val="0"/>
                <w:sz w:val="18"/>
                <w:szCs w:val="18"/>
              </w:rPr>
              <w:t> </w:t>
            </w:r>
            <w:r w:rsidRPr="00AC4931">
              <w:rPr>
                <w:rFonts w:ascii="Arial" w:eastAsia="宋体" w:hAnsi="Arial" w:cs="Arial"/>
                <w:kern w:val="0"/>
                <w:sz w:val="18"/>
                <w:szCs w:val="18"/>
              </w:rPr>
              <w:t>of</w:t>
            </w:r>
            <w:r w:rsidRPr="00AC4931">
              <w:rPr>
                <w:rFonts w:ascii="Arial" w:eastAsia="宋体" w:hAnsi="Arial" w:cs="Arial"/>
                <w:spacing w:val="3"/>
                <w:kern w:val="0"/>
                <w:sz w:val="18"/>
                <w:szCs w:val="18"/>
              </w:rPr>
              <w:t> </w:t>
            </w:r>
            <w:r w:rsidRPr="00AC4931">
              <w:rPr>
                <w:rFonts w:ascii="Arial" w:eastAsia="宋体" w:hAnsi="Arial" w:cs="Arial"/>
                <w:kern w:val="0"/>
                <w:sz w:val="18"/>
                <w:szCs w:val="18"/>
              </w:rPr>
              <w:t>Directors</w:t>
            </w:r>
          </w:p>
        </w:tc>
        <w:tc>
          <w:tcPr>
            <w:tcW w:w="610" w:type="dxa"/>
            <w:hideMark/>
          </w:tcPr>
          <w:p w14:paraId="5C3EBDDD"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6E06BCF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w:t>
            </w:r>
            <w:r w:rsidRPr="00AC4931">
              <w:rPr>
                <w:rFonts w:ascii="Arial" w:eastAsia="宋体" w:hAnsi="Arial" w:cs="Arial"/>
                <w:spacing w:val="5"/>
                <w:kern w:val="0"/>
                <w:sz w:val="18"/>
                <w:szCs w:val="18"/>
              </w:rPr>
              <w:t> Jan Carlson</w:t>
            </w:r>
          </w:p>
        </w:tc>
      </w:tr>
      <w:tr w:rsidR="00AC4931" w:rsidRPr="00AC4931" w14:paraId="76C4793A" w14:textId="77777777" w:rsidTr="00AC4931">
        <w:tc>
          <w:tcPr>
            <w:tcW w:w="10204" w:type="dxa"/>
            <w:hideMark/>
          </w:tcPr>
          <w:p w14:paraId="332F8E7A" w14:textId="77777777" w:rsidR="00AC4931" w:rsidRPr="00AC4931" w:rsidRDefault="00AC4931" w:rsidP="00AC4931">
            <w:pPr>
              <w:widowControl/>
              <w:jc w:val="lef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610" w:type="dxa"/>
            <w:hideMark/>
          </w:tcPr>
          <w:p w14:paraId="4279AC65"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50D782D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Jan Carlson</w:t>
            </w:r>
          </w:p>
        </w:tc>
      </w:tr>
      <w:tr w:rsidR="00AC4931" w:rsidRPr="00AC4931" w14:paraId="5B30E5E4" w14:textId="77777777" w:rsidTr="00AC4931">
        <w:tc>
          <w:tcPr>
            <w:tcW w:w="10204" w:type="dxa"/>
            <w:hideMark/>
          </w:tcPr>
          <w:p w14:paraId="6A6BAC90"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3FC81250"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79736685"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459A390C" w14:textId="77777777" w:rsidTr="00AC4931">
        <w:tc>
          <w:tcPr>
            <w:tcW w:w="10204" w:type="dxa"/>
            <w:hideMark/>
          </w:tcPr>
          <w:p w14:paraId="7DF0331E" w14:textId="77777777" w:rsidR="00AC4931" w:rsidRPr="00AC4931" w:rsidRDefault="00AC4931" w:rsidP="00AC4931">
            <w:pPr>
              <w:widowControl/>
              <w:jc w:val="left"/>
              <w:rPr>
                <w:rFonts w:ascii="Arial" w:eastAsia="宋体" w:hAnsi="Arial" w:cs="Arial"/>
                <w:spacing w:val="-2"/>
                <w:kern w:val="0"/>
                <w:sz w:val="18"/>
                <w:szCs w:val="18"/>
              </w:rPr>
            </w:pPr>
            <w:r w:rsidRPr="00AC4931">
              <w:rPr>
                <w:rFonts w:ascii="Arial" w:eastAsia="宋体" w:hAnsi="Arial" w:cs="Arial"/>
                <w:spacing w:val="-2"/>
                <w:kern w:val="0"/>
                <w:sz w:val="18"/>
                <w:szCs w:val="18"/>
              </w:rPr>
              <w:t>Chief Executive Officer and President (Principal Executive Officer)</w:t>
            </w:r>
          </w:p>
        </w:tc>
        <w:tc>
          <w:tcPr>
            <w:tcW w:w="610" w:type="dxa"/>
            <w:hideMark/>
          </w:tcPr>
          <w:p w14:paraId="02E5F732"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4B48DEDA"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w:t>
            </w:r>
            <w:r w:rsidRPr="00AC4931">
              <w:rPr>
                <w:rFonts w:ascii="Arial" w:eastAsia="宋体" w:hAnsi="Arial" w:cs="Arial"/>
                <w:spacing w:val="5"/>
                <w:kern w:val="0"/>
                <w:sz w:val="18"/>
                <w:szCs w:val="18"/>
              </w:rPr>
              <w:t> </w:t>
            </w:r>
            <w:r w:rsidRPr="00AC4931">
              <w:rPr>
                <w:rFonts w:ascii="Arial" w:eastAsia="宋体" w:hAnsi="Arial" w:cs="Arial"/>
                <w:kern w:val="0"/>
                <w:sz w:val="18"/>
                <w:szCs w:val="18"/>
              </w:rPr>
              <w:t>Mikael Bratt</w:t>
            </w:r>
          </w:p>
        </w:tc>
      </w:tr>
      <w:tr w:rsidR="00AC4931" w:rsidRPr="00AC4931" w14:paraId="0423904D" w14:textId="77777777" w:rsidTr="00AC4931">
        <w:tc>
          <w:tcPr>
            <w:tcW w:w="10204" w:type="dxa"/>
            <w:hideMark/>
          </w:tcPr>
          <w:p w14:paraId="488B68C3"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and Director</w:t>
            </w:r>
          </w:p>
        </w:tc>
        <w:tc>
          <w:tcPr>
            <w:tcW w:w="610" w:type="dxa"/>
            <w:hideMark/>
          </w:tcPr>
          <w:p w14:paraId="273ECDCB"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2F69AD21"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Mikael Bratt</w:t>
            </w:r>
          </w:p>
        </w:tc>
      </w:tr>
      <w:tr w:rsidR="00AC4931" w:rsidRPr="00AC4931" w14:paraId="2518A8D3" w14:textId="77777777" w:rsidTr="00AC4931">
        <w:tc>
          <w:tcPr>
            <w:tcW w:w="10204" w:type="dxa"/>
            <w:hideMark/>
          </w:tcPr>
          <w:p w14:paraId="63638E1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7D50254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06B33C30"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0F1007E3" w14:textId="77777777" w:rsidTr="00AC4931">
        <w:tc>
          <w:tcPr>
            <w:tcW w:w="10204" w:type="dxa"/>
            <w:hideMark/>
          </w:tcPr>
          <w:p w14:paraId="3E1160A6"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C</w:t>
            </w:r>
            <w:r w:rsidRPr="00AC4931">
              <w:rPr>
                <w:rFonts w:ascii="Arial" w:eastAsia="宋体" w:hAnsi="Arial" w:cs="Arial"/>
                <w:spacing w:val="-2"/>
                <w:kern w:val="0"/>
                <w:sz w:val="18"/>
                <w:szCs w:val="18"/>
              </w:rPr>
              <w:t>h</w:t>
            </w:r>
            <w:r w:rsidRPr="00AC4931">
              <w:rPr>
                <w:rFonts w:ascii="Arial" w:eastAsia="宋体" w:hAnsi="Arial" w:cs="Arial"/>
                <w:kern w:val="0"/>
                <w:sz w:val="18"/>
                <w:szCs w:val="18"/>
              </w:rPr>
              <w:t>ief</w:t>
            </w:r>
            <w:r w:rsidRPr="00AC4931">
              <w:rPr>
                <w:rFonts w:ascii="Arial" w:eastAsia="宋体" w:hAnsi="Arial" w:cs="Arial"/>
                <w:spacing w:val="8"/>
                <w:kern w:val="0"/>
                <w:sz w:val="18"/>
                <w:szCs w:val="18"/>
              </w:rPr>
              <w:t> </w:t>
            </w:r>
            <w:r w:rsidRPr="00AC4931">
              <w:rPr>
                <w:rFonts w:ascii="Arial" w:eastAsia="宋体" w:hAnsi="Arial" w:cs="Arial"/>
                <w:kern w:val="0"/>
                <w:sz w:val="18"/>
                <w:szCs w:val="18"/>
              </w:rPr>
              <w:t>Financial</w:t>
            </w:r>
            <w:r w:rsidRPr="00AC4931">
              <w:rPr>
                <w:rFonts w:ascii="Arial" w:eastAsia="宋体" w:hAnsi="Arial" w:cs="Arial"/>
                <w:spacing w:val="14"/>
                <w:kern w:val="0"/>
                <w:sz w:val="18"/>
                <w:szCs w:val="18"/>
              </w:rPr>
              <w:t> </w:t>
            </w:r>
            <w:r w:rsidRPr="00AC4931">
              <w:rPr>
                <w:rFonts w:ascii="Arial" w:eastAsia="宋体" w:hAnsi="Arial" w:cs="Arial"/>
                <w:kern w:val="0"/>
                <w:sz w:val="18"/>
                <w:szCs w:val="18"/>
              </w:rPr>
              <w:t>Officer</w:t>
            </w:r>
          </w:p>
        </w:tc>
        <w:tc>
          <w:tcPr>
            <w:tcW w:w="610" w:type="dxa"/>
            <w:hideMark/>
          </w:tcPr>
          <w:p w14:paraId="3BB58A69"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3E8BAA46"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w:t>
            </w:r>
            <w:r w:rsidRPr="00AC4931">
              <w:rPr>
                <w:rFonts w:ascii="Arial" w:eastAsia="宋体" w:hAnsi="Arial" w:cs="Arial"/>
                <w:spacing w:val="5"/>
                <w:kern w:val="0"/>
                <w:sz w:val="18"/>
                <w:szCs w:val="18"/>
              </w:rPr>
              <w:t> </w:t>
            </w:r>
            <w:r w:rsidRPr="00AC4931">
              <w:rPr>
                <w:rFonts w:ascii="Arial" w:eastAsia="宋体" w:hAnsi="Arial" w:cs="Arial"/>
                <w:kern w:val="0"/>
                <w:sz w:val="18"/>
                <w:szCs w:val="18"/>
              </w:rPr>
              <w:t>Fredrik Westin</w:t>
            </w:r>
          </w:p>
        </w:tc>
      </w:tr>
      <w:tr w:rsidR="00AC4931" w:rsidRPr="00AC4931" w14:paraId="2803654C" w14:textId="77777777" w:rsidTr="00AC4931">
        <w:tc>
          <w:tcPr>
            <w:tcW w:w="10204" w:type="dxa"/>
            <w:hideMark/>
          </w:tcPr>
          <w:p w14:paraId="750B5BBD"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(Princ</w:t>
            </w:r>
            <w:r w:rsidRPr="00AC4931">
              <w:rPr>
                <w:rFonts w:ascii="Arial" w:eastAsia="宋体" w:hAnsi="Arial" w:cs="Arial"/>
                <w:spacing w:val="1"/>
                <w:kern w:val="0"/>
                <w:sz w:val="18"/>
                <w:szCs w:val="18"/>
              </w:rPr>
              <w:t>i</w:t>
            </w:r>
            <w:r w:rsidRPr="00AC4931">
              <w:rPr>
                <w:rFonts w:ascii="Arial" w:eastAsia="宋体" w:hAnsi="Arial" w:cs="Arial"/>
                <w:spacing w:val="-1"/>
                <w:kern w:val="0"/>
                <w:sz w:val="18"/>
                <w:szCs w:val="18"/>
              </w:rPr>
              <w:t>p</w:t>
            </w:r>
            <w:r w:rsidRPr="00AC4931">
              <w:rPr>
                <w:rFonts w:ascii="Arial" w:eastAsia="宋体" w:hAnsi="Arial" w:cs="Arial"/>
                <w:kern w:val="0"/>
                <w:sz w:val="18"/>
                <w:szCs w:val="18"/>
              </w:rPr>
              <w:t>al</w:t>
            </w:r>
            <w:r w:rsidRPr="00AC4931">
              <w:rPr>
                <w:rFonts w:ascii="Arial" w:eastAsia="宋体" w:hAnsi="Arial" w:cs="Arial"/>
                <w:spacing w:val="16"/>
                <w:kern w:val="0"/>
                <w:sz w:val="18"/>
                <w:szCs w:val="18"/>
              </w:rPr>
              <w:t> </w:t>
            </w:r>
            <w:r w:rsidRPr="00AC4931">
              <w:rPr>
                <w:rFonts w:ascii="Arial" w:eastAsia="宋体" w:hAnsi="Arial" w:cs="Arial"/>
                <w:kern w:val="0"/>
                <w:sz w:val="18"/>
                <w:szCs w:val="18"/>
              </w:rPr>
              <w:t>Financ</w:t>
            </w:r>
            <w:r w:rsidRPr="00AC4931">
              <w:rPr>
                <w:rFonts w:ascii="Arial" w:eastAsia="宋体" w:hAnsi="Arial" w:cs="Arial"/>
                <w:spacing w:val="1"/>
                <w:kern w:val="0"/>
                <w:sz w:val="18"/>
                <w:szCs w:val="18"/>
              </w:rPr>
              <w:t>i</w:t>
            </w:r>
            <w:r w:rsidRPr="00AC4931">
              <w:rPr>
                <w:rFonts w:ascii="Arial" w:eastAsia="宋体" w:hAnsi="Arial" w:cs="Arial"/>
                <w:kern w:val="0"/>
                <w:sz w:val="18"/>
                <w:szCs w:val="18"/>
              </w:rPr>
              <w:t>al</w:t>
            </w:r>
            <w:r w:rsidRPr="00AC4931">
              <w:rPr>
                <w:rFonts w:ascii="Arial" w:eastAsia="宋体" w:hAnsi="Arial" w:cs="Arial"/>
                <w:spacing w:val="15"/>
                <w:kern w:val="0"/>
                <w:sz w:val="18"/>
                <w:szCs w:val="18"/>
              </w:rPr>
              <w:t> </w:t>
            </w:r>
            <w:r w:rsidRPr="00AC4931">
              <w:rPr>
                <w:rFonts w:ascii="Arial" w:eastAsia="宋体" w:hAnsi="Arial" w:cs="Arial"/>
                <w:kern w:val="0"/>
                <w:sz w:val="18"/>
                <w:szCs w:val="18"/>
              </w:rPr>
              <w:t>and</w:t>
            </w:r>
            <w:r w:rsidRPr="00AC4931">
              <w:rPr>
                <w:rFonts w:ascii="Arial" w:eastAsia="宋体" w:hAnsi="Arial" w:cs="Arial"/>
                <w:spacing w:val="6"/>
                <w:kern w:val="0"/>
                <w:sz w:val="18"/>
                <w:szCs w:val="18"/>
              </w:rPr>
              <w:t> </w:t>
            </w:r>
            <w:r w:rsidRPr="00AC4931">
              <w:rPr>
                <w:rFonts w:ascii="Arial" w:eastAsia="宋体" w:hAnsi="Arial" w:cs="Arial"/>
                <w:kern w:val="0"/>
                <w:sz w:val="18"/>
                <w:szCs w:val="18"/>
              </w:rPr>
              <w:t>Pr</w:t>
            </w:r>
            <w:r w:rsidRPr="00AC4931">
              <w:rPr>
                <w:rFonts w:ascii="Arial" w:eastAsia="宋体" w:hAnsi="Arial" w:cs="Arial"/>
                <w:spacing w:val="1"/>
                <w:kern w:val="0"/>
                <w:sz w:val="18"/>
                <w:szCs w:val="18"/>
              </w:rPr>
              <w:t>i</w:t>
            </w:r>
            <w:r w:rsidRPr="00AC4931">
              <w:rPr>
                <w:rFonts w:ascii="Arial" w:eastAsia="宋体" w:hAnsi="Arial" w:cs="Arial"/>
                <w:spacing w:val="-1"/>
                <w:kern w:val="0"/>
                <w:sz w:val="18"/>
                <w:szCs w:val="18"/>
              </w:rPr>
              <w:t>n</w:t>
            </w:r>
            <w:r w:rsidRPr="00AC4931">
              <w:rPr>
                <w:rFonts w:ascii="Arial" w:eastAsia="宋体" w:hAnsi="Arial" w:cs="Arial"/>
                <w:kern w:val="0"/>
                <w:sz w:val="18"/>
                <w:szCs w:val="18"/>
              </w:rPr>
              <w:t>cipal</w:t>
            </w:r>
            <w:r w:rsidRPr="00AC4931">
              <w:rPr>
                <w:rFonts w:ascii="Arial" w:eastAsia="宋体" w:hAnsi="Arial" w:cs="Arial"/>
                <w:spacing w:val="15"/>
                <w:kern w:val="0"/>
                <w:sz w:val="18"/>
                <w:szCs w:val="18"/>
              </w:rPr>
              <w:t> </w:t>
            </w:r>
            <w:r w:rsidRPr="00AC4931">
              <w:rPr>
                <w:rFonts w:ascii="Arial" w:eastAsia="宋体" w:hAnsi="Arial" w:cs="Arial"/>
                <w:kern w:val="0"/>
                <w:sz w:val="18"/>
                <w:szCs w:val="18"/>
              </w:rPr>
              <w:t>Accounting</w:t>
            </w:r>
            <w:r w:rsidRPr="00AC4931">
              <w:rPr>
                <w:rFonts w:ascii="Arial" w:eastAsia="宋体" w:hAnsi="Arial" w:cs="Arial"/>
                <w:spacing w:val="19"/>
                <w:kern w:val="0"/>
                <w:sz w:val="18"/>
                <w:szCs w:val="18"/>
              </w:rPr>
              <w:t> </w:t>
            </w:r>
            <w:r w:rsidRPr="00AC4931">
              <w:rPr>
                <w:rFonts w:ascii="Arial" w:eastAsia="宋体" w:hAnsi="Arial" w:cs="Arial"/>
                <w:kern w:val="0"/>
                <w:sz w:val="18"/>
                <w:szCs w:val="18"/>
              </w:rPr>
              <w:t>Officer)</w:t>
            </w:r>
          </w:p>
        </w:tc>
        <w:tc>
          <w:tcPr>
            <w:tcW w:w="610" w:type="dxa"/>
            <w:hideMark/>
          </w:tcPr>
          <w:p w14:paraId="4FCB5E6A"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47F1F2FB"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Fredrik Westin</w:t>
            </w:r>
          </w:p>
        </w:tc>
      </w:tr>
      <w:tr w:rsidR="00AC4931" w:rsidRPr="00AC4931" w14:paraId="54AFE2A1" w14:textId="77777777" w:rsidTr="00AC4931">
        <w:tc>
          <w:tcPr>
            <w:tcW w:w="10204" w:type="dxa"/>
            <w:hideMark/>
          </w:tcPr>
          <w:p w14:paraId="2551CD7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4E44BC5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3DFAAC47"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3D2C36A" w14:textId="77777777" w:rsidTr="00AC4931">
        <w:tc>
          <w:tcPr>
            <w:tcW w:w="10204" w:type="dxa"/>
            <w:hideMark/>
          </w:tcPr>
          <w:p w14:paraId="7A961539"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6AB92AA2"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5CA57DA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C0E652F" w14:textId="77777777" w:rsidTr="00AC4931">
        <w:tc>
          <w:tcPr>
            <w:tcW w:w="10204" w:type="dxa"/>
            <w:hideMark/>
          </w:tcPr>
          <w:p w14:paraId="579F9F7C"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Director</w:t>
            </w:r>
          </w:p>
        </w:tc>
        <w:tc>
          <w:tcPr>
            <w:tcW w:w="610" w:type="dxa"/>
            <w:hideMark/>
          </w:tcPr>
          <w:p w14:paraId="21B63A0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tcBorders>
              <w:bottom w:val="single" w:sz="6" w:space="0" w:color="000000"/>
            </w:tcBorders>
            <w:hideMark/>
          </w:tcPr>
          <w:p w14:paraId="66DDF50A" w14:textId="77777777" w:rsidR="00AC4931" w:rsidRPr="00AC4931" w:rsidRDefault="00AC4931" w:rsidP="00AC4931">
            <w:pPr>
              <w:widowControl/>
              <w:jc w:val="left"/>
              <w:rPr>
                <w:rFonts w:ascii="Arial" w:eastAsia="宋体" w:hAnsi="Arial" w:cs="Arial"/>
                <w:spacing w:val="-1"/>
                <w:kern w:val="0"/>
                <w:sz w:val="18"/>
                <w:szCs w:val="18"/>
              </w:rPr>
            </w:pPr>
            <w:r w:rsidRPr="00AC4931">
              <w:rPr>
                <w:rFonts w:ascii="Arial" w:eastAsia="宋体" w:hAnsi="Arial" w:cs="Arial"/>
                <w:spacing w:val="-1"/>
                <w:kern w:val="0"/>
                <w:sz w:val="18"/>
                <w:szCs w:val="18"/>
              </w:rPr>
              <w:t>/s/ Laurie Brlas</w:t>
            </w:r>
          </w:p>
        </w:tc>
      </w:tr>
      <w:tr w:rsidR="00AC4931" w:rsidRPr="00AC4931" w14:paraId="24347203" w14:textId="77777777" w:rsidTr="00AC4931">
        <w:tc>
          <w:tcPr>
            <w:tcW w:w="10204" w:type="dxa"/>
            <w:hideMark/>
          </w:tcPr>
          <w:p w14:paraId="7F4CB322"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3C81115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tcBorders>
              <w:top w:val="single" w:sz="6" w:space="0" w:color="000000"/>
            </w:tcBorders>
            <w:hideMark/>
          </w:tcPr>
          <w:p w14:paraId="3E8234E8" w14:textId="77777777" w:rsidR="00AC4931" w:rsidRPr="00AC4931" w:rsidRDefault="00AC4931" w:rsidP="00AC4931">
            <w:pPr>
              <w:widowControl/>
              <w:jc w:val="left"/>
              <w:rPr>
                <w:rFonts w:ascii="Arial" w:eastAsia="宋体" w:hAnsi="Arial" w:cs="Arial"/>
                <w:spacing w:val="-1"/>
                <w:kern w:val="0"/>
                <w:sz w:val="18"/>
                <w:szCs w:val="18"/>
              </w:rPr>
            </w:pPr>
            <w:r w:rsidRPr="00AC4931">
              <w:rPr>
                <w:rFonts w:ascii="Arial" w:eastAsia="宋体" w:hAnsi="Arial" w:cs="Arial"/>
                <w:spacing w:val="-1"/>
                <w:kern w:val="0"/>
                <w:sz w:val="18"/>
                <w:szCs w:val="18"/>
              </w:rPr>
              <w:t>Laurie Brlas</w:t>
            </w:r>
          </w:p>
        </w:tc>
      </w:tr>
      <w:tr w:rsidR="00AC4931" w:rsidRPr="00AC4931" w14:paraId="79D822AB" w14:textId="77777777" w:rsidTr="00AC4931">
        <w:tc>
          <w:tcPr>
            <w:tcW w:w="10204" w:type="dxa"/>
            <w:hideMark/>
          </w:tcPr>
          <w:p w14:paraId="0B06ACB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1A1DABB9"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7F51A29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76E60D25" w14:textId="77777777" w:rsidTr="00AC4931">
        <w:tc>
          <w:tcPr>
            <w:tcW w:w="10204" w:type="dxa"/>
            <w:hideMark/>
          </w:tcPr>
          <w:p w14:paraId="73B6FED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4E5A8C24"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02BF106E"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D4DB9F7" w14:textId="77777777" w:rsidTr="00AC4931">
        <w:tc>
          <w:tcPr>
            <w:tcW w:w="10204" w:type="dxa"/>
            <w:hideMark/>
          </w:tcPr>
          <w:p w14:paraId="729345B1"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Director</w:t>
            </w:r>
          </w:p>
        </w:tc>
        <w:tc>
          <w:tcPr>
            <w:tcW w:w="610" w:type="dxa"/>
            <w:hideMark/>
          </w:tcPr>
          <w:p w14:paraId="16E594CF"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008A8645" w14:textId="77777777" w:rsidR="00AC4931" w:rsidRPr="00AC4931" w:rsidRDefault="00AC4931" w:rsidP="00AC4931">
            <w:pPr>
              <w:widowControl/>
              <w:jc w:val="left"/>
              <w:rPr>
                <w:rFonts w:ascii="Arial" w:eastAsia="宋体" w:hAnsi="Arial" w:cs="Arial"/>
                <w:spacing w:val="-1"/>
                <w:kern w:val="0"/>
                <w:sz w:val="18"/>
                <w:szCs w:val="18"/>
              </w:rPr>
            </w:pPr>
            <w:r w:rsidRPr="00AC4931">
              <w:rPr>
                <w:rFonts w:ascii="Arial" w:eastAsia="宋体" w:hAnsi="Arial" w:cs="Arial"/>
                <w:spacing w:val="-1"/>
                <w:kern w:val="0"/>
                <w:sz w:val="18"/>
                <w:szCs w:val="18"/>
              </w:rPr>
              <w:t>/s/ Hasse Johansson</w:t>
            </w:r>
          </w:p>
        </w:tc>
      </w:tr>
      <w:tr w:rsidR="00AC4931" w:rsidRPr="00AC4931" w14:paraId="56ED2A76" w14:textId="77777777" w:rsidTr="00AC4931">
        <w:tc>
          <w:tcPr>
            <w:tcW w:w="10204" w:type="dxa"/>
            <w:hideMark/>
          </w:tcPr>
          <w:p w14:paraId="09E41BB7"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610" w:type="dxa"/>
            <w:hideMark/>
          </w:tcPr>
          <w:p w14:paraId="0F07F867"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3FD12E62" w14:textId="77777777" w:rsidR="00AC4931" w:rsidRPr="00AC4931" w:rsidRDefault="00AC4931" w:rsidP="00AC4931">
            <w:pPr>
              <w:widowControl/>
              <w:jc w:val="left"/>
              <w:rPr>
                <w:rFonts w:ascii="Arial" w:eastAsia="宋体" w:hAnsi="Arial" w:cs="Arial"/>
                <w:spacing w:val="-1"/>
                <w:kern w:val="0"/>
                <w:sz w:val="18"/>
                <w:szCs w:val="18"/>
              </w:rPr>
            </w:pPr>
            <w:r w:rsidRPr="00AC4931">
              <w:rPr>
                <w:rFonts w:ascii="Arial" w:eastAsia="宋体" w:hAnsi="Arial" w:cs="Arial"/>
                <w:spacing w:val="-1"/>
                <w:kern w:val="0"/>
                <w:sz w:val="18"/>
                <w:szCs w:val="18"/>
              </w:rPr>
              <w:t>Hasse Johansson</w:t>
            </w:r>
          </w:p>
        </w:tc>
      </w:tr>
      <w:tr w:rsidR="00AC4931" w:rsidRPr="00AC4931" w14:paraId="0B4001A3" w14:textId="77777777" w:rsidTr="00AC4931">
        <w:tc>
          <w:tcPr>
            <w:tcW w:w="10204" w:type="dxa"/>
            <w:hideMark/>
          </w:tcPr>
          <w:p w14:paraId="6382C7E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2B3CF836"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5D0B080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5E74AB19" w14:textId="77777777" w:rsidTr="00AC4931">
        <w:tc>
          <w:tcPr>
            <w:tcW w:w="10204" w:type="dxa"/>
            <w:hideMark/>
          </w:tcPr>
          <w:p w14:paraId="318B7ED1"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Director</w:t>
            </w:r>
          </w:p>
        </w:tc>
        <w:tc>
          <w:tcPr>
            <w:tcW w:w="610" w:type="dxa"/>
            <w:hideMark/>
          </w:tcPr>
          <w:p w14:paraId="4F8CDF08"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6A551E34"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w:t>
            </w:r>
            <w:r w:rsidRPr="00AC4931">
              <w:rPr>
                <w:rFonts w:ascii="Arial" w:eastAsia="宋体" w:hAnsi="Arial" w:cs="Arial"/>
                <w:spacing w:val="5"/>
                <w:kern w:val="0"/>
                <w:sz w:val="18"/>
                <w:szCs w:val="18"/>
              </w:rPr>
              <w:t> </w:t>
            </w:r>
            <w:r w:rsidRPr="00AC4931">
              <w:rPr>
                <w:rFonts w:ascii="Arial" w:eastAsia="宋体" w:hAnsi="Arial" w:cs="Arial"/>
                <w:kern w:val="0"/>
                <w:sz w:val="18"/>
                <w:szCs w:val="18"/>
              </w:rPr>
              <w:t>Leif</w:t>
            </w:r>
            <w:r w:rsidRPr="00AC4931">
              <w:rPr>
                <w:rFonts w:ascii="Arial" w:eastAsia="宋体" w:hAnsi="Arial" w:cs="Arial"/>
                <w:spacing w:val="6"/>
                <w:kern w:val="0"/>
                <w:sz w:val="18"/>
                <w:szCs w:val="18"/>
              </w:rPr>
              <w:t> </w:t>
            </w:r>
            <w:r w:rsidRPr="00AC4931">
              <w:rPr>
                <w:rFonts w:ascii="Arial" w:eastAsia="宋体" w:hAnsi="Arial" w:cs="Arial"/>
                <w:kern w:val="0"/>
                <w:sz w:val="18"/>
                <w:szCs w:val="18"/>
              </w:rPr>
              <w:t>Johansson</w:t>
            </w:r>
          </w:p>
        </w:tc>
      </w:tr>
      <w:tr w:rsidR="00AC4931" w:rsidRPr="00AC4931" w14:paraId="0D963DC6" w14:textId="77777777" w:rsidTr="00AC4931">
        <w:tc>
          <w:tcPr>
            <w:tcW w:w="10204" w:type="dxa"/>
            <w:hideMark/>
          </w:tcPr>
          <w:p w14:paraId="3CD4C1BD"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610" w:type="dxa"/>
            <w:hideMark/>
          </w:tcPr>
          <w:p w14:paraId="49193977"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67BE60D8"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Leif</w:t>
            </w:r>
            <w:r w:rsidRPr="00AC4931">
              <w:rPr>
                <w:rFonts w:ascii="Arial" w:eastAsia="宋体" w:hAnsi="Arial" w:cs="Arial"/>
                <w:spacing w:val="6"/>
                <w:kern w:val="0"/>
                <w:sz w:val="18"/>
                <w:szCs w:val="18"/>
              </w:rPr>
              <w:t> </w:t>
            </w:r>
            <w:r w:rsidRPr="00AC4931">
              <w:rPr>
                <w:rFonts w:ascii="Arial" w:eastAsia="宋体" w:hAnsi="Arial" w:cs="Arial"/>
                <w:kern w:val="0"/>
                <w:sz w:val="18"/>
                <w:szCs w:val="18"/>
              </w:rPr>
              <w:t>Johansson</w:t>
            </w:r>
          </w:p>
        </w:tc>
      </w:tr>
      <w:tr w:rsidR="00AC4931" w:rsidRPr="00AC4931" w14:paraId="272A94B2" w14:textId="77777777" w:rsidTr="00AC4931">
        <w:tc>
          <w:tcPr>
            <w:tcW w:w="10204" w:type="dxa"/>
            <w:hideMark/>
          </w:tcPr>
          <w:p w14:paraId="57CC9FB5"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6017C73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0B43128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37DA8906" w14:textId="77777777" w:rsidTr="00AC4931">
        <w:tc>
          <w:tcPr>
            <w:tcW w:w="10204" w:type="dxa"/>
            <w:hideMark/>
          </w:tcPr>
          <w:p w14:paraId="2797275D"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Director</w:t>
            </w:r>
          </w:p>
        </w:tc>
        <w:tc>
          <w:tcPr>
            <w:tcW w:w="610" w:type="dxa"/>
            <w:hideMark/>
          </w:tcPr>
          <w:p w14:paraId="6CCDE530"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31DE4A70"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w:t>
            </w:r>
            <w:r w:rsidRPr="00AC4931">
              <w:rPr>
                <w:rFonts w:ascii="Arial" w:eastAsia="宋体" w:hAnsi="Arial" w:cs="Arial"/>
                <w:spacing w:val="5"/>
                <w:kern w:val="0"/>
                <w:sz w:val="18"/>
                <w:szCs w:val="18"/>
              </w:rPr>
              <w:t> </w:t>
            </w:r>
            <w:r w:rsidRPr="00AC4931">
              <w:rPr>
                <w:rFonts w:ascii="Arial" w:eastAsia="宋体" w:hAnsi="Arial" w:cs="Arial"/>
                <w:kern w:val="0"/>
                <w:sz w:val="18"/>
                <w:szCs w:val="18"/>
              </w:rPr>
              <w:t>David</w:t>
            </w:r>
            <w:r w:rsidRPr="00AC4931">
              <w:rPr>
                <w:rFonts w:ascii="Arial" w:eastAsia="宋体" w:hAnsi="Arial" w:cs="Arial"/>
                <w:spacing w:val="10"/>
                <w:kern w:val="0"/>
                <w:sz w:val="18"/>
                <w:szCs w:val="18"/>
              </w:rPr>
              <w:t> </w:t>
            </w:r>
            <w:r w:rsidRPr="00AC4931">
              <w:rPr>
                <w:rFonts w:ascii="Arial" w:eastAsia="宋体" w:hAnsi="Arial" w:cs="Arial"/>
                <w:kern w:val="0"/>
                <w:sz w:val="18"/>
                <w:szCs w:val="18"/>
              </w:rPr>
              <w:t>E.</w:t>
            </w:r>
            <w:r w:rsidRPr="00AC4931">
              <w:rPr>
                <w:rFonts w:ascii="Arial" w:eastAsia="宋体" w:hAnsi="Arial" w:cs="Arial"/>
                <w:spacing w:val="3"/>
                <w:kern w:val="0"/>
                <w:sz w:val="18"/>
                <w:szCs w:val="18"/>
              </w:rPr>
              <w:t> </w:t>
            </w:r>
            <w:r w:rsidRPr="00AC4931">
              <w:rPr>
                <w:rFonts w:ascii="Arial" w:eastAsia="宋体" w:hAnsi="Arial" w:cs="Arial"/>
                <w:kern w:val="0"/>
                <w:sz w:val="18"/>
                <w:szCs w:val="18"/>
              </w:rPr>
              <w:t>Kepl</w:t>
            </w:r>
            <w:r w:rsidRPr="00AC4931">
              <w:rPr>
                <w:rFonts w:ascii="Arial" w:eastAsia="宋体" w:hAnsi="Arial" w:cs="Arial"/>
                <w:spacing w:val="1"/>
                <w:kern w:val="0"/>
                <w:sz w:val="18"/>
                <w:szCs w:val="18"/>
              </w:rPr>
              <w:t>e</w:t>
            </w:r>
            <w:r w:rsidRPr="00AC4931">
              <w:rPr>
                <w:rFonts w:ascii="Arial" w:eastAsia="宋体" w:hAnsi="Arial" w:cs="Arial"/>
                <w:kern w:val="0"/>
                <w:sz w:val="18"/>
                <w:szCs w:val="18"/>
              </w:rPr>
              <w:t>r</w:t>
            </w:r>
          </w:p>
        </w:tc>
      </w:tr>
      <w:tr w:rsidR="00AC4931" w:rsidRPr="00AC4931" w14:paraId="2F1F4C0E" w14:textId="77777777" w:rsidTr="00AC4931">
        <w:tc>
          <w:tcPr>
            <w:tcW w:w="10204" w:type="dxa"/>
            <w:hideMark/>
          </w:tcPr>
          <w:p w14:paraId="55C778F4" w14:textId="77777777" w:rsidR="00AC4931" w:rsidRPr="00AC4931" w:rsidRDefault="00AC4931" w:rsidP="00AC4931">
            <w:pPr>
              <w:widowControl/>
              <w:jc w:val="left"/>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610" w:type="dxa"/>
            <w:hideMark/>
          </w:tcPr>
          <w:p w14:paraId="6078174F"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7A231666"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David</w:t>
            </w:r>
            <w:r w:rsidRPr="00AC4931">
              <w:rPr>
                <w:rFonts w:ascii="Arial" w:eastAsia="宋体" w:hAnsi="Arial" w:cs="Arial"/>
                <w:spacing w:val="10"/>
                <w:kern w:val="0"/>
                <w:sz w:val="18"/>
                <w:szCs w:val="18"/>
              </w:rPr>
              <w:t> </w:t>
            </w:r>
            <w:r w:rsidRPr="00AC4931">
              <w:rPr>
                <w:rFonts w:ascii="Arial" w:eastAsia="宋体" w:hAnsi="Arial" w:cs="Arial"/>
                <w:kern w:val="0"/>
                <w:sz w:val="18"/>
                <w:szCs w:val="18"/>
              </w:rPr>
              <w:t>E.</w:t>
            </w:r>
            <w:r w:rsidRPr="00AC4931">
              <w:rPr>
                <w:rFonts w:ascii="Arial" w:eastAsia="宋体" w:hAnsi="Arial" w:cs="Arial"/>
                <w:spacing w:val="4"/>
                <w:kern w:val="0"/>
                <w:sz w:val="18"/>
                <w:szCs w:val="18"/>
              </w:rPr>
              <w:t> </w:t>
            </w:r>
            <w:r w:rsidRPr="00AC4931">
              <w:rPr>
                <w:rFonts w:ascii="Arial" w:eastAsia="宋体" w:hAnsi="Arial" w:cs="Arial"/>
                <w:kern w:val="0"/>
                <w:sz w:val="18"/>
                <w:szCs w:val="18"/>
              </w:rPr>
              <w:t>Kepl</w:t>
            </w:r>
            <w:r w:rsidRPr="00AC4931">
              <w:rPr>
                <w:rFonts w:ascii="Arial" w:eastAsia="宋体" w:hAnsi="Arial" w:cs="Arial"/>
                <w:spacing w:val="-1"/>
                <w:kern w:val="0"/>
                <w:sz w:val="18"/>
                <w:szCs w:val="18"/>
              </w:rPr>
              <w:t>e</w:t>
            </w:r>
            <w:r w:rsidRPr="00AC4931">
              <w:rPr>
                <w:rFonts w:ascii="Arial" w:eastAsia="宋体" w:hAnsi="Arial" w:cs="Arial"/>
                <w:kern w:val="0"/>
                <w:sz w:val="18"/>
                <w:szCs w:val="18"/>
              </w:rPr>
              <w:t>r</w:t>
            </w:r>
          </w:p>
        </w:tc>
      </w:tr>
      <w:tr w:rsidR="00AC4931" w:rsidRPr="00AC4931" w14:paraId="134B317A" w14:textId="77777777" w:rsidTr="00AC4931">
        <w:tc>
          <w:tcPr>
            <w:tcW w:w="10204" w:type="dxa"/>
            <w:hideMark/>
          </w:tcPr>
          <w:p w14:paraId="5EB57872"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72DA929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4635A6C2"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1B23C4A" w14:textId="77777777" w:rsidTr="00AC4931">
        <w:tc>
          <w:tcPr>
            <w:tcW w:w="10204" w:type="dxa"/>
            <w:hideMark/>
          </w:tcPr>
          <w:p w14:paraId="46B5D65C"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Director</w:t>
            </w:r>
          </w:p>
        </w:tc>
        <w:tc>
          <w:tcPr>
            <w:tcW w:w="610" w:type="dxa"/>
            <w:hideMark/>
          </w:tcPr>
          <w:p w14:paraId="48ED545F"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53CAAF41"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w:t>
            </w:r>
            <w:r w:rsidRPr="00AC4931">
              <w:rPr>
                <w:rFonts w:ascii="Arial" w:eastAsia="宋体" w:hAnsi="Arial" w:cs="Arial"/>
                <w:spacing w:val="5"/>
                <w:kern w:val="0"/>
                <w:sz w:val="18"/>
                <w:szCs w:val="18"/>
              </w:rPr>
              <w:t> </w:t>
            </w:r>
            <w:r w:rsidRPr="00AC4931">
              <w:rPr>
                <w:rFonts w:ascii="Arial" w:eastAsia="宋体" w:hAnsi="Arial" w:cs="Arial"/>
                <w:kern w:val="0"/>
                <w:sz w:val="18"/>
                <w:szCs w:val="18"/>
              </w:rPr>
              <w:t>Franz-Josef</w:t>
            </w:r>
            <w:r w:rsidRPr="00AC4931">
              <w:rPr>
                <w:rFonts w:ascii="Arial" w:eastAsia="宋体" w:hAnsi="Arial" w:cs="Arial"/>
                <w:spacing w:val="18"/>
                <w:kern w:val="0"/>
                <w:sz w:val="18"/>
                <w:szCs w:val="18"/>
              </w:rPr>
              <w:t> </w:t>
            </w:r>
            <w:r w:rsidRPr="00AC4931">
              <w:rPr>
                <w:rFonts w:ascii="Arial" w:eastAsia="宋体" w:hAnsi="Arial" w:cs="Arial"/>
                <w:kern w:val="0"/>
                <w:sz w:val="18"/>
                <w:szCs w:val="18"/>
              </w:rPr>
              <w:t>Kor</w:t>
            </w:r>
            <w:r w:rsidRPr="00AC4931">
              <w:rPr>
                <w:rFonts w:ascii="Arial" w:eastAsia="宋体" w:hAnsi="Arial" w:cs="Arial"/>
                <w:spacing w:val="1"/>
                <w:kern w:val="0"/>
                <w:sz w:val="18"/>
                <w:szCs w:val="18"/>
              </w:rPr>
              <w:t>t</w:t>
            </w:r>
            <w:r w:rsidRPr="00AC4931">
              <w:rPr>
                <w:rFonts w:ascii="Arial" w:eastAsia="宋体" w:hAnsi="Arial" w:cs="Arial"/>
                <w:kern w:val="0"/>
                <w:sz w:val="18"/>
                <w:szCs w:val="18"/>
              </w:rPr>
              <w:t>üm</w:t>
            </w:r>
          </w:p>
        </w:tc>
      </w:tr>
      <w:tr w:rsidR="00AC4931" w:rsidRPr="00AC4931" w14:paraId="63E5DD38" w14:textId="77777777" w:rsidTr="00AC4931">
        <w:tc>
          <w:tcPr>
            <w:tcW w:w="10204" w:type="dxa"/>
            <w:hideMark/>
          </w:tcPr>
          <w:p w14:paraId="4DBF9708"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610" w:type="dxa"/>
            <w:hideMark/>
          </w:tcPr>
          <w:p w14:paraId="4A11F7EE"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2E614020"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Fran</w:t>
            </w:r>
            <w:r w:rsidRPr="00AC4931">
              <w:rPr>
                <w:rFonts w:ascii="Arial" w:eastAsia="宋体" w:hAnsi="Arial" w:cs="Arial"/>
                <w:spacing w:val="1"/>
                <w:kern w:val="0"/>
                <w:sz w:val="18"/>
                <w:szCs w:val="18"/>
              </w:rPr>
              <w:t>z</w:t>
            </w:r>
            <w:r w:rsidRPr="00AC4931">
              <w:rPr>
                <w:rFonts w:ascii="Arial" w:eastAsia="宋体" w:hAnsi="Arial" w:cs="Arial"/>
                <w:spacing w:val="-1"/>
                <w:kern w:val="0"/>
                <w:sz w:val="18"/>
                <w:szCs w:val="18"/>
              </w:rPr>
              <w:t>-</w:t>
            </w:r>
            <w:r w:rsidRPr="00AC4931">
              <w:rPr>
                <w:rFonts w:ascii="Arial" w:eastAsia="宋体" w:hAnsi="Arial" w:cs="Arial"/>
                <w:kern w:val="0"/>
                <w:sz w:val="18"/>
                <w:szCs w:val="18"/>
              </w:rPr>
              <w:t>Josef</w:t>
            </w:r>
            <w:r w:rsidRPr="00AC4931">
              <w:rPr>
                <w:rFonts w:ascii="Arial" w:eastAsia="宋体" w:hAnsi="Arial" w:cs="Arial"/>
                <w:spacing w:val="19"/>
                <w:kern w:val="0"/>
                <w:sz w:val="18"/>
                <w:szCs w:val="18"/>
              </w:rPr>
              <w:t> </w:t>
            </w:r>
            <w:r w:rsidRPr="00AC4931">
              <w:rPr>
                <w:rFonts w:ascii="Arial" w:eastAsia="宋体" w:hAnsi="Arial" w:cs="Arial"/>
                <w:kern w:val="0"/>
                <w:sz w:val="18"/>
                <w:szCs w:val="18"/>
              </w:rPr>
              <w:t>Kortüm</w:t>
            </w:r>
          </w:p>
        </w:tc>
      </w:tr>
      <w:tr w:rsidR="00AC4931" w:rsidRPr="00AC4931" w14:paraId="679AFB42" w14:textId="77777777" w:rsidTr="00AC4931">
        <w:tc>
          <w:tcPr>
            <w:tcW w:w="10204" w:type="dxa"/>
            <w:hideMark/>
          </w:tcPr>
          <w:p w14:paraId="0464A622"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610" w:type="dxa"/>
            <w:hideMark/>
          </w:tcPr>
          <w:p w14:paraId="24461256"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hideMark/>
          </w:tcPr>
          <w:p w14:paraId="2F3A389F"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r>
      <w:tr w:rsidR="00AC4931" w:rsidRPr="00AC4931" w14:paraId="72B0BE80" w14:textId="77777777" w:rsidTr="00AC4931">
        <w:tc>
          <w:tcPr>
            <w:tcW w:w="10204" w:type="dxa"/>
            <w:hideMark/>
          </w:tcPr>
          <w:p w14:paraId="3FA60877"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Director</w:t>
            </w:r>
          </w:p>
        </w:tc>
        <w:tc>
          <w:tcPr>
            <w:tcW w:w="610" w:type="dxa"/>
            <w:hideMark/>
          </w:tcPr>
          <w:p w14:paraId="5F9F8FE0"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075F6BA1" w14:textId="77777777" w:rsidR="00AC4931" w:rsidRPr="00AC4931" w:rsidRDefault="00AC4931" w:rsidP="00AC4931">
            <w:pPr>
              <w:widowControl/>
              <w:jc w:val="left"/>
              <w:rPr>
                <w:rFonts w:ascii="Arial" w:eastAsia="宋体" w:hAnsi="Arial" w:cs="Arial"/>
                <w:spacing w:val="-1"/>
                <w:kern w:val="0"/>
                <w:sz w:val="18"/>
                <w:szCs w:val="18"/>
              </w:rPr>
            </w:pPr>
            <w:r w:rsidRPr="00AC4931">
              <w:rPr>
                <w:rFonts w:ascii="Arial" w:eastAsia="宋体" w:hAnsi="Arial" w:cs="Arial"/>
                <w:spacing w:val="-1"/>
                <w:kern w:val="0"/>
                <w:sz w:val="18"/>
                <w:szCs w:val="18"/>
              </w:rPr>
              <w:t>/s/ Frédéric Lissalde</w:t>
            </w:r>
          </w:p>
        </w:tc>
      </w:tr>
      <w:tr w:rsidR="00AC4931" w:rsidRPr="00AC4931" w14:paraId="59B965AC" w14:textId="77777777" w:rsidTr="00AC4931">
        <w:tc>
          <w:tcPr>
            <w:tcW w:w="10204" w:type="dxa"/>
            <w:hideMark/>
          </w:tcPr>
          <w:p w14:paraId="01892B7E"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610" w:type="dxa"/>
            <w:hideMark/>
          </w:tcPr>
          <w:p w14:paraId="06561EF9"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30EEF1A7" w14:textId="77777777" w:rsidR="00AC4931" w:rsidRPr="00AC4931" w:rsidRDefault="00AC4931" w:rsidP="00AC4931">
            <w:pPr>
              <w:widowControl/>
              <w:jc w:val="left"/>
              <w:rPr>
                <w:rFonts w:ascii="Arial" w:eastAsia="宋体" w:hAnsi="Arial" w:cs="Arial"/>
                <w:spacing w:val="-1"/>
                <w:kern w:val="0"/>
                <w:sz w:val="18"/>
                <w:szCs w:val="18"/>
              </w:rPr>
            </w:pPr>
            <w:r w:rsidRPr="00AC4931">
              <w:rPr>
                <w:rFonts w:ascii="Arial" w:eastAsia="宋体" w:hAnsi="Arial" w:cs="Arial"/>
                <w:spacing w:val="-1"/>
                <w:kern w:val="0"/>
                <w:sz w:val="18"/>
                <w:szCs w:val="18"/>
              </w:rPr>
              <w:t>Frédéric Lissalde</w:t>
            </w:r>
          </w:p>
        </w:tc>
      </w:tr>
      <w:tr w:rsidR="00AC4931" w:rsidRPr="00AC4931" w14:paraId="48328854" w14:textId="77777777" w:rsidTr="00AC4931">
        <w:tc>
          <w:tcPr>
            <w:tcW w:w="10204" w:type="dxa"/>
            <w:hideMark/>
          </w:tcPr>
          <w:p w14:paraId="387E556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619F57BD"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38F5C926"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9316672" w14:textId="77777777" w:rsidTr="00AC4931">
        <w:tc>
          <w:tcPr>
            <w:tcW w:w="10204" w:type="dxa"/>
            <w:hideMark/>
          </w:tcPr>
          <w:p w14:paraId="55A4C9F8"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Director</w:t>
            </w:r>
          </w:p>
        </w:tc>
        <w:tc>
          <w:tcPr>
            <w:tcW w:w="610" w:type="dxa"/>
            <w:hideMark/>
          </w:tcPr>
          <w:p w14:paraId="2DE50590"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46133051"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 Min Liu</w:t>
            </w:r>
          </w:p>
        </w:tc>
      </w:tr>
      <w:tr w:rsidR="00AC4931" w:rsidRPr="00AC4931" w14:paraId="33F850A3" w14:textId="77777777" w:rsidTr="00AC4931">
        <w:tc>
          <w:tcPr>
            <w:tcW w:w="10204" w:type="dxa"/>
            <w:hideMark/>
          </w:tcPr>
          <w:p w14:paraId="27340725"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lastRenderedPageBreak/>
              <w:t> </w:t>
            </w:r>
          </w:p>
        </w:tc>
        <w:tc>
          <w:tcPr>
            <w:tcW w:w="610" w:type="dxa"/>
            <w:hideMark/>
          </w:tcPr>
          <w:p w14:paraId="1202E738"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146CFB7B"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Min Liu</w:t>
            </w:r>
          </w:p>
        </w:tc>
      </w:tr>
      <w:tr w:rsidR="00AC4931" w:rsidRPr="00AC4931" w14:paraId="59F02C96" w14:textId="77777777" w:rsidTr="00AC4931">
        <w:tc>
          <w:tcPr>
            <w:tcW w:w="10204" w:type="dxa"/>
            <w:hideMark/>
          </w:tcPr>
          <w:p w14:paraId="583A4478"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4E61A5D4"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1323A7FC"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56CDE71" w14:textId="77777777" w:rsidTr="00AC4931">
        <w:tc>
          <w:tcPr>
            <w:tcW w:w="10204" w:type="dxa"/>
            <w:hideMark/>
          </w:tcPr>
          <w:p w14:paraId="6DEB5F9D"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Director</w:t>
            </w:r>
          </w:p>
        </w:tc>
        <w:tc>
          <w:tcPr>
            <w:tcW w:w="610" w:type="dxa"/>
            <w:hideMark/>
          </w:tcPr>
          <w:p w14:paraId="79C0042A"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566CC275"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w:t>
            </w:r>
            <w:r w:rsidRPr="00AC4931">
              <w:rPr>
                <w:rFonts w:ascii="Arial" w:eastAsia="宋体" w:hAnsi="Arial" w:cs="Arial"/>
                <w:spacing w:val="5"/>
                <w:kern w:val="0"/>
                <w:sz w:val="18"/>
                <w:szCs w:val="18"/>
              </w:rPr>
              <w:t> </w:t>
            </w:r>
            <w:r w:rsidRPr="00AC4931">
              <w:rPr>
                <w:rFonts w:ascii="Arial" w:eastAsia="宋体" w:hAnsi="Arial" w:cs="Arial"/>
                <w:kern w:val="0"/>
                <w:sz w:val="18"/>
                <w:szCs w:val="18"/>
              </w:rPr>
              <w:t>X</w:t>
            </w:r>
            <w:r w:rsidRPr="00AC4931">
              <w:rPr>
                <w:rFonts w:ascii="Arial" w:eastAsia="宋体" w:hAnsi="Arial" w:cs="Arial"/>
                <w:spacing w:val="1"/>
                <w:kern w:val="0"/>
                <w:sz w:val="18"/>
                <w:szCs w:val="18"/>
              </w:rPr>
              <w:t>i</w:t>
            </w:r>
            <w:r w:rsidRPr="00AC4931">
              <w:rPr>
                <w:rFonts w:ascii="Arial" w:eastAsia="宋体" w:hAnsi="Arial" w:cs="Arial"/>
                <w:kern w:val="0"/>
                <w:sz w:val="18"/>
                <w:szCs w:val="18"/>
              </w:rPr>
              <w:t>aozhi</w:t>
            </w:r>
            <w:r w:rsidRPr="00AC4931">
              <w:rPr>
                <w:rFonts w:ascii="Arial" w:eastAsia="宋体" w:hAnsi="Arial" w:cs="Arial"/>
                <w:spacing w:val="13"/>
                <w:kern w:val="0"/>
                <w:sz w:val="18"/>
                <w:szCs w:val="18"/>
              </w:rPr>
              <w:t> </w:t>
            </w:r>
            <w:r w:rsidRPr="00AC4931">
              <w:rPr>
                <w:rFonts w:ascii="Arial" w:eastAsia="宋体" w:hAnsi="Arial" w:cs="Arial"/>
                <w:kern w:val="0"/>
                <w:sz w:val="18"/>
                <w:szCs w:val="18"/>
              </w:rPr>
              <w:t>Liu</w:t>
            </w:r>
          </w:p>
        </w:tc>
      </w:tr>
      <w:tr w:rsidR="00AC4931" w:rsidRPr="00AC4931" w14:paraId="2B7328E0" w14:textId="77777777" w:rsidTr="00AC4931">
        <w:tc>
          <w:tcPr>
            <w:tcW w:w="10204" w:type="dxa"/>
            <w:hideMark/>
          </w:tcPr>
          <w:p w14:paraId="5C9E6A05"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610" w:type="dxa"/>
            <w:hideMark/>
          </w:tcPr>
          <w:p w14:paraId="44561AE8"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36530EF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Xiaozhi</w:t>
            </w:r>
            <w:r w:rsidRPr="00AC4931">
              <w:rPr>
                <w:rFonts w:ascii="Arial" w:eastAsia="宋体" w:hAnsi="Arial" w:cs="Arial"/>
                <w:spacing w:val="12"/>
                <w:kern w:val="0"/>
                <w:sz w:val="18"/>
                <w:szCs w:val="18"/>
              </w:rPr>
              <w:t> </w:t>
            </w:r>
            <w:r w:rsidRPr="00AC4931">
              <w:rPr>
                <w:rFonts w:ascii="Arial" w:eastAsia="宋体" w:hAnsi="Arial" w:cs="Arial"/>
                <w:kern w:val="0"/>
                <w:sz w:val="18"/>
                <w:szCs w:val="18"/>
              </w:rPr>
              <w:t>Liu</w:t>
            </w:r>
          </w:p>
        </w:tc>
      </w:tr>
      <w:tr w:rsidR="00AC4931" w:rsidRPr="00AC4931" w14:paraId="3E2F99FA" w14:textId="77777777" w:rsidTr="00AC4931">
        <w:tc>
          <w:tcPr>
            <w:tcW w:w="10204" w:type="dxa"/>
            <w:hideMark/>
          </w:tcPr>
          <w:p w14:paraId="7BF3E3D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5679112A"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7D94528B"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6459E396" w14:textId="77777777" w:rsidTr="00AC4931">
        <w:tc>
          <w:tcPr>
            <w:tcW w:w="10204" w:type="dxa"/>
            <w:hideMark/>
          </w:tcPr>
          <w:p w14:paraId="4332F2D9"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Director</w:t>
            </w:r>
          </w:p>
        </w:tc>
        <w:tc>
          <w:tcPr>
            <w:tcW w:w="610" w:type="dxa"/>
            <w:hideMark/>
          </w:tcPr>
          <w:p w14:paraId="149B3F4F"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22D87053"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w:t>
            </w:r>
            <w:r w:rsidRPr="00AC4931">
              <w:rPr>
                <w:rFonts w:ascii="Arial" w:eastAsia="宋体" w:hAnsi="Arial" w:cs="Arial"/>
                <w:spacing w:val="5"/>
                <w:kern w:val="0"/>
                <w:sz w:val="18"/>
                <w:szCs w:val="18"/>
              </w:rPr>
              <w:t> </w:t>
            </w:r>
            <w:r w:rsidRPr="00AC4931">
              <w:rPr>
                <w:rFonts w:ascii="Arial" w:eastAsia="宋体" w:hAnsi="Arial" w:cs="Arial"/>
                <w:kern w:val="0"/>
                <w:sz w:val="18"/>
                <w:szCs w:val="18"/>
              </w:rPr>
              <w:t>James</w:t>
            </w:r>
            <w:r w:rsidRPr="00AC4931">
              <w:rPr>
                <w:rFonts w:ascii="Arial" w:eastAsia="宋体" w:hAnsi="Arial" w:cs="Arial"/>
                <w:spacing w:val="10"/>
                <w:kern w:val="0"/>
                <w:sz w:val="18"/>
                <w:szCs w:val="18"/>
              </w:rPr>
              <w:t> </w:t>
            </w:r>
            <w:r w:rsidRPr="00AC4931">
              <w:rPr>
                <w:rFonts w:ascii="Arial" w:eastAsia="宋体" w:hAnsi="Arial" w:cs="Arial"/>
                <w:kern w:val="0"/>
                <w:sz w:val="18"/>
                <w:szCs w:val="18"/>
              </w:rPr>
              <w:t>M.</w:t>
            </w:r>
            <w:r w:rsidRPr="00AC4931">
              <w:rPr>
                <w:rFonts w:ascii="Arial" w:eastAsia="宋体" w:hAnsi="Arial" w:cs="Arial"/>
                <w:spacing w:val="4"/>
                <w:kern w:val="0"/>
                <w:sz w:val="18"/>
                <w:szCs w:val="18"/>
              </w:rPr>
              <w:t> </w:t>
            </w:r>
            <w:r w:rsidRPr="00AC4931">
              <w:rPr>
                <w:rFonts w:ascii="Arial" w:eastAsia="宋体" w:hAnsi="Arial" w:cs="Arial"/>
                <w:kern w:val="0"/>
                <w:sz w:val="18"/>
                <w:szCs w:val="18"/>
              </w:rPr>
              <w:t>Ringl</w:t>
            </w:r>
            <w:r w:rsidRPr="00AC4931">
              <w:rPr>
                <w:rFonts w:ascii="Arial" w:eastAsia="宋体" w:hAnsi="Arial" w:cs="Arial"/>
                <w:spacing w:val="1"/>
                <w:kern w:val="0"/>
                <w:sz w:val="18"/>
                <w:szCs w:val="18"/>
              </w:rPr>
              <w:t>e</w:t>
            </w:r>
            <w:r w:rsidRPr="00AC4931">
              <w:rPr>
                <w:rFonts w:ascii="Arial" w:eastAsia="宋体" w:hAnsi="Arial" w:cs="Arial"/>
                <w:kern w:val="0"/>
                <w:sz w:val="18"/>
                <w:szCs w:val="18"/>
              </w:rPr>
              <w:t>r</w:t>
            </w:r>
          </w:p>
        </w:tc>
      </w:tr>
      <w:tr w:rsidR="00AC4931" w:rsidRPr="00AC4931" w14:paraId="12430DBD" w14:textId="77777777" w:rsidTr="00AC4931">
        <w:tc>
          <w:tcPr>
            <w:tcW w:w="10204" w:type="dxa"/>
            <w:hideMark/>
          </w:tcPr>
          <w:p w14:paraId="677CDD9D"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610" w:type="dxa"/>
            <w:hideMark/>
          </w:tcPr>
          <w:p w14:paraId="3C4EADFF"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3175E0EF"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James</w:t>
            </w:r>
            <w:r w:rsidRPr="00AC4931">
              <w:rPr>
                <w:rFonts w:ascii="Arial" w:eastAsia="宋体" w:hAnsi="Arial" w:cs="Arial"/>
                <w:spacing w:val="10"/>
                <w:kern w:val="0"/>
                <w:sz w:val="18"/>
                <w:szCs w:val="18"/>
              </w:rPr>
              <w:t> </w:t>
            </w:r>
            <w:r w:rsidRPr="00AC4931">
              <w:rPr>
                <w:rFonts w:ascii="Arial" w:eastAsia="宋体" w:hAnsi="Arial" w:cs="Arial"/>
                <w:kern w:val="0"/>
                <w:sz w:val="18"/>
                <w:szCs w:val="18"/>
              </w:rPr>
              <w:t>M.</w:t>
            </w:r>
            <w:r w:rsidRPr="00AC4931">
              <w:rPr>
                <w:rFonts w:ascii="Arial" w:eastAsia="宋体" w:hAnsi="Arial" w:cs="Arial"/>
                <w:spacing w:val="4"/>
                <w:kern w:val="0"/>
                <w:sz w:val="18"/>
                <w:szCs w:val="18"/>
              </w:rPr>
              <w:t> </w:t>
            </w:r>
            <w:r w:rsidRPr="00AC4931">
              <w:rPr>
                <w:rFonts w:ascii="Arial" w:eastAsia="宋体" w:hAnsi="Arial" w:cs="Arial"/>
                <w:kern w:val="0"/>
                <w:sz w:val="18"/>
                <w:szCs w:val="18"/>
              </w:rPr>
              <w:t>Ringler</w:t>
            </w:r>
          </w:p>
        </w:tc>
      </w:tr>
      <w:tr w:rsidR="00AC4931" w:rsidRPr="00AC4931" w14:paraId="2C5CE79E" w14:textId="77777777" w:rsidTr="00AC4931">
        <w:tc>
          <w:tcPr>
            <w:tcW w:w="10204" w:type="dxa"/>
            <w:hideMark/>
          </w:tcPr>
          <w:p w14:paraId="3172C821"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610" w:type="dxa"/>
            <w:hideMark/>
          </w:tcPr>
          <w:p w14:paraId="1B7463DF"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c>
          <w:tcPr>
            <w:tcW w:w="9800" w:type="dxa"/>
            <w:hideMark/>
          </w:tcPr>
          <w:p w14:paraId="5B28193C" w14:textId="77777777" w:rsidR="00AC4931" w:rsidRPr="00AC4931" w:rsidRDefault="00AC4931" w:rsidP="00AC4931">
            <w:pPr>
              <w:widowControl/>
              <w:jc w:val="left"/>
              <w:rPr>
                <w:rFonts w:ascii="宋体" w:eastAsia="宋体" w:hAnsi="宋体" w:cs="宋体"/>
                <w:kern w:val="0"/>
                <w:sz w:val="12"/>
                <w:szCs w:val="12"/>
              </w:rPr>
            </w:pPr>
            <w:r w:rsidRPr="00AC4931">
              <w:rPr>
                <w:rFonts w:ascii="宋体" w:eastAsia="宋体" w:hAnsi="宋体" w:cs="宋体"/>
                <w:kern w:val="0"/>
                <w:sz w:val="12"/>
                <w:szCs w:val="12"/>
              </w:rPr>
              <w:t> </w:t>
            </w:r>
          </w:p>
        </w:tc>
      </w:tr>
      <w:tr w:rsidR="00AC4931" w:rsidRPr="00AC4931" w14:paraId="2D2ECE0E" w14:textId="77777777" w:rsidTr="00AC4931">
        <w:tc>
          <w:tcPr>
            <w:tcW w:w="10204" w:type="dxa"/>
            <w:hideMark/>
          </w:tcPr>
          <w:p w14:paraId="032E638E"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Director</w:t>
            </w:r>
          </w:p>
        </w:tc>
        <w:tc>
          <w:tcPr>
            <w:tcW w:w="610" w:type="dxa"/>
            <w:hideMark/>
          </w:tcPr>
          <w:p w14:paraId="25ADF92F"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bottom w:val="single" w:sz="6" w:space="0" w:color="000000"/>
            </w:tcBorders>
            <w:hideMark/>
          </w:tcPr>
          <w:p w14:paraId="1E3D3534" w14:textId="77777777" w:rsidR="00AC4931" w:rsidRPr="00AC4931" w:rsidRDefault="00AC4931" w:rsidP="00AC4931">
            <w:pPr>
              <w:widowControl/>
              <w:jc w:val="left"/>
              <w:rPr>
                <w:rFonts w:ascii="Arial" w:eastAsia="宋体" w:hAnsi="Arial" w:cs="Arial"/>
                <w:kern w:val="0"/>
                <w:sz w:val="18"/>
                <w:szCs w:val="18"/>
              </w:rPr>
            </w:pPr>
            <w:r w:rsidRPr="00AC4931">
              <w:rPr>
                <w:rFonts w:ascii="Arial" w:eastAsia="宋体" w:hAnsi="Arial" w:cs="Arial"/>
                <w:kern w:val="0"/>
                <w:sz w:val="18"/>
                <w:szCs w:val="18"/>
              </w:rPr>
              <w:t>/s/</w:t>
            </w:r>
            <w:r w:rsidRPr="00AC4931">
              <w:rPr>
                <w:rFonts w:ascii="Arial" w:eastAsia="宋体" w:hAnsi="Arial" w:cs="Arial"/>
                <w:spacing w:val="5"/>
                <w:kern w:val="0"/>
                <w:sz w:val="18"/>
                <w:szCs w:val="18"/>
              </w:rPr>
              <w:t> </w:t>
            </w:r>
            <w:r w:rsidRPr="00AC4931">
              <w:rPr>
                <w:rFonts w:ascii="Arial" w:eastAsia="宋体" w:hAnsi="Arial" w:cs="Arial"/>
                <w:kern w:val="0"/>
                <w:sz w:val="18"/>
                <w:szCs w:val="18"/>
              </w:rPr>
              <w:t>Thaddeus Senko</w:t>
            </w:r>
          </w:p>
        </w:tc>
      </w:tr>
      <w:tr w:rsidR="00AC4931" w:rsidRPr="00AC4931" w14:paraId="506520A2" w14:textId="77777777" w:rsidTr="00AC4931">
        <w:tc>
          <w:tcPr>
            <w:tcW w:w="10204" w:type="dxa"/>
            <w:hideMark/>
          </w:tcPr>
          <w:p w14:paraId="77A3B178"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610" w:type="dxa"/>
            <w:hideMark/>
          </w:tcPr>
          <w:p w14:paraId="5DDC463F"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tcBorders>
              <w:top w:val="single" w:sz="6" w:space="0" w:color="000000"/>
            </w:tcBorders>
            <w:hideMark/>
          </w:tcPr>
          <w:p w14:paraId="667FD040" w14:textId="77777777" w:rsidR="00AC4931" w:rsidRPr="00AC4931" w:rsidRDefault="00AC4931" w:rsidP="00AC4931">
            <w:pPr>
              <w:widowControl/>
              <w:jc w:val="left"/>
              <w:rPr>
                <w:rFonts w:ascii="Arial" w:eastAsia="宋体" w:hAnsi="Arial" w:cs="Arial"/>
                <w:spacing w:val="-1"/>
                <w:kern w:val="0"/>
                <w:sz w:val="18"/>
                <w:szCs w:val="18"/>
              </w:rPr>
            </w:pPr>
            <w:r w:rsidRPr="00AC4931">
              <w:rPr>
                <w:rFonts w:ascii="Arial" w:eastAsia="宋体" w:hAnsi="Arial" w:cs="Arial"/>
                <w:spacing w:val="-1"/>
                <w:kern w:val="0"/>
                <w:sz w:val="18"/>
                <w:szCs w:val="18"/>
              </w:rPr>
              <w:t>Thaddeus Senko</w:t>
            </w:r>
          </w:p>
        </w:tc>
      </w:tr>
      <w:tr w:rsidR="00AC4931" w:rsidRPr="00AC4931" w14:paraId="231CA1D3" w14:textId="77777777" w:rsidTr="00AC4931">
        <w:tc>
          <w:tcPr>
            <w:tcW w:w="10204" w:type="dxa"/>
            <w:hideMark/>
          </w:tcPr>
          <w:p w14:paraId="52A1CA95"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610" w:type="dxa"/>
            <w:hideMark/>
          </w:tcPr>
          <w:p w14:paraId="23E586E7"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hideMark/>
          </w:tcPr>
          <w:p w14:paraId="37751E6A"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r>
      <w:tr w:rsidR="00AC4931" w:rsidRPr="00AC4931" w14:paraId="7140C4C6" w14:textId="77777777" w:rsidTr="00AC4931">
        <w:tc>
          <w:tcPr>
            <w:tcW w:w="10204" w:type="dxa"/>
            <w:hideMark/>
          </w:tcPr>
          <w:p w14:paraId="1C78E2E9" w14:textId="77777777" w:rsidR="00AC4931" w:rsidRPr="00AC4931" w:rsidRDefault="00AC4931" w:rsidP="00AC4931">
            <w:pPr>
              <w:widowControl/>
              <w:jc w:val="center"/>
              <w:rPr>
                <w:rFonts w:ascii="Times New Roman" w:eastAsia="宋体" w:hAnsi="Times New Roman" w:cs="Times New Roman"/>
                <w:kern w:val="0"/>
                <w:sz w:val="22"/>
              </w:rPr>
            </w:pPr>
            <w:r w:rsidRPr="00AC4931">
              <w:rPr>
                <w:rFonts w:ascii="Times New Roman" w:eastAsia="宋体" w:hAnsi="Times New Roman" w:cs="Times New Roman"/>
                <w:kern w:val="0"/>
                <w:sz w:val="22"/>
              </w:rPr>
              <w:t> </w:t>
            </w:r>
          </w:p>
        </w:tc>
        <w:tc>
          <w:tcPr>
            <w:tcW w:w="610" w:type="dxa"/>
            <w:hideMark/>
          </w:tcPr>
          <w:p w14:paraId="64A5D484"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c>
          <w:tcPr>
            <w:tcW w:w="9800" w:type="dxa"/>
            <w:hideMark/>
          </w:tcPr>
          <w:p w14:paraId="48D6BDEB" w14:textId="77777777" w:rsidR="00AC4931" w:rsidRPr="00AC4931" w:rsidRDefault="00AC4931" w:rsidP="00AC4931">
            <w:pPr>
              <w:widowControl/>
              <w:jc w:val="left"/>
              <w:rPr>
                <w:rFonts w:ascii="宋体" w:eastAsia="宋体" w:hAnsi="宋体" w:cs="宋体"/>
                <w:kern w:val="0"/>
                <w:sz w:val="18"/>
                <w:szCs w:val="18"/>
              </w:rPr>
            </w:pPr>
            <w:r w:rsidRPr="00AC4931">
              <w:rPr>
                <w:rFonts w:ascii="宋体" w:eastAsia="宋体" w:hAnsi="宋体" w:cs="宋体"/>
                <w:kern w:val="0"/>
                <w:sz w:val="18"/>
                <w:szCs w:val="18"/>
              </w:rPr>
              <w:t> </w:t>
            </w:r>
          </w:p>
        </w:tc>
      </w:tr>
    </w:tbl>
    <w:p w14:paraId="5CC9C90D" w14:textId="77777777" w:rsidR="00AC4931" w:rsidRPr="00AC4931" w:rsidRDefault="00AC4931" w:rsidP="00AC4931">
      <w:pPr>
        <w:widowControl/>
        <w:rPr>
          <w:rFonts w:ascii="微软雅黑" w:eastAsia="微软雅黑" w:hAnsi="微软雅黑" w:cs="宋体"/>
          <w:color w:val="000000"/>
          <w:kern w:val="0"/>
          <w:sz w:val="24"/>
          <w:szCs w:val="24"/>
        </w:rPr>
      </w:pPr>
      <w:r w:rsidRPr="00AC4931">
        <w:rPr>
          <w:rFonts w:ascii="微软雅黑" w:eastAsia="微软雅黑" w:hAnsi="微软雅黑" w:cs="宋体" w:hint="eastAsia"/>
          <w:color w:val="000000"/>
          <w:kern w:val="0"/>
          <w:sz w:val="24"/>
          <w:szCs w:val="24"/>
        </w:rPr>
        <w:t> </w:t>
      </w:r>
    </w:p>
    <w:p w14:paraId="4432F1EE" w14:textId="77777777" w:rsidR="00AC4931" w:rsidRPr="00AC4931" w:rsidRDefault="00AC4931" w:rsidP="00AC4931">
      <w:pPr>
        <w:widowControl/>
        <w:spacing w:before="240"/>
        <w:jc w:val="center"/>
        <w:rPr>
          <w:rFonts w:ascii="Arial" w:eastAsia="宋体" w:hAnsi="Arial" w:cs="Arial" w:hint="eastAsia"/>
          <w:color w:val="000000"/>
          <w:kern w:val="0"/>
          <w:sz w:val="18"/>
          <w:szCs w:val="18"/>
        </w:rPr>
      </w:pPr>
      <w:r w:rsidRPr="00AC4931">
        <w:rPr>
          <w:rFonts w:ascii="Arial" w:eastAsia="宋体" w:hAnsi="Arial" w:cs="Arial"/>
          <w:color w:val="000000"/>
          <w:kern w:val="0"/>
          <w:sz w:val="18"/>
          <w:szCs w:val="18"/>
        </w:rPr>
        <w:t>96</w:t>
      </w:r>
    </w:p>
    <w:p w14:paraId="71781B1D"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27B517B4"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95B2B1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990A489"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457F9F54">
          <v:rect id="_x0000_i1123" style="width:0;height:1.5pt" o:hralign="center" o:hrstd="t" o:hrnoshade="t" o:hr="t" fillcolor="black" stroked="f"/>
        </w:pict>
      </w:r>
    </w:p>
    <w:p w14:paraId="6D0508CA"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752F123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29DB7485"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311DB5F" w14:textId="77777777" w:rsidR="00AC4931" w:rsidRPr="00AC4931" w:rsidRDefault="00AC4931" w:rsidP="00AC4931">
      <w:pPr>
        <w:widowControl/>
        <w:jc w:val="left"/>
        <w:rPr>
          <w:rFonts w:ascii="Times New Roman" w:eastAsia="宋体" w:hAnsi="Times New Roman" w:cs="Times New Roman" w:hint="eastAsia"/>
          <w:color w:val="000000"/>
          <w:kern w:val="0"/>
          <w:sz w:val="22"/>
        </w:rPr>
      </w:pPr>
      <w:r w:rsidRPr="00AC4931">
        <w:rPr>
          <w:rFonts w:ascii="Times New Roman" w:eastAsia="宋体" w:hAnsi="Times New Roman" w:cs="Times New Roman"/>
          <w:color w:val="000000"/>
          <w:kern w:val="0"/>
          <w:sz w:val="22"/>
        </w:rPr>
        <w:t> </w:t>
      </w:r>
    </w:p>
    <w:p w14:paraId="3F19A92C" w14:textId="77777777" w:rsidR="00AC4931" w:rsidRPr="00AC4931" w:rsidRDefault="00AC4931" w:rsidP="00AC4931">
      <w:pPr>
        <w:widowControl/>
        <w:shd w:val="clear" w:color="auto" w:fill="FFFFFF"/>
        <w:spacing w:before="100"/>
        <w:rPr>
          <w:rFonts w:ascii="Arial" w:eastAsia="宋体" w:hAnsi="Arial" w:cs="Arial"/>
          <w:b/>
          <w:bCs/>
          <w:color w:val="000000"/>
          <w:kern w:val="0"/>
          <w:sz w:val="22"/>
        </w:rPr>
      </w:pPr>
      <w:r w:rsidRPr="00AC4931">
        <w:rPr>
          <w:rFonts w:ascii="Arial" w:eastAsia="宋体" w:hAnsi="Arial" w:cs="Arial"/>
          <w:b/>
          <w:bCs/>
          <w:color w:val="000000"/>
          <w:kern w:val="0"/>
          <w:sz w:val="22"/>
        </w:rPr>
        <w:t>Glossary and Definitions</w:t>
      </w:r>
    </w:p>
    <w:p w14:paraId="567BD8C5"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 this report, the following company or industry specific terms and abbreviations are used:</w:t>
      </w:r>
    </w:p>
    <w:p w14:paraId="6837EAF6"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BCC</w:t>
      </w:r>
    </w:p>
    <w:p w14:paraId="443DC0B3"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Best Cost Country</w:t>
      </w:r>
    </w:p>
    <w:p w14:paraId="10166AFF"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CAPITAL EMPLOYED</w:t>
      </w:r>
    </w:p>
    <w:p w14:paraId="4713758E"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Total equity and net debt (net cash).</w:t>
      </w:r>
    </w:p>
    <w:p w14:paraId="509195E9"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CAPITAL EXPENDITURES</w:t>
      </w:r>
    </w:p>
    <w:p w14:paraId="7C30F6DD"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Investments in property, plant and equipment.</w:t>
      </w:r>
    </w:p>
    <w:p w14:paraId="7D7B79B6"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CAPITAL TURN-OVER RATE</w:t>
      </w:r>
    </w:p>
    <w:p w14:paraId="04F93E05"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Annual sales in relation to average capital employed.</w:t>
      </w:r>
    </w:p>
    <w:p w14:paraId="68CD05E1"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CPV</w:t>
      </w:r>
    </w:p>
    <w:p w14:paraId="1C676E32"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Content Per Vehicle, i.e. value of the safety products in a vehicle.</w:t>
      </w:r>
    </w:p>
    <w:p w14:paraId="46FB2564"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DAYS INVENTORY OUTSTANDING</w:t>
      </w:r>
    </w:p>
    <w:p w14:paraId="2BD65422"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Outstanding inventory relative to average daily sales.</w:t>
      </w:r>
    </w:p>
    <w:p w14:paraId="586657EB"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DAYS RECEIVABLES OUTSTANDING</w:t>
      </w:r>
    </w:p>
    <w:p w14:paraId="6947BBB8"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Outstanding receivables relative to average daily sales.</w:t>
      </w:r>
    </w:p>
    <w:p w14:paraId="7FF96A84" w14:textId="77777777" w:rsidR="00AC4931" w:rsidRPr="00AC4931" w:rsidRDefault="00AC4931" w:rsidP="00AC4931">
      <w:pPr>
        <w:widowControl/>
        <w:shd w:val="clear" w:color="auto" w:fill="FFFFFF"/>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1E7840A4"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DEVELOPED MARKETS</w:t>
      </w:r>
    </w:p>
    <w:p w14:paraId="0654A2A2"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Includes North America, Western Europe, Japan and South Korea</w:t>
      </w:r>
    </w:p>
    <w:p w14:paraId="77EFC62A"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EARNINGS PER SHARE</w:t>
      </w:r>
    </w:p>
    <w:p w14:paraId="449224A1"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 attributable to controlling interest relative to weighted average number of shares (net of treasury shares) assuming dilution and basic, respectively.</w:t>
      </w:r>
    </w:p>
    <w:p w14:paraId="35941991"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EBIT</w:t>
      </w:r>
    </w:p>
    <w:p w14:paraId="0DA5AACB"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Earnings before interest and taxes.</w:t>
      </w:r>
    </w:p>
    <w:p w14:paraId="2795DC6E" w14:textId="77777777" w:rsidR="00AC4931" w:rsidRPr="00AC4931" w:rsidRDefault="00AC4931" w:rsidP="00AC4931">
      <w:pPr>
        <w:widowControl/>
        <w:shd w:val="clear" w:color="auto" w:fill="FFFFFF"/>
        <w:spacing w:before="120"/>
        <w:rPr>
          <w:rFonts w:ascii="微软雅黑" w:eastAsia="微软雅黑" w:hAnsi="微软雅黑" w:cs="宋体"/>
          <w:color w:val="000000"/>
          <w:kern w:val="0"/>
          <w:sz w:val="18"/>
          <w:szCs w:val="18"/>
        </w:rPr>
      </w:pPr>
      <w:r w:rsidRPr="00AC4931">
        <w:rPr>
          <w:rFonts w:ascii="微软雅黑" w:eastAsia="微软雅黑" w:hAnsi="微软雅黑" w:cs="宋体" w:hint="eastAsia"/>
          <w:color w:val="000000"/>
          <w:kern w:val="0"/>
          <w:sz w:val="18"/>
          <w:szCs w:val="18"/>
        </w:rPr>
        <w:t> </w:t>
      </w:r>
    </w:p>
    <w:p w14:paraId="3B3621A8" w14:textId="77777777" w:rsidR="00AC4931" w:rsidRPr="00AC4931" w:rsidRDefault="00AC4931" w:rsidP="00AC4931">
      <w:pPr>
        <w:widowControl/>
        <w:shd w:val="clear" w:color="auto" w:fill="FFFFFF"/>
        <w:spacing w:before="12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EBITDA</w:t>
      </w:r>
    </w:p>
    <w:p w14:paraId="26B5FEA1"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Earnings before interest, taxes, depreciation, and amortization</w:t>
      </w:r>
    </w:p>
    <w:p w14:paraId="2EF61CBD"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FREE CASH FLOW, NET</w:t>
      </w:r>
    </w:p>
    <w:p w14:paraId="32B9459E"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Cash flows from operating activities less capital expenditures, net.</w:t>
      </w:r>
    </w:p>
    <w:p w14:paraId="08B098C4"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GROSS MARGIN</w:t>
      </w:r>
    </w:p>
    <w:p w14:paraId="79E14CEC"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Gross profit relative to sales.</w:t>
      </w:r>
    </w:p>
    <w:p w14:paraId="53510301" w14:textId="77777777" w:rsidR="00AC4931" w:rsidRPr="00AC4931" w:rsidRDefault="00AC4931" w:rsidP="00AC4931">
      <w:pPr>
        <w:widowControl/>
        <w:jc w:val="left"/>
        <w:rPr>
          <w:rFonts w:ascii="微软雅黑" w:eastAsia="微软雅黑" w:hAnsi="微软雅黑" w:cs="宋体"/>
          <w:b/>
          <w:bCs/>
          <w:color w:val="000000"/>
          <w:kern w:val="0"/>
          <w:sz w:val="18"/>
          <w:szCs w:val="18"/>
        </w:rPr>
      </w:pPr>
      <w:r w:rsidRPr="00AC4931">
        <w:rPr>
          <w:rFonts w:ascii="微软雅黑" w:eastAsia="微软雅黑" w:hAnsi="微软雅黑" w:cs="宋体" w:hint="eastAsia"/>
          <w:b/>
          <w:bCs/>
          <w:color w:val="000000"/>
          <w:kern w:val="0"/>
          <w:sz w:val="18"/>
          <w:szCs w:val="18"/>
        </w:rPr>
        <w:t> </w:t>
      </w:r>
    </w:p>
    <w:p w14:paraId="65ED0E35" w14:textId="77777777" w:rsidR="00AC4931" w:rsidRPr="00AC4931" w:rsidRDefault="00AC4931" w:rsidP="00AC4931">
      <w:pPr>
        <w:widowControl/>
        <w:spacing w:before="16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t>GROWTH MARKETS</w:t>
      </w:r>
    </w:p>
    <w:p w14:paraId="52470715" w14:textId="77777777" w:rsidR="00AC4931" w:rsidRPr="00AC4931" w:rsidRDefault="00AC4931" w:rsidP="00AC4931">
      <w:pPr>
        <w:widowControl/>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Includes all markets except North America, Western Europe, Japan and South Korea</w:t>
      </w:r>
    </w:p>
    <w:p w14:paraId="09E785D3"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HCC</w:t>
      </w:r>
    </w:p>
    <w:p w14:paraId="1205B749"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High Cost Country</w:t>
      </w:r>
    </w:p>
    <w:p w14:paraId="005537E0"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97</w:t>
      </w:r>
    </w:p>
    <w:p w14:paraId="604D435F"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0F1E79CB"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1F33204A"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76A6B90" w14:textId="77777777" w:rsidR="00AC4931" w:rsidRPr="00AC4931" w:rsidRDefault="00AC4931" w:rsidP="00AC4931">
      <w:pPr>
        <w:widowControl/>
        <w:jc w:val="left"/>
        <w:rPr>
          <w:rFonts w:ascii="宋体" w:eastAsia="宋体" w:hAnsi="宋体" w:cs="宋体" w:hint="eastAsia"/>
          <w:kern w:val="0"/>
          <w:sz w:val="24"/>
          <w:szCs w:val="24"/>
        </w:rPr>
      </w:pPr>
      <w:r w:rsidRPr="00AC4931">
        <w:rPr>
          <w:rFonts w:ascii="宋体" w:eastAsia="宋体" w:hAnsi="宋体" w:cs="宋体"/>
          <w:kern w:val="0"/>
          <w:sz w:val="24"/>
          <w:szCs w:val="24"/>
        </w:rPr>
        <w:pict w14:anchorId="4C1024D1">
          <v:rect id="_x0000_i1124" style="width:0;height:1.5pt" o:hralign="center" o:hrstd="t" o:hrnoshade="t" o:hr="t" fillcolor="black" stroked="f"/>
        </w:pict>
      </w:r>
    </w:p>
    <w:p w14:paraId="18AD1B07"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3F2995C"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4CF232A4"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28D9DB7" w14:textId="77777777" w:rsidR="00AC4931" w:rsidRPr="00AC4931" w:rsidRDefault="00AC4931" w:rsidP="00AC4931">
      <w:pPr>
        <w:widowControl/>
        <w:shd w:val="clear" w:color="auto" w:fill="FFFFFF"/>
        <w:spacing w:before="340"/>
        <w:rPr>
          <w:rFonts w:ascii="Arial" w:eastAsia="宋体" w:hAnsi="Arial" w:cs="Arial" w:hint="eastAsia"/>
          <w:b/>
          <w:bCs/>
          <w:color w:val="000000"/>
          <w:kern w:val="0"/>
          <w:sz w:val="18"/>
          <w:szCs w:val="18"/>
        </w:rPr>
      </w:pPr>
      <w:r w:rsidRPr="00AC4931">
        <w:rPr>
          <w:rFonts w:ascii="Arial" w:eastAsia="宋体" w:hAnsi="Arial" w:cs="Arial"/>
          <w:b/>
          <w:bCs/>
          <w:color w:val="000000"/>
          <w:kern w:val="0"/>
          <w:sz w:val="18"/>
          <w:szCs w:val="18"/>
        </w:rPr>
        <w:lastRenderedPageBreak/>
        <w:t>HEADCOUNT</w:t>
      </w:r>
    </w:p>
    <w:p w14:paraId="0DE82AAF"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Employees plus temporary personnel.</w:t>
      </w:r>
    </w:p>
    <w:p w14:paraId="1EBA2DB5"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LEVERAGE RATIO</w:t>
      </w:r>
    </w:p>
    <w:p w14:paraId="677830B9"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Debt per the Policy in relation to EBITDA per the Policy (Earnings Before Interest, Taxes, Depreciation and Amortization), see Non-U.S. GAAP Performance Measures in Item 7 for calculation of this non-U.S. GAAP measure.</w:t>
      </w:r>
    </w:p>
    <w:p w14:paraId="08F21D59"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LMPU</w:t>
      </w:r>
    </w:p>
    <w:p w14:paraId="4B5CA7A3"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Labor minutes per produced unit.</w:t>
      </w:r>
    </w:p>
    <w:p w14:paraId="3C97FCEB"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LVP</w:t>
      </w:r>
    </w:p>
    <w:p w14:paraId="2DCEA202"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Light vehicle production of light motor vehicles with a gross weight of up to 3.5 metric tons.</w:t>
      </w:r>
    </w:p>
    <w:p w14:paraId="6B29EA03"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DEBT</w:t>
      </w:r>
    </w:p>
    <w:p w14:paraId="42035346"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Short and long-term debt including debt-related derivatives less cash and cash equivalents, see Non-U.S. GAAP Performance Measures in Item 7 for reconciliation of this non-U.S. GAAP measure.</w:t>
      </w:r>
    </w:p>
    <w:p w14:paraId="149E8AB6"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NET DEBT TO CAPITALIZATION</w:t>
      </w:r>
    </w:p>
    <w:p w14:paraId="213C1946"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Net debt in relation to total equity (including non-controlling interest) and net debt.</w:t>
      </w:r>
    </w:p>
    <w:p w14:paraId="19A24BE7"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NUMBER OF EMPLOYEES</w:t>
      </w:r>
    </w:p>
    <w:p w14:paraId="02469C9C"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Employees with a continuous employment agreement, recalculated to full time equivalent heads.</w:t>
      </w:r>
    </w:p>
    <w:p w14:paraId="69F2CF48"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OEM</w:t>
      </w:r>
    </w:p>
    <w:p w14:paraId="2306E95B"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Original Equipment Manufacturer referring to customers assembling new vehicles.</w:t>
      </w:r>
    </w:p>
    <w:p w14:paraId="5B331DA0"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OPERATING MARGIN</w:t>
      </w:r>
    </w:p>
    <w:p w14:paraId="53046D99"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income relative to sales.</w:t>
      </w:r>
    </w:p>
    <w:p w14:paraId="6BED64B1"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OPERATING WORKING CAPITAL</w:t>
      </w:r>
    </w:p>
    <w:p w14:paraId="0D3CB98A"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Current assets excluding cash and cash equivalents less current liabilities excluding short-term debt. Any current derivatives reported in current assets and current liabilities related to net debt are excluded from operating working capital. See Non-U.S. GAAP Performance Measures in Item 7 for reconciliation of this non-U.S. GAAP measure.</w:t>
      </w:r>
    </w:p>
    <w:p w14:paraId="6DA69183"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OUR MARKET</w:t>
      </w:r>
    </w:p>
    <w:p w14:paraId="2A293924"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Our products include seatbelts, airbags and steering wheels.</w:t>
      </w:r>
    </w:p>
    <w:p w14:paraId="0A81D8F2"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lastRenderedPageBreak/>
        <w:t>PRETAX MARGIN</w:t>
      </w:r>
    </w:p>
    <w:p w14:paraId="326C7E9A"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Income before taxes relative to sales.</w:t>
      </w:r>
    </w:p>
    <w:p w14:paraId="0741A6C0"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RETURN ON CAPITAL EMPLOYED</w:t>
      </w:r>
    </w:p>
    <w:p w14:paraId="7CA6CE31"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Operating income and equity in earnings of affiliates, relative to average capital employed.</w:t>
      </w:r>
    </w:p>
    <w:p w14:paraId="264121B7"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RETURN ON TOTAL EQUITY</w:t>
      </w:r>
    </w:p>
    <w:p w14:paraId="2BB74352"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Net income relative to average total equity.</w:t>
      </w:r>
    </w:p>
    <w:p w14:paraId="309E7276"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ROA</w:t>
      </w:r>
    </w:p>
    <w:p w14:paraId="4999F242"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Rest of Asia includes all Asian countries except China and Japan.</w:t>
      </w:r>
    </w:p>
    <w:p w14:paraId="31EF9C34" w14:textId="77777777" w:rsidR="00AC4931" w:rsidRPr="00AC4931" w:rsidRDefault="00AC4931" w:rsidP="00AC4931">
      <w:pPr>
        <w:widowControl/>
        <w:shd w:val="clear" w:color="auto" w:fill="FFFFFF"/>
        <w:spacing w:before="340"/>
        <w:rPr>
          <w:rFonts w:ascii="Arial" w:eastAsia="宋体" w:hAnsi="Arial" w:cs="Arial"/>
          <w:b/>
          <w:bCs/>
          <w:color w:val="000000"/>
          <w:kern w:val="0"/>
          <w:sz w:val="18"/>
          <w:szCs w:val="18"/>
        </w:rPr>
      </w:pPr>
      <w:r w:rsidRPr="00AC4931">
        <w:rPr>
          <w:rFonts w:ascii="Arial" w:eastAsia="宋体" w:hAnsi="Arial" w:cs="Arial"/>
          <w:b/>
          <w:bCs/>
          <w:color w:val="000000"/>
          <w:kern w:val="0"/>
          <w:sz w:val="18"/>
          <w:szCs w:val="18"/>
        </w:rPr>
        <w:t>TOTAL EQUITY RATIO</w:t>
      </w:r>
    </w:p>
    <w:p w14:paraId="504842A4" w14:textId="77777777" w:rsidR="00AC4931" w:rsidRPr="00AC4931" w:rsidRDefault="00AC4931" w:rsidP="00AC4931">
      <w:pPr>
        <w:widowControl/>
        <w:shd w:val="clear" w:color="auto" w:fill="FFFFFF"/>
        <w:spacing w:before="120"/>
        <w:rPr>
          <w:rFonts w:ascii="Arial" w:eastAsia="宋体" w:hAnsi="Arial" w:cs="Arial"/>
          <w:color w:val="000000"/>
          <w:kern w:val="0"/>
          <w:sz w:val="18"/>
          <w:szCs w:val="18"/>
        </w:rPr>
      </w:pPr>
      <w:r w:rsidRPr="00AC4931">
        <w:rPr>
          <w:rFonts w:ascii="Arial" w:eastAsia="宋体" w:hAnsi="Arial" w:cs="Arial"/>
          <w:color w:val="000000"/>
          <w:kern w:val="0"/>
          <w:sz w:val="18"/>
          <w:szCs w:val="18"/>
        </w:rPr>
        <w:t>Total equity relative to total assets.</w:t>
      </w:r>
    </w:p>
    <w:p w14:paraId="7F317FEA" w14:textId="77777777" w:rsidR="00AC4931" w:rsidRPr="00AC4931" w:rsidRDefault="00AC4931" w:rsidP="00AC4931">
      <w:pPr>
        <w:widowControl/>
        <w:spacing w:before="240"/>
        <w:jc w:val="center"/>
        <w:rPr>
          <w:rFonts w:ascii="Arial" w:eastAsia="宋体" w:hAnsi="Arial" w:cs="Arial"/>
          <w:color w:val="000000"/>
          <w:kern w:val="0"/>
          <w:sz w:val="18"/>
          <w:szCs w:val="18"/>
        </w:rPr>
      </w:pPr>
      <w:r w:rsidRPr="00AC4931">
        <w:rPr>
          <w:rFonts w:ascii="Arial" w:eastAsia="宋体" w:hAnsi="Arial" w:cs="Arial"/>
          <w:color w:val="000000"/>
          <w:kern w:val="0"/>
          <w:sz w:val="18"/>
          <w:szCs w:val="18"/>
        </w:rPr>
        <w:t>98</w:t>
      </w:r>
    </w:p>
    <w:p w14:paraId="29053B41" w14:textId="77777777" w:rsidR="00AC4931" w:rsidRPr="00AC4931" w:rsidRDefault="00AC4931" w:rsidP="00AC4931">
      <w:pPr>
        <w:widowControl/>
        <w:rPr>
          <w:rFonts w:ascii="微软雅黑" w:eastAsia="微软雅黑" w:hAnsi="微软雅黑" w:cs="宋体"/>
          <w:color w:val="000000"/>
          <w:kern w:val="0"/>
          <w:sz w:val="2"/>
          <w:szCs w:val="2"/>
        </w:rPr>
      </w:pPr>
      <w:r w:rsidRPr="00AC4931">
        <w:rPr>
          <w:rFonts w:ascii="微软雅黑" w:eastAsia="微软雅黑" w:hAnsi="微软雅黑" w:cs="宋体" w:hint="eastAsia"/>
          <w:color w:val="000000"/>
          <w:kern w:val="0"/>
          <w:sz w:val="2"/>
          <w:szCs w:val="2"/>
        </w:rPr>
        <w:t> </w:t>
      </w:r>
    </w:p>
    <w:p w14:paraId="48BF0135" w14:textId="77777777" w:rsidR="00AC4931" w:rsidRPr="00AC4931" w:rsidRDefault="00AC4931" w:rsidP="00AC4931">
      <w:pPr>
        <w:widowControl/>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629E2ADD" w14:textId="77777777" w:rsidR="00AC4931" w:rsidRPr="00AC4931" w:rsidRDefault="00AC4931" w:rsidP="00AC4931">
      <w:pPr>
        <w:widowControl/>
        <w:jc w:val="left"/>
        <w:rPr>
          <w:rFonts w:ascii="微软雅黑" w:eastAsia="微软雅黑" w:hAnsi="微软雅黑" w:cs="宋体" w:hint="eastAsia"/>
          <w:color w:val="000000"/>
          <w:kern w:val="0"/>
          <w:sz w:val="2"/>
          <w:szCs w:val="2"/>
        </w:rPr>
      </w:pPr>
      <w:r w:rsidRPr="00AC4931">
        <w:rPr>
          <w:rFonts w:ascii="微软雅黑" w:eastAsia="微软雅黑" w:hAnsi="微软雅黑" w:cs="宋体" w:hint="eastAsia"/>
          <w:color w:val="000000"/>
          <w:kern w:val="0"/>
          <w:sz w:val="2"/>
          <w:szCs w:val="2"/>
        </w:rPr>
        <w:t> </w:t>
      </w:r>
    </w:p>
    <w:p w14:paraId="0C8CD995" w14:textId="77777777" w:rsidR="00D821B2" w:rsidRPr="00AC4931" w:rsidRDefault="00D821B2" w:rsidP="00AC4931"/>
    <w:sectPr w:rsidR="00D821B2" w:rsidRPr="00AC49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0A818" w14:textId="77777777" w:rsidR="00BD28A1" w:rsidRDefault="00BD28A1" w:rsidP="003826AD">
      <w:r>
        <w:separator/>
      </w:r>
    </w:p>
  </w:endnote>
  <w:endnote w:type="continuationSeparator" w:id="0">
    <w:p w14:paraId="1D8E1233" w14:textId="77777777" w:rsidR="00BD28A1" w:rsidRDefault="00BD28A1" w:rsidP="00382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D733" w14:textId="77777777" w:rsidR="00BD28A1" w:rsidRDefault="00BD28A1" w:rsidP="003826AD">
      <w:r>
        <w:separator/>
      </w:r>
    </w:p>
  </w:footnote>
  <w:footnote w:type="continuationSeparator" w:id="0">
    <w:p w14:paraId="6FA66B49" w14:textId="77777777" w:rsidR="00BD28A1" w:rsidRDefault="00BD28A1" w:rsidP="003826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8D"/>
    <w:rsid w:val="003826AD"/>
    <w:rsid w:val="008C238D"/>
    <w:rsid w:val="00AC4931"/>
    <w:rsid w:val="00BD28A1"/>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63946"/>
  <w15:chartTrackingRefBased/>
  <w15:docId w15:val="{4BC0AB22-F9A9-460B-B957-C0DEC64E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493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6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6AD"/>
    <w:rPr>
      <w:sz w:val="18"/>
      <w:szCs w:val="18"/>
    </w:rPr>
  </w:style>
  <w:style w:type="paragraph" w:styleId="a5">
    <w:name w:val="footer"/>
    <w:basedOn w:val="a"/>
    <w:link w:val="a6"/>
    <w:uiPriority w:val="99"/>
    <w:unhideWhenUsed/>
    <w:rsid w:val="003826AD"/>
    <w:pPr>
      <w:tabs>
        <w:tab w:val="center" w:pos="4153"/>
        <w:tab w:val="right" w:pos="8306"/>
      </w:tabs>
      <w:snapToGrid w:val="0"/>
      <w:jc w:val="left"/>
    </w:pPr>
    <w:rPr>
      <w:sz w:val="18"/>
      <w:szCs w:val="18"/>
    </w:rPr>
  </w:style>
  <w:style w:type="character" w:customStyle="1" w:styleId="a6">
    <w:name w:val="页脚 字符"/>
    <w:basedOn w:val="a0"/>
    <w:link w:val="a5"/>
    <w:uiPriority w:val="99"/>
    <w:rsid w:val="003826AD"/>
    <w:rPr>
      <w:sz w:val="18"/>
      <w:szCs w:val="18"/>
    </w:rPr>
  </w:style>
  <w:style w:type="character" w:customStyle="1" w:styleId="10">
    <w:name w:val="标题 1 字符"/>
    <w:basedOn w:val="a0"/>
    <w:link w:val="1"/>
    <w:uiPriority w:val="9"/>
    <w:rsid w:val="00AC4931"/>
    <w:rPr>
      <w:b/>
      <w:bCs/>
      <w:kern w:val="44"/>
      <w:sz w:val="44"/>
      <w:szCs w:val="44"/>
    </w:rPr>
  </w:style>
  <w:style w:type="paragraph" w:customStyle="1" w:styleId="msonormal0">
    <w:name w:val="msonormal"/>
    <w:basedOn w:val="a"/>
    <w:rsid w:val="00AC4931"/>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C493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C4931"/>
    <w:rPr>
      <w:color w:val="0000FF"/>
      <w:u w:val="single"/>
    </w:rPr>
  </w:style>
  <w:style w:type="character" w:styleId="a9">
    <w:name w:val="FollowedHyperlink"/>
    <w:basedOn w:val="a0"/>
    <w:uiPriority w:val="99"/>
    <w:semiHidden/>
    <w:unhideWhenUsed/>
    <w:rsid w:val="00AC49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09213">
      <w:bodyDiv w:val="1"/>
      <w:marLeft w:val="0"/>
      <w:marRight w:val="0"/>
      <w:marTop w:val="0"/>
      <w:marBottom w:val="0"/>
      <w:divBdr>
        <w:top w:val="none" w:sz="0" w:space="0" w:color="auto"/>
        <w:left w:val="none" w:sz="0" w:space="0" w:color="auto"/>
        <w:bottom w:val="none" w:sz="0" w:space="0" w:color="auto"/>
        <w:right w:val="none" w:sz="0" w:space="0" w:color="auto"/>
      </w:divBdr>
      <w:divsChild>
        <w:div w:id="727921113">
          <w:marLeft w:val="0"/>
          <w:marRight w:val="0"/>
          <w:marTop w:val="0"/>
          <w:marBottom w:val="0"/>
          <w:divBdr>
            <w:top w:val="none" w:sz="0" w:space="0" w:color="auto"/>
            <w:left w:val="none" w:sz="0" w:space="0" w:color="auto"/>
            <w:bottom w:val="none" w:sz="0" w:space="0" w:color="auto"/>
            <w:right w:val="none" w:sz="0" w:space="0" w:color="auto"/>
          </w:divBdr>
        </w:div>
        <w:div w:id="1741099143">
          <w:marLeft w:val="0"/>
          <w:marRight w:val="0"/>
          <w:marTop w:val="0"/>
          <w:marBottom w:val="0"/>
          <w:divBdr>
            <w:top w:val="none" w:sz="0" w:space="0" w:color="auto"/>
            <w:left w:val="none" w:sz="0" w:space="0" w:color="auto"/>
            <w:bottom w:val="none" w:sz="0" w:space="0" w:color="auto"/>
            <w:right w:val="none" w:sz="0" w:space="0" w:color="auto"/>
          </w:divBdr>
        </w:div>
        <w:div w:id="153375348">
          <w:marLeft w:val="0"/>
          <w:marRight w:val="0"/>
          <w:marTop w:val="0"/>
          <w:marBottom w:val="0"/>
          <w:divBdr>
            <w:top w:val="none" w:sz="0" w:space="0" w:color="auto"/>
            <w:left w:val="none" w:sz="0" w:space="0" w:color="auto"/>
            <w:bottom w:val="none" w:sz="0" w:space="0" w:color="auto"/>
            <w:right w:val="none" w:sz="0" w:space="0" w:color="auto"/>
          </w:divBdr>
        </w:div>
        <w:div w:id="1017460517">
          <w:marLeft w:val="0"/>
          <w:marRight w:val="0"/>
          <w:marTop w:val="0"/>
          <w:marBottom w:val="0"/>
          <w:divBdr>
            <w:top w:val="none" w:sz="0" w:space="0" w:color="auto"/>
            <w:left w:val="none" w:sz="0" w:space="0" w:color="auto"/>
            <w:bottom w:val="none" w:sz="0" w:space="0" w:color="auto"/>
            <w:right w:val="none" w:sz="0" w:space="0" w:color="auto"/>
          </w:divBdr>
        </w:div>
        <w:div w:id="186794197">
          <w:marLeft w:val="0"/>
          <w:marRight w:val="0"/>
          <w:marTop w:val="0"/>
          <w:marBottom w:val="0"/>
          <w:divBdr>
            <w:top w:val="none" w:sz="0" w:space="0" w:color="auto"/>
            <w:left w:val="none" w:sz="0" w:space="0" w:color="auto"/>
            <w:bottom w:val="none" w:sz="0" w:space="0" w:color="auto"/>
            <w:right w:val="none" w:sz="0" w:space="0" w:color="auto"/>
          </w:divBdr>
        </w:div>
        <w:div w:id="1829009683">
          <w:marLeft w:val="0"/>
          <w:marRight w:val="0"/>
          <w:marTop w:val="0"/>
          <w:marBottom w:val="0"/>
          <w:divBdr>
            <w:top w:val="none" w:sz="0" w:space="0" w:color="auto"/>
            <w:left w:val="none" w:sz="0" w:space="0" w:color="auto"/>
            <w:bottom w:val="none" w:sz="0" w:space="0" w:color="auto"/>
            <w:right w:val="none" w:sz="0" w:space="0" w:color="auto"/>
          </w:divBdr>
        </w:div>
        <w:div w:id="1002700821">
          <w:marLeft w:val="0"/>
          <w:marRight w:val="0"/>
          <w:marTop w:val="0"/>
          <w:marBottom w:val="0"/>
          <w:divBdr>
            <w:top w:val="none" w:sz="0" w:space="0" w:color="auto"/>
            <w:left w:val="none" w:sz="0" w:space="0" w:color="auto"/>
            <w:bottom w:val="none" w:sz="0" w:space="0" w:color="auto"/>
            <w:right w:val="none" w:sz="0" w:space="0" w:color="auto"/>
          </w:divBdr>
        </w:div>
        <w:div w:id="1092513297">
          <w:marLeft w:val="0"/>
          <w:marRight w:val="0"/>
          <w:marTop w:val="0"/>
          <w:marBottom w:val="0"/>
          <w:divBdr>
            <w:top w:val="none" w:sz="0" w:space="0" w:color="auto"/>
            <w:left w:val="none" w:sz="0" w:space="0" w:color="auto"/>
            <w:bottom w:val="none" w:sz="0" w:space="0" w:color="auto"/>
            <w:right w:val="none" w:sz="0" w:space="0" w:color="auto"/>
          </w:divBdr>
        </w:div>
        <w:div w:id="789275745">
          <w:marLeft w:val="0"/>
          <w:marRight w:val="0"/>
          <w:marTop w:val="0"/>
          <w:marBottom w:val="0"/>
          <w:divBdr>
            <w:top w:val="none" w:sz="0" w:space="0" w:color="auto"/>
            <w:left w:val="none" w:sz="0" w:space="0" w:color="auto"/>
            <w:bottom w:val="none" w:sz="0" w:space="0" w:color="auto"/>
            <w:right w:val="none" w:sz="0" w:space="0" w:color="auto"/>
          </w:divBdr>
        </w:div>
        <w:div w:id="274024924">
          <w:marLeft w:val="0"/>
          <w:marRight w:val="0"/>
          <w:marTop w:val="0"/>
          <w:marBottom w:val="0"/>
          <w:divBdr>
            <w:top w:val="none" w:sz="0" w:space="0" w:color="auto"/>
            <w:left w:val="none" w:sz="0" w:space="0" w:color="auto"/>
            <w:bottom w:val="none" w:sz="0" w:space="0" w:color="auto"/>
            <w:right w:val="none" w:sz="0" w:space="0" w:color="auto"/>
          </w:divBdr>
        </w:div>
        <w:div w:id="1485272870">
          <w:marLeft w:val="0"/>
          <w:marRight w:val="0"/>
          <w:marTop w:val="0"/>
          <w:marBottom w:val="0"/>
          <w:divBdr>
            <w:top w:val="none" w:sz="0" w:space="0" w:color="auto"/>
            <w:left w:val="none" w:sz="0" w:space="0" w:color="auto"/>
            <w:bottom w:val="none" w:sz="0" w:space="0" w:color="auto"/>
            <w:right w:val="none" w:sz="0" w:space="0" w:color="auto"/>
          </w:divBdr>
        </w:div>
        <w:div w:id="13652014">
          <w:marLeft w:val="0"/>
          <w:marRight w:val="0"/>
          <w:marTop w:val="0"/>
          <w:marBottom w:val="0"/>
          <w:divBdr>
            <w:top w:val="none" w:sz="0" w:space="0" w:color="auto"/>
            <w:left w:val="none" w:sz="0" w:space="0" w:color="auto"/>
            <w:bottom w:val="none" w:sz="0" w:space="0" w:color="auto"/>
            <w:right w:val="none" w:sz="0" w:space="0" w:color="auto"/>
          </w:divBdr>
        </w:div>
        <w:div w:id="426927986">
          <w:marLeft w:val="0"/>
          <w:marRight w:val="0"/>
          <w:marTop w:val="0"/>
          <w:marBottom w:val="0"/>
          <w:divBdr>
            <w:top w:val="none" w:sz="0" w:space="0" w:color="auto"/>
            <w:left w:val="none" w:sz="0" w:space="0" w:color="auto"/>
            <w:bottom w:val="none" w:sz="0" w:space="0" w:color="auto"/>
            <w:right w:val="none" w:sz="0" w:space="0" w:color="auto"/>
          </w:divBdr>
        </w:div>
        <w:div w:id="552549051">
          <w:marLeft w:val="0"/>
          <w:marRight w:val="0"/>
          <w:marTop w:val="0"/>
          <w:marBottom w:val="0"/>
          <w:divBdr>
            <w:top w:val="none" w:sz="0" w:space="0" w:color="auto"/>
            <w:left w:val="none" w:sz="0" w:space="0" w:color="auto"/>
            <w:bottom w:val="none" w:sz="0" w:space="0" w:color="auto"/>
            <w:right w:val="none" w:sz="0" w:space="0" w:color="auto"/>
          </w:divBdr>
        </w:div>
        <w:div w:id="189494279">
          <w:marLeft w:val="0"/>
          <w:marRight w:val="0"/>
          <w:marTop w:val="0"/>
          <w:marBottom w:val="0"/>
          <w:divBdr>
            <w:top w:val="none" w:sz="0" w:space="0" w:color="auto"/>
            <w:left w:val="none" w:sz="0" w:space="0" w:color="auto"/>
            <w:bottom w:val="none" w:sz="0" w:space="0" w:color="auto"/>
            <w:right w:val="none" w:sz="0" w:space="0" w:color="auto"/>
          </w:divBdr>
        </w:div>
        <w:div w:id="359167214">
          <w:marLeft w:val="0"/>
          <w:marRight w:val="0"/>
          <w:marTop w:val="0"/>
          <w:marBottom w:val="0"/>
          <w:divBdr>
            <w:top w:val="none" w:sz="0" w:space="0" w:color="auto"/>
            <w:left w:val="none" w:sz="0" w:space="0" w:color="auto"/>
            <w:bottom w:val="none" w:sz="0" w:space="0" w:color="auto"/>
            <w:right w:val="none" w:sz="0" w:space="0" w:color="auto"/>
          </w:divBdr>
        </w:div>
        <w:div w:id="1212838283">
          <w:marLeft w:val="0"/>
          <w:marRight w:val="0"/>
          <w:marTop w:val="0"/>
          <w:marBottom w:val="0"/>
          <w:divBdr>
            <w:top w:val="none" w:sz="0" w:space="0" w:color="auto"/>
            <w:left w:val="none" w:sz="0" w:space="0" w:color="auto"/>
            <w:bottom w:val="none" w:sz="0" w:space="0" w:color="auto"/>
            <w:right w:val="none" w:sz="0" w:space="0" w:color="auto"/>
          </w:divBdr>
        </w:div>
        <w:div w:id="1822304329">
          <w:marLeft w:val="0"/>
          <w:marRight w:val="0"/>
          <w:marTop w:val="0"/>
          <w:marBottom w:val="0"/>
          <w:divBdr>
            <w:top w:val="none" w:sz="0" w:space="0" w:color="auto"/>
            <w:left w:val="none" w:sz="0" w:space="0" w:color="auto"/>
            <w:bottom w:val="none" w:sz="0" w:space="0" w:color="auto"/>
            <w:right w:val="none" w:sz="0" w:space="0" w:color="auto"/>
          </w:divBdr>
        </w:div>
        <w:div w:id="1824538728">
          <w:marLeft w:val="0"/>
          <w:marRight w:val="0"/>
          <w:marTop w:val="0"/>
          <w:marBottom w:val="0"/>
          <w:divBdr>
            <w:top w:val="none" w:sz="0" w:space="0" w:color="auto"/>
            <w:left w:val="none" w:sz="0" w:space="0" w:color="auto"/>
            <w:bottom w:val="none" w:sz="0" w:space="0" w:color="auto"/>
            <w:right w:val="none" w:sz="0" w:space="0" w:color="auto"/>
          </w:divBdr>
        </w:div>
        <w:div w:id="1722827126">
          <w:marLeft w:val="0"/>
          <w:marRight w:val="0"/>
          <w:marTop w:val="0"/>
          <w:marBottom w:val="0"/>
          <w:divBdr>
            <w:top w:val="none" w:sz="0" w:space="0" w:color="auto"/>
            <w:left w:val="none" w:sz="0" w:space="0" w:color="auto"/>
            <w:bottom w:val="none" w:sz="0" w:space="0" w:color="auto"/>
            <w:right w:val="none" w:sz="0" w:space="0" w:color="auto"/>
          </w:divBdr>
        </w:div>
        <w:div w:id="1285964873">
          <w:marLeft w:val="0"/>
          <w:marRight w:val="0"/>
          <w:marTop w:val="0"/>
          <w:marBottom w:val="0"/>
          <w:divBdr>
            <w:top w:val="none" w:sz="0" w:space="0" w:color="auto"/>
            <w:left w:val="none" w:sz="0" w:space="0" w:color="auto"/>
            <w:bottom w:val="none" w:sz="0" w:space="0" w:color="auto"/>
            <w:right w:val="none" w:sz="0" w:space="0" w:color="auto"/>
          </w:divBdr>
        </w:div>
        <w:div w:id="181019051">
          <w:marLeft w:val="0"/>
          <w:marRight w:val="0"/>
          <w:marTop w:val="0"/>
          <w:marBottom w:val="0"/>
          <w:divBdr>
            <w:top w:val="none" w:sz="0" w:space="0" w:color="auto"/>
            <w:left w:val="none" w:sz="0" w:space="0" w:color="auto"/>
            <w:bottom w:val="none" w:sz="0" w:space="0" w:color="auto"/>
            <w:right w:val="none" w:sz="0" w:space="0" w:color="auto"/>
          </w:divBdr>
        </w:div>
        <w:div w:id="914046414">
          <w:marLeft w:val="0"/>
          <w:marRight w:val="0"/>
          <w:marTop w:val="0"/>
          <w:marBottom w:val="0"/>
          <w:divBdr>
            <w:top w:val="none" w:sz="0" w:space="0" w:color="auto"/>
            <w:left w:val="none" w:sz="0" w:space="0" w:color="auto"/>
            <w:bottom w:val="none" w:sz="0" w:space="0" w:color="auto"/>
            <w:right w:val="none" w:sz="0" w:space="0" w:color="auto"/>
          </w:divBdr>
        </w:div>
        <w:div w:id="1073165057">
          <w:marLeft w:val="0"/>
          <w:marRight w:val="0"/>
          <w:marTop w:val="0"/>
          <w:marBottom w:val="0"/>
          <w:divBdr>
            <w:top w:val="none" w:sz="0" w:space="0" w:color="auto"/>
            <w:left w:val="none" w:sz="0" w:space="0" w:color="auto"/>
            <w:bottom w:val="none" w:sz="0" w:space="0" w:color="auto"/>
            <w:right w:val="none" w:sz="0" w:space="0" w:color="auto"/>
          </w:divBdr>
        </w:div>
        <w:div w:id="1708486441">
          <w:marLeft w:val="0"/>
          <w:marRight w:val="0"/>
          <w:marTop w:val="0"/>
          <w:marBottom w:val="0"/>
          <w:divBdr>
            <w:top w:val="none" w:sz="0" w:space="0" w:color="auto"/>
            <w:left w:val="none" w:sz="0" w:space="0" w:color="auto"/>
            <w:bottom w:val="none" w:sz="0" w:space="0" w:color="auto"/>
            <w:right w:val="none" w:sz="0" w:space="0" w:color="auto"/>
          </w:divBdr>
        </w:div>
        <w:div w:id="1410542203">
          <w:marLeft w:val="0"/>
          <w:marRight w:val="0"/>
          <w:marTop w:val="0"/>
          <w:marBottom w:val="0"/>
          <w:divBdr>
            <w:top w:val="none" w:sz="0" w:space="0" w:color="auto"/>
            <w:left w:val="none" w:sz="0" w:space="0" w:color="auto"/>
            <w:bottom w:val="none" w:sz="0" w:space="0" w:color="auto"/>
            <w:right w:val="none" w:sz="0" w:space="0" w:color="auto"/>
          </w:divBdr>
        </w:div>
        <w:div w:id="1025717030">
          <w:marLeft w:val="0"/>
          <w:marRight w:val="0"/>
          <w:marTop w:val="0"/>
          <w:marBottom w:val="0"/>
          <w:divBdr>
            <w:top w:val="none" w:sz="0" w:space="0" w:color="auto"/>
            <w:left w:val="none" w:sz="0" w:space="0" w:color="auto"/>
            <w:bottom w:val="none" w:sz="0" w:space="0" w:color="auto"/>
            <w:right w:val="none" w:sz="0" w:space="0" w:color="auto"/>
          </w:divBdr>
        </w:div>
        <w:div w:id="1606765652">
          <w:marLeft w:val="0"/>
          <w:marRight w:val="0"/>
          <w:marTop w:val="0"/>
          <w:marBottom w:val="0"/>
          <w:divBdr>
            <w:top w:val="none" w:sz="0" w:space="0" w:color="auto"/>
            <w:left w:val="none" w:sz="0" w:space="0" w:color="auto"/>
            <w:bottom w:val="none" w:sz="0" w:space="0" w:color="auto"/>
            <w:right w:val="none" w:sz="0" w:space="0" w:color="auto"/>
          </w:divBdr>
        </w:div>
        <w:div w:id="1442336134">
          <w:marLeft w:val="0"/>
          <w:marRight w:val="0"/>
          <w:marTop w:val="0"/>
          <w:marBottom w:val="0"/>
          <w:divBdr>
            <w:top w:val="none" w:sz="0" w:space="0" w:color="auto"/>
            <w:left w:val="none" w:sz="0" w:space="0" w:color="auto"/>
            <w:bottom w:val="none" w:sz="0" w:space="0" w:color="auto"/>
            <w:right w:val="none" w:sz="0" w:space="0" w:color="auto"/>
          </w:divBdr>
        </w:div>
        <w:div w:id="1739477007">
          <w:marLeft w:val="0"/>
          <w:marRight w:val="0"/>
          <w:marTop w:val="0"/>
          <w:marBottom w:val="0"/>
          <w:divBdr>
            <w:top w:val="none" w:sz="0" w:space="0" w:color="auto"/>
            <w:left w:val="none" w:sz="0" w:space="0" w:color="auto"/>
            <w:bottom w:val="none" w:sz="0" w:space="0" w:color="auto"/>
            <w:right w:val="none" w:sz="0" w:space="0" w:color="auto"/>
          </w:divBdr>
        </w:div>
        <w:div w:id="567812033">
          <w:marLeft w:val="0"/>
          <w:marRight w:val="0"/>
          <w:marTop w:val="0"/>
          <w:marBottom w:val="0"/>
          <w:divBdr>
            <w:top w:val="none" w:sz="0" w:space="0" w:color="auto"/>
            <w:left w:val="none" w:sz="0" w:space="0" w:color="auto"/>
            <w:bottom w:val="none" w:sz="0" w:space="0" w:color="auto"/>
            <w:right w:val="none" w:sz="0" w:space="0" w:color="auto"/>
          </w:divBdr>
        </w:div>
        <w:div w:id="1385324452">
          <w:marLeft w:val="0"/>
          <w:marRight w:val="0"/>
          <w:marTop w:val="0"/>
          <w:marBottom w:val="0"/>
          <w:divBdr>
            <w:top w:val="none" w:sz="0" w:space="0" w:color="auto"/>
            <w:left w:val="none" w:sz="0" w:space="0" w:color="auto"/>
            <w:bottom w:val="none" w:sz="0" w:space="0" w:color="auto"/>
            <w:right w:val="none" w:sz="0" w:space="0" w:color="auto"/>
          </w:divBdr>
        </w:div>
        <w:div w:id="2084180671">
          <w:marLeft w:val="0"/>
          <w:marRight w:val="0"/>
          <w:marTop w:val="0"/>
          <w:marBottom w:val="0"/>
          <w:divBdr>
            <w:top w:val="none" w:sz="0" w:space="0" w:color="auto"/>
            <w:left w:val="none" w:sz="0" w:space="0" w:color="auto"/>
            <w:bottom w:val="none" w:sz="0" w:space="0" w:color="auto"/>
            <w:right w:val="none" w:sz="0" w:space="0" w:color="auto"/>
          </w:divBdr>
        </w:div>
        <w:div w:id="1429883467">
          <w:marLeft w:val="0"/>
          <w:marRight w:val="0"/>
          <w:marTop w:val="0"/>
          <w:marBottom w:val="0"/>
          <w:divBdr>
            <w:top w:val="none" w:sz="0" w:space="0" w:color="auto"/>
            <w:left w:val="none" w:sz="0" w:space="0" w:color="auto"/>
            <w:bottom w:val="none" w:sz="0" w:space="0" w:color="auto"/>
            <w:right w:val="none" w:sz="0" w:space="0" w:color="auto"/>
          </w:divBdr>
        </w:div>
        <w:div w:id="1070956241">
          <w:marLeft w:val="0"/>
          <w:marRight w:val="0"/>
          <w:marTop w:val="0"/>
          <w:marBottom w:val="0"/>
          <w:divBdr>
            <w:top w:val="none" w:sz="0" w:space="0" w:color="auto"/>
            <w:left w:val="none" w:sz="0" w:space="0" w:color="auto"/>
            <w:bottom w:val="none" w:sz="0" w:space="0" w:color="auto"/>
            <w:right w:val="none" w:sz="0" w:space="0" w:color="auto"/>
          </w:divBdr>
        </w:div>
        <w:div w:id="1460997562">
          <w:marLeft w:val="0"/>
          <w:marRight w:val="0"/>
          <w:marTop w:val="0"/>
          <w:marBottom w:val="0"/>
          <w:divBdr>
            <w:top w:val="none" w:sz="0" w:space="0" w:color="auto"/>
            <w:left w:val="none" w:sz="0" w:space="0" w:color="auto"/>
            <w:bottom w:val="none" w:sz="0" w:space="0" w:color="auto"/>
            <w:right w:val="none" w:sz="0" w:space="0" w:color="auto"/>
          </w:divBdr>
        </w:div>
        <w:div w:id="1703743261">
          <w:marLeft w:val="0"/>
          <w:marRight w:val="0"/>
          <w:marTop w:val="0"/>
          <w:marBottom w:val="0"/>
          <w:divBdr>
            <w:top w:val="none" w:sz="0" w:space="0" w:color="auto"/>
            <w:left w:val="none" w:sz="0" w:space="0" w:color="auto"/>
            <w:bottom w:val="none" w:sz="0" w:space="0" w:color="auto"/>
            <w:right w:val="none" w:sz="0" w:space="0" w:color="auto"/>
          </w:divBdr>
        </w:div>
        <w:div w:id="1414472040">
          <w:marLeft w:val="0"/>
          <w:marRight w:val="0"/>
          <w:marTop w:val="0"/>
          <w:marBottom w:val="0"/>
          <w:divBdr>
            <w:top w:val="none" w:sz="0" w:space="0" w:color="auto"/>
            <w:left w:val="none" w:sz="0" w:space="0" w:color="auto"/>
            <w:bottom w:val="none" w:sz="0" w:space="0" w:color="auto"/>
            <w:right w:val="none" w:sz="0" w:space="0" w:color="auto"/>
          </w:divBdr>
        </w:div>
        <w:div w:id="333849017">
          <w:marLeft w:val="0"/>
          <w:marRight w:val="0"/>
          <w:marTop w:val="0"/>
          <w:marBottom w:val="0"/>
          <w:divBdr>
            <w:top w:val="none" w:sz="0" w:space="0" w:color="auto"/>
            <w:left w:val="none" w:sz="0" w:space="0" w:color="auto"/>
            <w:bottom w:val="none" w:sz="0" w:space="0" w:color="auto"/>
            <w:right w:val="none" w:sz="0" w:space="0" w:color="auto"/>
          </w:divBdr>
        </w:div>
        <w:div w:id="916750299">
          <w:marLeft w:val="0"/>
          <w:marRight w:val="0"/>
          <w:marTop w:val="0"/>
          <w:marBottom w:val="0"/>
          <w:divBdr>
            <w:top w:val="none" w:sz="0" w:space="0" w:color="auto"/>
            <w:left w:val="none" w:sz="0" w:space="0" w:color="auto"/>
            <w:bottom w:val="none" w:sz="0" w:space="0" w:color="auto"/>
            <w:right w:val="none" w:sz="0" w:space="0" w:color="auto"/>
          </w:divBdr>
        </w:div>
        <w:div w:id="1244561249">
          <w:marLeft w:val="0"/>
          <w:marRight w:val="0"/>
          <w:marTop w:val="0"/>
          <w:marBottom w:val="0"/>
          <w:divBdr>
            <w:top w:val="none" w:sz="0" w:space="0" w:color="auto"/>
            <w:left w:val="none" w:sz="0" w:space="0" w:color="auto"/>
            <w:bottom w:val="none" w:sz="0" w:space="0" w:color="auto"/>
            <w:right w:val="none" w:sz="0" w:space="0" w:color="auto"/>
          </w:divBdr>
        </w:div>
        <w:div w:id="1614707935">
          <w:marLeft w:val="0"/>
          <w:marRight w:val="0"/>
          <w:marTop w:val="0"/>
          <w:marBottom w:val="0"/>
          <w:divBdr>
            <w:top w:val="none" w:sz="0" w:space="0" w:color="auto"/>
            <w:left w:val="none" w:sz="0" w:space="0" w:color="auto"/>
            <w:bottom w:val="none" w:sz="0" w:space="0" w:color="auto"/>
            <w:right w:val="none" w:sz="0" w:space="0" w:color="auto"/>
          </w:divBdr>
        </w:div>
        <w:div w:id="1760784543">
          <w:marLeft w:val="0"/>
          <w:marRight w:val="0"/>
          <w:marTop w:val="0"/>
          <w:marBottom w:val="0"/>
          <w:divBdr>
            <w:top w:val="none" w:sz="0" w:space="0" w:color="auto"/>
            <w:left w:val="none" w:sz="0" w:space="0" w:color="auto"/>
            <w:bottom w:val="none" w:sz="0" w:space="0" w:color="auto"/>
            <w:right w:val="none" w:sz="0" w:space="0" w:color="auto"/>
          </w:divBdr>
        </w:div>
        <w:div w:id="191773558">
          <w:marLeft w:val="0"/>
          <w:marRight w:val="0"/>
          <w:marTop w:val="0"/>
          <w:marBottom w:val="0"/>
          <w:divBdr>
            <w:top w:val="none" w:sz="0" w:space="0" w:color="auto"/>
            <w:left w:val="none" w:sz="0" w:space="0" w:color="auto"/>
            <w:bottom w:val="none" w:sz="0" w:space="0" w:color="auto"/>
            <w:right w:val="none" w:sz="0" w:space="0" w:color="auto"/>
          </w:divBdr>
        </w:div>
        <w:div w:id="1435981109">
          <w:marLeft w:val="0"/>
          <w:marRight w:val="0"/>
          <w:marTop w:val="0"/>
          <w:marBottom w:val="0"/>
          <w:divBdr>
            <w:top w:val="none" w:sz="0" w:space="0" w:color="auto"/>
            <w:left w:val="none" w:sz="0" w:space="0" w:color="auto"/>
            <w:bottom w:val="none" w:sz="0" w:space="0" w:color="auto"/>
            <w:right w:val="none" w:sz="0" w:space="0" w:color="auto"/>
          </w:divBdr>
        </w:div>
        <w:div w:id="880021208">
          <w:marLeft w:val="0"/>
          <w:marRight w:val="0"/>
          <w:marTop w:val="0"/>
          <w:marBottom w:val="0"/>
          <w:divBdr>
            <w:top w:val="none" w:sz="0" w:space="0" w:color="auto"/>
            <w:left w:val="none" w:sz="0" w:space="0" w:color="auto"/>
            <w:bottom w:val="none" w:sz="0" w:space="0" w:color="auto"/>
            <w:right w:val="none" w:sz="0" w:space="0" w:color="auto"/>
          </w:divBdr>
        </w:div>
        <w:div w:id="327634686">
          <w:marLeft w:val="0"/>
          <w:marRight w:val="0"/>
          <w:marTop w:val="0"/>
          <w:marBottom w:val="0"/>
          <w:divBdr>
            <w:top w:val="none" w:sz="0" w:space="0" w:color="auto"/>
            <w:left w:val="none" w:sz="0" w:space="0" w:color="auto"/>
            <w:bottom w:val="none" w:sz="0" w:space="0" w:color="auto"/>
            <w:right w:val="none" w:sz="0" w:space="0" w:color="auto"/>
          </w:divBdr>
        </w:div>
        <w:div w:id="2096198686">
          <w:marLeft w:val="0"/>
          <w:marRight w:val="0"/>
          <w:marTop w:val="0"/>
          <w:marBottom w:val="0"/>
          <w:divBdr>
            <w:top w:val="none" w:sz="0" w:space="0" w:color="auto"/>
            <w:left w:val="none" w:sz="0" w:space="0" w:color="auto"/>
            <w:bottom w:val="none" w:sz="0" w:space="0" w:color="auto"/>
            <w:right w:val="none" w:sz="0" w:space="0" w:color="auto"/>
          </w:divBdr>
        </w:div>
        <w:div w:id="2137403258">
          <w:marLeft w:val="0"/>
          <w:marRight w:val="0"/>
          <w:marTop w:val="0"/>
          <w:marBottom w:val="0"/>
          <w:divBdr>
            <w:top w:val="none" w:sz="0" w:space="0" w:color="auto"/>
            <w:left w:val="none" w:sz="0" w:space="0" w:color="auto"/>
            <w:bottom w:val="none" w:sz="0" w:space="0" w:color="auto"/>
            <w:right w:val="none" w:sz="0" w:space="0" w:color="auto"/>
          </w:divBdr>
        </w:div>
        <w:div w:id="1371690943">
          <w:marLeft w:val="0"/>
          <w:marRight w:val="0"/>
          <w:marTop w:val="0"/>
          <w:marBottom w:val="0"/>
          <w:divBdr>
            <w:top w:val="none" w:sz="0" w:space="0" w:color="auto"/>
            <w:left w:val="none" w:sz="0" w:space="0" w:color="auto"/>
            <w:bottom w:val="none" w:sz="0" w:space="0" w:color="auto"/>
            <w:right w:val="none" w:sz="0" w:space="0" w:color="auto"/>
          </w:divBdr>
        </w:div>
        <w:div w:id="1309244759">
          <w:marLeft w:val="0"/>
          <w:marRight w:val="0"/>
          <w:marTop w:val="0"/>
          <w:marBottom w:val="0"/>
          <w:divBdr>
            <w:top w:val="none" w:sz="0" w:space="0" w:color="auto"/>
            <w:left w:val="none" w:sz="0" w:space="0" w:color="auto"/>
            <w:bottom w:val="none" w:sz="0" w:space="0" w:color="auto"/>
            <w:right w:val="none" w:sz="0" w:space="0" w:color="auto"/>
          </w:divBdr>
        </w:div>
        <w:div w:id="2110588376">
          <w:marLeft w:val="0"/>
          <w:marRight w:val="0"/>
          <w:marTop w:val="0"/>
          <w:marBottom w:val="0"/>
          <w:divBdr>
            <w:top w:val="none" w:sz="0" w:space="0" w:color="auto"/>
            <w:left w:val="none" w:sz="0" w:space="0" w:color="auto"/>
            <w:bottom w:val="none" w:sz="0" w:space="0" w:color="auto"/>
            <w:right w:val="none" w:sz="0" w:space="0" w:color="auto"/>
          </w:divBdr>
        </w:div>
        <w:div w:id="2092046069">
          <w:marLeft w:val="0"/>
          <w:marRight w:val="0"/>
          <w:marTop w:val="0"/>
          <w:marBottom w:val="0"/>
          <w:divBdr>
            <w:top w:val="none" w:sz="0" w:space="0" w:color="auto"/>
            <w:left w:val="none" w:sz="0" w:space="0" w:color="auto"/>
            <w:bottom w:val="none" w:sz="0" w:space="0" w:color="auto"/>
            <w:right w:val="none" w:sz="0" w:space="0" w:color="auto"/>
          </w:divBdr>
        </w:div>
        <w:div w:id="689451186">
          <w:marLeft w:val="0"/>
          <w:marRight w:val="0"/>
          <w:marTop w:val="0"/>
          <w:marBottom w:val="0"/>
          <w:divBdr>
            <w:top w:val="none" w:sz="0" w:space="0" w:color="auto"/>
            <w:left w:val="none" w:sz="0" w:space="0" w:color="auto"/>
            <w:bottom w:val="none" w:sz="0" w:space="0" w:color="auto"/>
            <w:right w:val="none" w:sz="0" w:space="0" w:color="auto"/>
          </w:divBdr>
        </w:div>
        <w:div w:id="1434672125">
          <w:marLeft w:val="0"/>
          <w:marRight w:val="0"/>
          <w:marTop w:val="0"/>
          <w:marBottom w:val="0"/>
          <w:divBdr>
            <w:top w:val="none" w:sz="0" w:space="0" w:color="auto"/>
            <w:left w:val="none" w:sz="0" w:space="0" w:color="auto"/>
            <w:bottom w:val="none" w:sz="0" w:space="0" w:color="auto"/>
            <w:right w:val="none" w:sz="0" w:space="0" w:color="auto"/>
          </w:divBdr>
        </w:div>
        <w:div w:id="2144149791">
          <w:marLeft w:val="0"/>
          <w:marRight w:val="0"/>
          <w:marTop w:val="0"/>
          <w:marBottom w:val="0"/>
          <w:divBdr>
            <w:top w:val="none" w:sz="0" w:space="0" w:color="auto"/>
            <w:left w:val="none" w:sz="0" w:space="0" w:color="auto"/>
            <w:bottom w:val="none" w:sz="0" w:space="0" w:color="auto"/>
            <w:right w:val="none" w:sz="0" w:space="0" w:color="auto"/>
          </w:divBdr>
        </w:div>
        <w:div w:id="1390497474">
          <w:marLeft w:val="0"/>
          <w:marRight w:val="0"/>
          <w:marTop w:val="0"/>
          <w:marBottom w:val="0"/>
          <w:divBdr>
            <w:top w:val="none" w:sz="0" w:space="0" w:color="auto"/>
            <w:left w:val="none" w:sz="0" w:space="0" w:color="auto"/>
            <w:bottom w:val="none" w:sz="0" w:space="0" w:color="auto"/>
            <w:right w:val="none" w:sz="0" w:space="0" w:color="auto"/>
          </w:divBdr>
        </w:div>
        <w:div w:id="530604750">
          <w:marLeft w:val="0"/>
          <w:marRight w:val="0"/>
          <w:marTop w:val="0"/>
          <w:marBottom w:val="0"/>
          <w:divBdr>
            <w:top w:val="none" w:sz="0" w:space="0" w:color="auto"/>
            <w:left w:val="none" w:sz="0" w:space="0" w:color="auto"/>
            <w:bottom w:val="none" w:sz="0" w:space="0" w:color="auto"/>
            <w:right w:val="none" w:sz="0" w:space="0" w:color="auto"/>
          </w:divBdr>
        </w:div>
        <w:div w:id="381641259">
          <w:marLeft w:val="0"/>
          <w:marRight w:val="0"/>
          <w:marTop w:val="0"/>
          <w:marBottom w:val="0"/>
          <w:divBdr>
            <w:top w:val="none" w:sz="0" w:space="0" w:color="auto"/>
            <w:left w:val="none" w:sz="0" w:space="0" w:color="auto"/>
            <w:bottom w:val="none" w:sz="0" w:space="0" w:color="auto"/>
            <w:right w:val="none" w:sz="0" w:space="0" w:color="auto"/>
          </w:divBdr>
        </w:div>
        <w:div w:id="90395136">
          <w:marLeft w:val="0"/>
          <w:marRight w:val="0"/>
          <w:marTop w:val="0"/>
          <w:marBottom w:val="0"/>
          <w:divBdr>
            <w:top w:val="none" w:sz="0" w:space="0" w:color="auto"/>
            <w:left w:val="none" w:sz="0" w:space="0" w:color="auto"/>
            <w:bottom w:val="none" w:sz="0" w:space="0" w:color="auto"/>
            <w:right w:val="none" w:sz="0" w:space="0" w:color="auto"/>
          </w:divBdr>
        </w:div>
        <w:div w:id="43603886">
          <w:marLeft w:val="0"/>
          <w:marRight w:val="0"/>
          <w:marTop w:val="0"/>
          <w:marBottom w:val="0"/>
          <w:divBdr>
            <w:top w:val="none" w:sz="0" w:space="0" w:color="auto"/>
            <w:left w:val="none" w:sz="0" w:space="0" w:color="auto"/>
            <w:bottom w:val="none" w:sz="0" w:space="0" w:color="auto"/>
            <w:right w:val="none" w:sz="0" w:space="0" w:color="auto"/>
          </w:divBdr>
        </w:div>
        <w:div w:id="1378973718">
          <w:marLeft w:val="0"/>
          <w:marRight w:val="0"/>
          <w:marTop w:val="0"/>
          <w:marBottom w:val="0"/>
          <w:divBdr>
            <w:top w:val="none" w:sz="0" w:space="0" w:color="auto"/>
            <w:left w:val="none" w:sz="0" w:space="0" w:color="auto"/>
            <w:bottom w:val="none" w:sz="0" w:space="0" w:color="auto"/>
            <w:right w:val="none" w:sz="0" w:space="0" w:color="auto"/>
          </w:divBdr>
        </w:div>
        <w:div w:id="615017874">
          <w:marLeft w:val="0"/>
          <w:marRight w:val="0"/>
          <w:marTop w:val="0"/>
          <w:marBottom w:val="0"/>
          <w:divBdr>
            <w:top w:val="none" w:sz="0" w:space="0" w:color="auto"/>
            <w:left w:val="none" w:sz="0" w:space="0" w:color="auto"/>
            <w:bottom w:val="none" w:sz="0" w:space="0" w:color="auto"/>
            <w:right w:val="none" w:sz="0" w:space="0" w:color="auto"/>
          </w:divBdr>
        </w:div>
        <w:div w:id="1229683573">
          <w:marLeft w:val="0"/>
          <w:marRight w:val="0"/>
          <w:marTop w:val="0"/>
          <w:marBottom w:val="0"/>
          <w:divBdr>
            <w:top w:val="none" w:sz="0" w:space="0" w:color="auto"/>
            <w:left w:val="none" w:sz="0" w:space="0" w:color="auto"/>
            <w:bottom w:val="none" w:sz="0" w:space="0" w:color="auto"/>
            <w:right w:val="none" w:sz="0" w:space="0" w:color="auto"/>
          </w:divBdr>
        </w:div>
        <w:div w:id="45372387">
          <w:marLeft w:val="0"/>
          <w:marRight w:val="0"/>
          <w:marTop w:val="0"/>
          <w:marBottom w:val="0"/>
          <w:divBdr>
            <w:top w:val="none" w:sz="0" w:space="0" w:color="auto"/>
            <w:left w:val="none" w:sz="0" w:space="0" w:color="auto"/>
            <w:bottom w:val="none" w:sz="0" w:space="0" w:color="auto"/>
            <w:right w:val="none" w:sz="0" w:space="0" w:color="auto"/>
          </w:divBdr>
        </w:div>
        <w:div w:id="811556685">
          <w:marLeft w:val="0"/>
          <w:marRight w:val="0"/>
          <w:marTop w:val="0"/>
          <w:marBottom w:val="0"/>
          <w:divBdr>
            <w:top w:val="none" w:sz="0" w:space="0" w:color="auto"/>
            <w:left w:val="none" w:sz="0" w:space="0" w:color="auto"/>
            <w:bottom w:val="none" w:sz="0" w:space="0" w:color="auto"/>
            <w:right w:val="none" w:sz="0" w:space="0" w:color="auto"/>
          </w:divBdr>
        </w:div>
        <w:div w:id="1750736362">
          <w:marLeft w:val="0"/>
          <w:marRight w:val="0"/>
          <w:marTop w:val="0"/>
          <w:marBottom w:val="0"/>
          <w:divBdr>
            <w:top w:val="none" w:sz="0" w:space="0" w:color="auto"/>
            <w:left w:val="none" w:sz="0" w:space="0" w:color="auto"/>
            <w:bottom w:val="none" w:sz="0" w:space="0" w:color="auto"/>
            <w:right w:val="none" w:sz="0" w:space="0" w:color="auto"/>
          </w:divBdr>
        </w:div>
        <w:div w:id="888878759">
          <w:marLeft w:val="0"/>
          <w:marRight w:val="0"/>
          <w:marTop w:val="0"/>
          <w:marBottom w:val="0"/>
          <w:divBdr>
            <w:top w:val="none" w:sz="0" w:space="0" w:color="auto"/>
            <w:left w:val="none" w:sz="0" w:space="0" w:color="auto"/>
            <w:bottom w:val="none" w:sz="0" w:space="0" w:color="auto"/>
            <w:right w:val="none" w:sz="0" w:space="0" w:color="auto"/>
          </w:divBdr>
        </w:div>
        <w:div w:id="12221644">
          <w:marLeft w:val="0"/>
          <w:marRight w:val="0"/>
          <w:marTop w:val="0"/>
          <w:marBottom w:val="0"/>
          <w:divBdr>
            <w:top w:val="none" w:sz="0" w:space="0" w:color="auto"/>
            <w:left w:val="none" w:sz="0" w:space="0" w:color="auto"/>
            <w:bottom w:val="none" w:sz="0" w:space="0" w:color="auto"/>
            <w:right w:val="none" w:sz="0" w:space="0" w:color="auto"/>
          </w:divBdr>
        </w:div>
        <w:div w:id="1845508469">
          <w:marLeft w:val="0"/>
          <w:marRight w:val="0"/>
          <w:marTop w:val="0"/>
          <w:marBottom w:val="0"/>
          <w:divBdr>
            <w:top w:val="none" w:sz="0" w:space="0" w:color="auto"/>
            <w:left w:val="none" w:sz="0" w:space="0" w:color="auto"/>
            <w:bottom w:val="none" w:sz="0" w:space="0" w:color="auto"/>
            <w:right w:val="none" w:sz="0" w:space="0" w:color="auto"/>
          </w:divBdr>
        </w:div>
        <w:div w:id="1010446421">
          <w:marLeft w:val="0"/>
          <w:marRight w:val="0"/>
          <w:marTop w:val="0"/>
          <w:marBottom w:val="0"/>
          <w:divBdr>
            <w:top w:val="none" w:sz="0" w:space="0" w:color="auto"/>
            <w:left w:val="none" w:sz="0" w:space="0" w:color="auto"/>
            <w:bottom w:val="none" w:sz="0" w:space="0" w:color="auto"/>
            <w:right w:val="none" w:sz="0" w:space="0" w:color="auto"/>
          </w:divBdr>
        </w:div>
        <w:div w:id="211189378">
          <w:marLeft w:val="0"/>
          <w:marRight w:val="0"/>
          <w:marTop w:val="0"/>
          <w:marBottom w:val="0"/>
          <w:divBdr>
            <w:top w:val="none" w:sz="0" w:space="0" w:color="auto"/>
            <w:left w:val="none" w:sz="0" w:space="0" w:color="auto"/>
            <w:bottom w:val="none" w:sz="0" w:space="0" w:color="auto"/>
            <w:right w:val="none" w:sz="0" w:space="0" w:color="auto"/>
          </w:divBdr>
        </w:div>
        <w:div w:id="625939202">
          <w:marLeft w:val="0"/>
          <w:marRight w:val="0"/>
          <w:marTop w:val="0"/>
          <w:marBottom w:val="0"/>
          <w:divBdr>
            <w:top w:val="none" w:sz="0" w:space="0" w:color="auto"/>
            <w:left w:val="none" w:sz="0" w:space="0" w:color="auto"/>
            <w:bottom w:val="none" w:sz="0" w:space="0" w:color="auto"/>
            <w:right w:val="none" w:sz="0" w:space="0" w:color="auto"/>
          </w:divBdr>
        </w:div>
        <w:div w:id="1201238849">
          <w:marLeft w:val="0"/>
          <w:marRight w:val="0"/>
          <w:marTop w:val="0"/>
          <w:marBottom w:val="0"/>
          <w:divBdr>
            <w:top w:val="none" w:sz="0" w:space="0" w:color="auto"/>
            <w:left w:val="none" w:sz="0" w:space="0" w:color="auto"/>
            <w:bottom w:val="none" w:sz="0" w:space="0" w:color="auto"/>
            <w:right w:val="none" w:sz="0" w:space="0" w:color="auto"/>
          </w:divBdr>
        </w:div>
        <w:div w:id="1977561658">
          <w:marLeft w:val="0"/>
          <w:marRight w:val="0"/>
          <w:marTop w:val="0"/>
          <w:marBottom w:val="0"/>
          <w:divBdr>
            <w:top w:val="none" w:sz="0" w:space="0" w:color="auto"/>
            <w:left w:val="none" w:sz="0" w:space="0" w:color="auto"/>
            <w:bottom w:val="none" w:sz="0" w:space="0" w:color="auto"/>
            <w:right w:val="none" w:sz="0" w:space="0" w:color="auto"/>
          </w:divBdr>
        </w:div>
        <w:div w:id="816848540">
          <w:marLeft w:val="0"/>
          <w:marRight w:val="0"/>
          <w:marTop w:val="0"/>
          <w:marBottom w:val="0"/>
          <w:divBdr>
            <w:top w:val="none" w:sz="0" w:space="0" w:color="auto"/>
            <w:left w:val="none" w:sz="0" w:space="0" w:color="auto"/>
            <w:bottom w:val="none" w:sz="0" w:space="0" w:color="auto"/>
            <w:right w:val="none" w:sz="0" w:space="0" w:color="auto"/>
          </w:divBdr>
        </w:div>
        <w:div w:id="1359816643">
          <w:marLeft w:val="0"/>
          <w:marRight w:val="0"/>
          <w:marTop w:val="0"/>
          <w:marBottom w:val="0"/>
          <w:divBdr>
            <w:top w:val="none" w:sz="0" w:space="0" w:color="auto"/>
            <w:left w:val="none" w:sz="0" w:space="0" w:color="auto"/>
            <w:bottom w:val="none" w:sz="0" w:space="0" w:color="auto"/>
            <w:right w:val="none" w:sz="0" w:space="0" w:color="auto"/>
          </w:divBdr>
        </w:div>
        <w:div w:id="2072726302">
          <w:marLeft w:val="0"/>
          <w:marRight w:val="0"/>
          <w:marTop w:val="0"/>
          <w:marBottom w:val="0"/>
          <w:divBdr>
            <w:top w:val="none" w:sz="0" w:space="0" w:color="auto"/>
            <w:left w:val="none" w:sz="0" w:space="0" w:color="auto"/>
            <w:bottom w:val="none" w:sz="0" w:space="0" w:color="auto"/>
            <w:right w:val="none" w:sz="0" w:space="0" w:color="auto"/>
          </w:divBdr>
        </w:div>
        <w:div w:id="931860193">
          <w:marLeft w:val="0"/>
          <w:marRight w:val="0"/>
          <w:marTop w:val="0"/>
          <w:marBottom w:val="0"/>
          <w:divBdr>
            <w:top w:val="none" w:sz="0" w:space="0" w:color="auto"/>
            <w:left w:val="none" w:sz="0" w:space="0" w:color="auto"/>
            <w:bottom w:val="none" w:sz="0" w:space="0" w:color="auto"/>
            <w:right w:val="none" w:sz="0" w:space="0" w:color="auto"/>
          </w:divBdr>
        </w:div>
        <w:div w:id="1405180021">
          <w:marLeft w:val="0"/>
          <w:marRight w:val="0"/>
          <w:marTop w:val="0"/>
          <w:marBottom w:val="0"/>
          <w:divBdr>
            <w:top w:val="none" w:sz="0" w:space="0" w:color="auto"/>
            <w:left w:val="none" w:sz="0" w:space="0" w:color="auto"/>
            <w:bottom w:val="none" w:sz="0" w:space="0" w:color="auto"/>
            <w:right w:val="none" w:sz="0" w:space="0" w:color="auto"/>
          </w:divBdr>
        </w:div>
        <w:div w:id="337929273">
          <w:marLeft w:val="0"/>
          <w:marRight w:val="0"/>
          <w:marTop w:val="0"/>
          <w:marBottom w:val="0"/>
          <w:divBdr>
            <w:top w:val="none" w:sz="0" w:space="0" w:color="auto"/>
            <w:left w:val="none" w:sz="0" w:space="0" w:color="auto"/>
            <w:bottom w:val="none" w:sz="0" w:space="0" w:color="auto"/>
            <w:right w:val="none" w:sz="0" w:space="0" w:color="auto"/>
          </w:divBdr>
        </w:div>
        <w:div w:id="661785104">
          <w:marLeft w:val="0"/>
          <w:marRight w:val="0"/>
          <w:marTop w:val="0"/>
          <w:marBottom w:val="0"/>
          <w:divBdr>
            <w:top w:val="none" w:sz="0" w:space="0" w:color="auto"/>
            <w:left w:val="none" w:sz="0" w:space="0" w:color="auto"/>
            <w:bottom w:val="none" w:sz="0" w:space="0" w:color="auto"/>
            <w:right w:val="none" w:sz="0" w:space="0" w:color="auto"/>
          </w:divBdr>
        </w:div>
        <w:div w:id="854686688">
          <w:marLeft w:val="0"/>
          <w:marRight w:val="0"/>
          <w:marTop w:val="0"/>
          <w:marBottom w:val="0"/>
          <w:divBdr>
            <w:top w:val="none" w:sz="0" w:space="0" w:color="auto"/>
            <w:left w:val="none" w:sz="0" w:space="0" w:color="auto"/>
            <w:bottom w:val="none" w:sz="0" w:space="0" w:color="auto"/>
            <w:right w:val="none" w:sz="0" w:space="0" w:color="auto"/>
          </w:divBdr>
        </w:div>
        <w:div w:id="19403581">
          <w:marLeft w:val="0"/>
          <w:marRight w:val="0"/>
          <w:marTop w:val="0"/>
          <w:marBottom w:val="0"/>
          <w:divBdr>
            <w:top w:val="none" w:sz="0" w:space="0" w:color="auto"/>
            <w:left w:val="none" w:sz="0" w:space="0" w:color="auto"/>
            <w:bottom w:val="none" w:sz="0" w:space="0" w:color="auto"/>
            <w:right w:val="none" w:sz="0" w:space="0" w:color="auto"/>
          </w:divBdr>
        </w:div>
        <w:div w:id="327444471">
          <w:marLeft w:val="0"/>
          <w:marRight w:val="0"/>
          <w:marTop w:val="0"/>
          <w:marBottom w:val="0"/>
          <w:divBdr>
            <w:top w:val="none" w:sz="0" w:space="0" w:color="auto"/>
            <w:left w:val="none" w:sz="0" w:space="0" w:color="auto"/>
            <w:bottom w:val="none" w:sz="0" w:space="0" w:color="auto"/>
            <w:right w:val="none" w:sz="0" w:space="0" w:color="auto"/>
          </w:divBdr>
        </w:div>
        <w:div w:id="1039164436">
          <w:marLeft w:val="0"/>
          <w:marRight w:val="0"/>
          <w:marTop w:val="0"/>
          <w:marBottom w:val="0"/>
          <w:divBdr>
            <w:top w:val="none" w:sz="0" w:space="0" w:color="auto"/>
            <w:left w:val="none" w:sz="0" w:space="0" w:color="auto"/>
            <w:bottom w:val="none" w:sz="0" w:space="0" w:color="auto"/>
            <w:right w:val="none" w:sz="0" w:space="0" w:color="auto"/>
          </w:divBdr>
        </w:div>
        <w:div w:id="1015226788">
          <w:marLeft w:val="0"/>
          <w:marRight w:val="0"/>
          <w:marTop w:val="0"/>
          <w:marBottom w:val="0"/>
          <w:divBdr>
            <w:top w:val="none" w:sz="0" w:space="0" w:color="auto"/>
            <w:left w:val="none" w:sz="0" w:space="0" w:color="auto"/>
            <w:bottom w:val="none" w:sz="0" w:space="0" w:color="auto"/>
            <w:right w:val="none" w:sz="0" w:space="0" w:color="auto"/>
          </w:divBdr>
        </w:div>
        <w:div w:id="105586677">
          <w:marLeft w:val="0"/>
          <w:marRight w:val="0"/>
          <w:marTop w:val="0"/>
          <w:marBottom w:val="0"/>
          <w:divBdr>
            <w:top w:val="none" w:sz="0" w:space="0" w:color="auto"/>
            <w:left w:val="none" w:sz="0" w:space="0" w:color="auto"/>
            <w:bottom w:val="none" w:sz="0" w:space="0" w:color="auto"/>
            <w:right w:val="none" w:sz="0" w:space="0" w:color="auto"/>
          </w:divBdr>
        </w:div>
        <w:div w:id="1062680764">
          <w:marLeft w:val="0"/>
          <w:marRight w:val="0"/>
          <w:marTop w:val="0"/>
          <w:marBottom w:val="0"/>
          <w:divBdr>
            <w:top w:val="none" w:sz="0" w:space="0" w:color="auto"/>
            <w:left w:val="none" w:sz="0" w:space="0" w:color="auto"/>
            <w:bottom w:val="none" w:sz="0" w:space="0" w:color="auto"/>
            <w:right w:val="none" w:sz="0" w:space="0" w:color="auto"/>
          </w:divBdr>
        </w:div>
        <w:div w:id="869951371">
          <w:marLeft w:val="0"/>
          <w:marRight w:val="0"/>
          <w:marTop w:val="0"/>
          <w:marBottom w:val="0"/>
          <w:divBdr>
            <w:top w:val="none" w:sz="0" w:space="0" w:color="auto"/>
            <w:left w:val="none" w:sz="0" w:space="0" w:color="auto"/>
            <w:bottom w:val="none" w:sz="0" w:space="0" w:color="auto"/>
            <w:right w:val="none" w:sz="0" w:space="0" w:color="auto"/>
          </w:divBdr>
        </w:div>
        <w:div w:id="1002123958">
          <w:marLeft w:val="0"/>
          <w:marRight w:val="0"/>
          <w:marTop w:val="0"/>
          <w:marBottom w:val="0"/>
          <w:divBdr>
            <w:top w:val="none" w:sz="0" w:space="0" w:color="auto"/>
            <w:left w:val="none" w:sz="0" w:space="0" w:color="auto"/>
            <w:bottom w:val="none" w:sz="0" w:space="0" w:color="auto"/>
            <w:right w:val="none" w:sz="0" w:space="0" w:color="auto"/>
          </w:divBdr>
        </w:div>
        <w:div w:id="815490693">
          <w:marLeft w:val="0"/>
          <w:marRight w:val="0"/>
          <w:marTop w:val="0"/>
          <w:marBottom w:val="0"/>
          <w:divBdr>
            <w:top w:val="none" w:sz="0" w:space="0" w:color="auto"/>
            <w:left w:val="none" w:sz="0" w:space="0" w:color="auto"/>
            <w:bottom w:val="none" w:sz="0" w:space="0" w:color="auto"/>
            <w:right w:val="none" w:sz="0" w:space="0" w:color="auto"/>
          </w:divBdr>
        </w:div>
        <w:div w:id="1965041832">
          <w:marLeft w:val="0"/>
          <w:marRight w:val="0"/>
          <w:marTop w:val="0"/>
          <w:marBottom w:val="0"/>
          <w:divBdr>
            <w:top w:val="none" w:sz="0" w:space="0" w:color="auto"/>
            <w:left w:val="none" w:sz="0" w:space="0" w:color="auto"/>
            <w:bottom w:val="none" w:sz="0" w:space="0" w:color="auto"/>
            <w:right w:val="none" w:sz="0" w:space="0" w:color="auto"/>
          </w:divBdr>
        </w:div>
        <w:div w:id="1104038964">
          <w:marLeft w:val="0"/>
          <w:marRight w:val="0"/>
          <w:marTop w:val="0"/>
          <w:marBottom w:val="0"/>
          <w:divBdr>
            <w:top w:val="none" w:sz="0" w:space="0" w:color="auto"/>
            <w:left w:val="none" w:sz="0" w:space="0" w:color="auto"/>
            <w:bottom w:val="none" w:sz="0" w:space="0" w:color="auto"/>
            <w:right w:val="none" w:sz="0" w:space="0" w:color="auto"/>
          </w:divBdr>
        </w:div>
        <w:div w:id="1632053409">
          <w:marLeft w:val="0"/>
          <w:marRight w:val="0"/>
          <w:marTop w:val="0"/>
          <w:marBottom w:val="0"/>
          <w:divBdr>
            <w:top w:val="none" w:sz="0" w:space="0" w:color="auto"/>
            <w:left w:val="none" w:sz="0" w:space="0" w:color="auto"/>
            <w:bottom w:val="none" w:sz="0" w:space="0" w:color="auto"/>
            <w:right w:val="none" w:sz="0" w:space="0" w:color="auto"/>
          </w:divBdr>
        </w:div>
        <w:div w:id="888344440">
          <w:marLeft w:val="0"/>
          <w:marRight w:val="0"/>
          <w:marTop w:val="0"/>
          <w:marBottom w:val="0"/>
          <w:divBdr>
            <w:top w:val="none" w:sz="0" w:space="0" w:color="auto"/>
            <w:left w:val="none" w:sz="0" w:space="0" w:color="auto"/>
            <w:bottom w:val="none" w:sz="0" w:space="0" w:color="auto"/>
            <w:right w:val="none" w:sz="0" w:space="0" w:color="auto"/>
          </w:divBdr>
        </w:div>
        <w:div w:id="1686011507">
          <w:marLeft w:val="0"/>
          <w:marRight w:val="0"/>
          <w:marTop w:val="0"/>
          <w:marBottom w:val="0"/>
          <w:divBdr>
            <w:top w:val="none" w:sz="0" w:space="0" w:color="auto"/>
            <w:left w:val="none" w:sz="0" w:space="0" w:color="auto"/>
            <w:bottom w:val="none" w:sz="0" w:space="0" w:color="auto"/>
            <w:right w:val="none" w:sz="0" w:space="0" w:color="auto"/>
          </w:divBdr>
        </w:div>
        <w:div w:id="1096680712">
          <w:marLeft w:val="0"/>
          <w:marRight w:val="0"/>
          <w:marTop w:val="0"/>
          <w:marBottom w:val="0"/>
          <w:divBdr>
            <w:top w:val="none" w:sz="0" w:space="0" w:color="auto"/>
            <w:left w:val="none" w:sz="0" w:space="0" w:color="auto"/>
            <w:bottom w:val="none" w:sz="0" w:space="0" w:color="auto"/>
            <w:right w:val="none" w:sz="0" w:space="0" w:color="auto"/>
          </w:divBdr>
        </w:div>
        <w:div w:id="1250390909">
          <w:marLeft w:val="0"/>
          <w:marRight w:val="0"/>
          <w:marTop w:val="0"/>
          <w:marBottom w:val="0"/>
          <w:divBdr>
            <w:top w:val="none" w:sz="0" w:space="0" w:color="auto"/>
            <w:left w:val="none" w:sz="0" w:space="0" w:color="auto"/>
            <w:bottom w:val="none" w:sz="0" w:space="0" w:color="auto"/>
            <w:right w:val="none" w:sz="0" w:space="0" w:color="auto"/>
          </w:divBdr>
        </w:div>
        <w:div w:id="1020161049">
          <w:marLeft w:val="0"/>
          <w:marRight w:val="0"/>
          <w:marTop w:val="0"/>
          <w:marBottom w:val="0"/>
          <w:divBdr>
            <w:top w:val="none" w:sz="0" w:space="0" w:color="auto"/>
            <w:left w:val="none" w:sz="0" w:space="0" w:color="auto"/>
            <w:bottom w:val="none" w:sz="0" w:space="0" w:color="auto"/>
            <w:right w:val="none" w:sz="0" w:space="0" w:color="auto"/>
          </w:divBdr>
        </w:div>
        <w:div w:id="188566832">
          <w:marLeft w:val="0"/>
          <w:marRight w:val="0"/>
          <w:marTop w:val="0"/>
          <w:marBottom w:val="0"/>
          <w:divBdr>
            <w:top w:val="none" w:sz="0" w:space="0" w:color="auto"/>
            <w:left w:val="none" w:sz="0" w:space="0" w:color="auto"/>
            <w:bottom w:val="none" w:sz="0" w:space="0" w:color="auto"/>
            <w:right w:val="none" w:sz="0" w:space="0" w:color="auto"/>
          </w:divBdr>
        </w:div>
        <w:div w:id="351028185">
          <w:marLeft w:val="0"/>
          <w:marRight w:val="0"/>
          <w:marTop w:val="0"/>
          <w:marBottom w:val="0"/>
          <w:divBdr>
            <w:top w:val="none" w:sz="0" w:space="0" w:color="auto"/>
            <w:left w:val="none" w:sz="0" w:space="0" w:color="auto"/>
            <w:bottom w:val="none" w:sz="0" w:space="0" w:color="auto"/>
            <w:right w:val="none" w:sz="0" w:space="0" w:color="auto"/>
          </w:divBdr>
        </w:div>
        <w:div w:id="1292782886">
          <w:marLeft w:val="0"/>
          <w:marRight w:val="0"/>
          <w:marTop w:val="0"/>
          <w:marBottom w:val="0"/>
          <w:divBdr>
            <w:top w:val="none" w:sz="0" w:space="0" w:color="auto"/>
            <w:left w:val="none" w:sz="0" w:space="0" w:color="auto"/>
            <w:bottom w:val="none" w:sz="0" w:space="0" w:color="auto"/>
            <w:right w:val="none" w:sz="0" w:space="0" w:color="auto"/>
          </w:divBdr>
        </w:div>
        <w:div w:id="1528132484">
          <w:marLeft w:val="0"/>
          <w:marRight w:val="0"/>
          <w:marTop w:val="0"/>
          <w:marBottom w:val="0"/>
          <w:divBdr>
            <w:top w:val="none" w:sz="0" w:space="0" w:color="auto"/>
            <w:left w:val="none" w:sz="0" w:space="0" w:color="auto"/>
            <w:bottom w:val="none" w:sz="0" w:space="0" w:color="auto"/>
            <w:right w:val="none" w:sz="0" w:space="0" w:color="auto"/>
          </w:divBdr>
        </w:div>
        <w:div w:id="986786768">
          <w:marLeft w:val="0"/>
          <w:marRight w:val="0"/>
          <w:marTop w:val="0"/>
          <w:marBottom w:val="0"/>
          <w:divBdr>
            <w:top w:val="none" w:sz="0" w:space="0" w:color="auto"/>
            <w:left w:val="none" w:sz="0" w:space="0" w:color="auto"/>
            <w:bottom w:val="none" w:sz="0" w:space="0" w:color="auto"/>
            <w:right w:val="none" w:sz="0" w:space="0" w:color="auto"/>
          </w:divBdr>
        </w:div>
        <w:div w:id="1274096700">
          <w:marLeft w:val="0"/>
          <w:marRight w:val="0"/>
          <w:marTop w:val="0"/>
          <w:marBottom w:val="0"/>
          <w:divBdr>
            <w:top w:val="none" w:sz="0" w:space="0" w:color="auto"/>
            <w:left w:val="none" w:sz="0" w:space="0" w:color="auto"/>
            <w:bottom w:val="none" w:sz="0" w:space="0" w:color="auto"/>
            <w:right w:val="none" w:sz="0" w:space="0" w:color="auto"/>
          </w:divBdr>
        </w:div>
        <w:div w:id="563685664">
          <w:marLeft w:val="0"/>
          <w:marRight w:val="0"/>
          <w:marTop w:val="0"/>
          <w:marBottom w:val="0"/>
          <w:divBdr>
            <w:top w:val="none" w:sz="0" w:space="0" w:color="auto"/>
            <w:left w:val="none" w:sz="0" w:space="0" w:color="auto"/>
            <w:bottom w:val="none" w:sz="0" w:space="0" w:color="auto"/>
            <w:right w:val="none" w:sz="0" w:space="0" w:color="auto"/>
          </w:divBdr>
        </w:div>
        <w:div w:id="1875733594">
          <w:marLeft w:val="0"/>
          <w:marRight w:val="0"/>
          <w:marTop w:val="0"/>
          <w:marBottom w:val="0"/>
          <w:divBdr>
            <w:top w:val="none" w:sz="0" w:space="0" w:color="auto"/>
            <w:left w:val="none" w:sz="0" w:space="0" w:color="auto"/>
            <w:bottom w:val="none" w:sz="0" w:space="0" w:color="auto"/>
            <w:right w:val="none" w:sz="0" w:space="0" w:color="auto"/>
          </w:divBdr>
        </w:div>
        <w:div w:id="920405184">
          <w:marLeft w:val="0"/>
          <w:marRight w:val="0"/>
          <w:marTop w:val="0"/>
          <w:marBottom w:val="0"/>
          <w:divBdr>
            <w:top w:val="none" w:sz="0" w:space="0" w:color="auto"/>
            <w:left w:val="none" w:sz="0" w:space="0" w:color="auto"/>
            <w:bottom w:val="none" w:sz="0" w:space="0" w:color="auto"/>
            <w:right w:val="none" w:sz="0" w:space="0" w:color="auto"/>
          </w:divBdr>
        </w:div>
        <w:div w:id="1977250818">
          <w:marLeft w:val="0"/>
          <w:marRight w:val="0"/>
          <w:marTop w:val="0"/>
          <w:marBottom w:val="0"/>
          <w:divBdr>
            <w:top w:val="none" w:sz="0" w:space="0" w:color="auto"/>
            <w:left w:val="none" w:sz="0" w:space="0" w:color="auto"/>
            <w:bottom w:val="none" w:sz="0" w:space="0" w:color="auto"/>
            <w:right w:val="none" w:sz="0" w:space="0" w:color="auto"/>
          </w:divBdr>
        </w:div>
        <w:div w:id="1094477149">
          <w:marLeft w:val="0"/>
          <w:marRight w:val="0"/>
          <w:marTop w:val="0"/>
          <w:marBottom w:val="0"/>
          <w:divBdr>
            <w:top w:val="none" w:sz="0" w:space="0" w:color="auto"/>
            <w:left w:val="none" w:sz="0" w:space="0" w:color="auto"/>
            <w:bottom w:val="none" w:sz="0" w:space="0" w:color="auto"/>
            <w:right w:val="none" w:sz="0" w:space="0" w:color="auto"/>
          </w:divBdr>
        </w:div>
        <w:div w:id="1802920095">
          <w:marLeft w:val="0"/>
          <w:marRight w:val="0"/>
          <w:marTop w:val="0"/>
          <w:marBottom w:val="0"/>
          <w:divBdr>
            <w:top w:val="none" w:sz="0" w:space="0" w:color="auto"/>
            <w:left w:val="none" w:sz="0" w:space="0" w:color="auto"/>
            <w:bottom w:val="none" w:sz="0" w:space="0" w:color="auto"/>
            <w:right w:val="none" w:sz="0" w:space="0" w:color="auto"/>
          </w:divBdr>
        </w:div>
        <w:div w:id="1352604991">
          <w:marLeft w:val="0"/>
          <w:marRight w:val="0"/>
          <w:marTop w:val="0"/>
          <w:marBottom w:val="0"/>
          <w:divBdr>
            <w:top w:val="none" w:sz="0" w:space="0" w:color="auto"/>
            <w:left w:val="none" w:sz="0" w:space="0" w:color="auto"/>
            <w:bottom w:val="none" w:sz="0" w:space="0" w:color="auto"/>
            <w:right w:val="none" w:sz="0" w:space="0" w:color="auto"/>
          </w:divBdr>
        </w:div>
        <w:div w:id="1975140099">
          <w:marLeft w:val="0"/>
          <w:marRight w:val="0"/>
          <w:marTop w:val="0"/>
          <w:marBottom w:val="0"/>
          <w:divBdr>
            <w:top w:val="none" w:sz="0" w:space="0" w:color="auto"/>
            <w:left w:val="none" w:sz="0" w:space="0" w:color="auto"/>
            <w:bottom w:val="none" w:sz="0" w:space="0" w:color="auto"/>
            <w:right w:val="none" w:sz="0" w:space="0" w:color="auto"/>
          </w:divBdr>
        </w:div>
        <w:div w:id="1986810489">
          <w:marLeft w:val="0"/>
          <w:marRight w:val="0"/>
          <w:marTop w:val="0"/>
          <w:marBottom w:val="0"/>
          <w:divBdr>
            <w:top w:val="none" w:sz="0" w:space="0" w:color="auto"/>
            <w:left w:val="none" w:sz="0" w:space="0" w:color="auto"/>
            <w:bottom w:val="none" w:sz="0" w:space="0" w:color="auto"/>
            <w:right w:val="none" w:sz="0" w:space="0" w:color="auto"/>
          </w:divBdr>
        </w:div>
        <w:div w:id="1134561099">
          <w:marLeft w:val="0"/>
          <w:marRight w:val="0"/>
          <w:marTop w:val="0"/>
          <w:marBottom w:val="0"/>
          <w:divBdr>
            <w:top w:val="none" w:sz="0" w:space="0" w:color="auto"/>
            <w:left w:val="none" w:sz="0" w:space="0" w:color="auto"/>
            <w:bottom w:val="none" w:sz="0" w:space="0" w:color="auto"/>
            <w:right w:val="none" w:sz="0" w:space="0" w:color="auto"/>
          </w:divBdr>
        </w:div>
        <w:div w:id="1525709029">
          <w:marLeft w:val="0"/>
          <w:marRight w:val="0"/>
          <w:marTop w:val="0"/>
          <w:marBottom w:val="0"/>
          <w:divBdr>
            <w:top w:val="none" w:sz="0" w:space="0" w:color="auto"/>
            <w:left w:val="none" w:sz="0" w:space="0" w:color="auto"/>
            <w:bottom w:val="none" w:sz="0" w:space="0" w:color="auto"/>
            <w:right w:val="none" w:sz="0" w:space="0" w:color="auto"/>
          </w:divBdr>
        </w:div>
        <w:div w:id="769395188">
          <w:marLeft w:val="0"/>
          <w:marRight w:val="0"/>
          <w:marTop w:val="0"/>
          <w:marBottom w:val="0"/>
          <w:divBdr>
            <w:top w:val="none" w:sz="0" w:space="0" w:color="auto"/>
            <w:left w:val="none" w:sz="0" w:space="0" w:color="auto"/>
            <w:bottom w:val="none" w:sz="0" w:space="0" w:color="auto"/>
            <w:right w:val="none" w:sz="0" w:space="0" w:color="auto"/>
          </w:divBdr>
        </w:div>
        <w:div w:id="212739013">
          <w:marLeft w:val="0"/>
          <w:marRight w:val="0"/>
          <w:marTop w:val="0"/>
          <w:marBottom w:val="0"/>
          <w:divBdr>
            <w:top w:val="none" w:sz="0" w:space="0" w:color="auto"/>
            <w:left w:val="none" w:sz="0" w:space="0" w:color="auto"/>
            <w:bottom w:val="none" w:sz="0" w:space="0" w:color="auto"/>
            <w:right w:val="none" w:sz="0" w:space="0" w:color="auto"/>
          </w:divBdr>
        </w:div>
        <w:div w:id="343559736">
          <w:marLeft w:val="0"/>
          <w:marRight w:val="0"/>
          <w:marTop w:val="0"/>
          <w:marBottom w:val="0"/>
          <w:divBdr>
            <w:top w:val="none" w:sz="0" w:space="0" w:color="auto"/>
            <w:left w:val="none" w:sz="0" w:space="0" w:color="auto"/>
            <w:bottom w:val="none" w:sz="0" w:space="0" w:color="auto"/>
            <w:right w:val="none" w:sz="0" w:space="0" w:color="auto"/>
          </w:divBdr>
        </w:div>
        <w:div w:id="983319080">
          <w:marLeft w:val="0"/>
          <w:marRight w:val="0"/>
          <w:marTop w:val="0"/>
          <w:marBottom w:val="0"/>
          <w:divBdr>
            <w:top w:val="none" w:sz="0" w:space="0" w:color="auto"/>
            <w:left w:val="none" w:sz="0" w:space="0" w:color="auto"/>
            <w:bottom w:val="none" w:sz="0" w:space="0" w:color="auto"/>
            <w:right w:val="none" w:sz="0" w:space="0" w:color="auto"/>
          </w:divBdr>
        </w:div>
        <w:div w:id="722020395">
          <w:marLeft w:val="0"/>
          <w:marRight w:val="0"/>
          <w:marTop w:val="0"/>
          <w:marBottom w:val="0"/>
          <w:divBdr>
            <w:top w:val="none" w:sz="0" w:space="0" w:color="auto"/>
            <w:left w:val="none" w:sz="0" w:space="0" w:color="auto"/>
            <w:bottom w:val="none" w:sz="0" w:space="0" w:color="auto"/>
            <w:right w:val="none" w:sz="0" w:space="0" w:color="auto"/>
          </w:divBdr>
        </w:div>
        <w:div w:id="564532519">
          <w:marLeft w:val="0"/>
          <w:marRight w:val="0"/>
          <w:marTop w:val="0"/>
          <w:marBottom w:val="0"/>
          <w:divBdr>
            <w:top w:val="none" w:sz="0" w:space="0" w:color="auto"/>
            <w:left w:val="none" w:sz="0" w:space="0" w:color="auto"/>
            <w:bottom w:val="none" w:sz="0" w:space="0" w:color="auto"/>
            <w:right w:val="none" w:sz="0" w:space="0" w:color="auto"/>
          </w:divBdr>
        </w:div>
        <w:div w:id="373427617">
          <w:marLeft w:val="0"/>
          <w:marRight w:val="0"/>
          <w:marTop w:val="0"/>
          <w:marBottom w:val="0"/>
          <w:divBdr>
            <w:top w:val="none" w:sz="0" w:space="0" w:color="auto"/>
            <w:left w:val="none" w:sz="0" w:space="0" w:color="auto"/>
            <w:bottom w:val="none" w:sz="0" w:space="0" w:color="auto"/>
            <w:right w:val="none" w:sz="0" w:space="0" w:color="auto"/>
          </w:divBdr>
        </w:div>
        <w:div w:id="259071164">
          <w:marLeft w:val="0"/>
          <w:marRight w:val="0"/>
          <w:marTop w:val="0"/>
          <w:marBottom w:val="0"/>
          <w:divBdr>
            <w:top w:val="none" w:sz="0" w:space="0" w:color="auto"/>
            <w:left w:val="none" w:sz="0" w:space="0" w:color="auto"/>
            <w:bottom w:val="none" w:sz="0" w:space="0" w:color="auto"/>
            <w:right w:val="none" w:sz="0" w:space="0" w:color="auto"/>
          </w:divBdr>
        </w:div>
        <w:div w:id="1482772984">
          <w:marLeft w:val="0"/>
          <w:marRight w:val="0"/>
          <w:marTop w:val="0"/>
          <w:marBottom w:val="0"/>
          <w:divBdr>
            <w:top w:val="none" w:sz="0" w:space="0" w:color="auto"/>
            <w:left w:val="none" w:sz="0" w:space="0" w:color="auto"/>
            <w:bottom w:val="none" w:sz="0" w:space="0" w:color="auto"/>
            <w:right w:val="none" w:sz="0" w:space="0" w:color="auto"/>
          </w:divBdr>
        </w:div>
        <w:div w:id="493840373">
          <w:marLeft w:val="0"/>
          <w:marRight w:val="0"/>
          <w:marTop w:val="0"/>
          <w:marBottom w:val="0"/>
          <w:divBdr>
            <w:top w:val="none" w:sz="0" w:space="0" w:color="auto"/>
            <w:left w:val="none" w:sz="0" w:space="0" w:color="auto"/>
            <w:bottom w:val="none" w:sz="0" w:space="0" w:color="auto"/>
            <w:right w:val="none" w:sz="0" w:space="0" w:color="auto"/>
          </w:divBdr>
        </w:div>
        <w:div w:id="148719172">
          <w:marLeft w:val="0"/>
          <w:marRight w:val="0"/>
          <w:marTop w:val="0"/>
          <w:marBottom w:val="0"/>
          <w:divBdr>
            <w:top w:val="none" w:sz="0" w:space="0" w:color="auto"/>
            <w:left w:val="none" w:sz="0" w:space="0" w:color="auto"/>
            <w:bottom w:val="none" w:sz="0" w:space="0" w:color="auto"/>
            <w:right w:val="none" w:sz="0" w:space="0" w:color="auto"/>
          </w:divBdr>
        </w:div>
        <w:div w:id="481586578">
          <w:marLeft w:val="0"/>
          <w:marRight w:val="0"/>
          <w:marTop w:val="0"/>
          <w:marBottom w:val="0"/>
          <w:divBdr>
            <w:top w:val="none" w:sz="0" w:space="0" w:color="auto"/>
            <w:left w:val="none" w:sz="0" w:space="0" w:color="auto"/>
            <w:bottom w:val="none" w:sz="0" w:space="0" w:color="auto"/>
            <w:right w:val="none" w:sz="0" w:space="0" w:color="auto"/>
          </w:divBdr>
        </w:div>
        <w:div w:id="177551740">
          <w:marLeft w:val="0"/>
          <w:marRight w:val="0"/>
          <w:marTop w:val="0"/>
          <w:marBottom w:val="0"/>
          <w:divBdr>
            <w:top w:val="none" w:sz="0" w:space="0" w:color="auto"/>
            <w:left w:val="none" w:sz="0" w:space="0" w:color="auto"/>
            <w:bottom w:val="none" w:sz="0" w:space="0" w:color="auto"/>
            <w:right w:val="none" w:sz="0" w:space="0" w:color="auto"/>
          </w:divBdr>
        </w:div>
        <w:div w:id="1188331299">
          <w:marLeft w:val="0"/>
          <w:marRight w:val="0"/>
          <w:marTop w:val="0"/>
          <w:marBottom w:val="0"/>
          <w:divBdr>
            <w:top w:val="none" w:sz="0" w:space="0" w:color="auto"/>
            <w:left w:val="none" w:sz="0" w:space="0" w:color="auto"/>
            <w:bottom w:val="none" w:sz="0" w:space="0" w:color="auto"/>
            <w:right w:val="none" w:sz="0" w:space="0" w:color="auto"/>
          </w:divBdr>
        </w:div>
        <w:div w:id="788471061">
          <w:marLeft w:val="0"/>
          <w:marRight w:val="0"/>
          <w:marTop w:val="0"/>
          <w:marBottom w:val="0"/>
          <w:divBdr>
            <w:top w:val="none" w:sz="0" w:space="0" w:color="auto"/>
            <w:left w:val="none" w:sz="0" w:space="0" w:color="auto"/>
            <w:bottom w:val="none" w:sz="0" w:space="0" w:color="auto"/>
            <w:right w:val="none" w:sz="0" w:space="0" w:color="auto"/>
          </w:divBdr>
        </w:div>
        <w:div w:id="900484642">
          <w:marLeft w:val="0"/>
          <w:marRight w:val="0"/>
          <w:marTop w:val="0"/>
          <w:marBottom w:val="0"/>
          <w:divBdr>
            <w:top w:val="none" w:sz="0" w:space="0" w:color="auto"/>
            <w:left w:val="none" w:sz="0" w:space="0" w:color="auto"/>
            <w:bottom w:val="none" w:sz="0" w:space="0" w:color="auto"/>
            <w:right w:val="none" w:sz="0" w:space="0" w:color="auto"/>
          </w:divBdr>
        </w:div>
        <w:div w:id="158884355">
          <w:marLeft w:val="0"/>
          <w:marRight w:val="0"/>
          <w:marTop w:val="0"/>
          <w:marBottom w:val="0"/>
          <w:divBdr>
            <w:top w:val="none" w:sz="0" w:space="0" w:color="auto"/>
            <w:left w:val="none" w:sz="0" w:space="0" w:color="auto"/>
            <w:bottom w:val="none" w:sz="0" w:space="0" w:color="auto"/>
            <w:right w:val="none" w:sz="0" w:space="0" w:color="auto"/>
          </w:divBdr>
        </w:div>
        <w:div w:id="794257343">
          <w:marLeft w:val="0"/>
          <w:marRight w:val="0"/>
          <w:marTop w:val="0"/>
          <w:marBottom w:val="0"/>
          <w:divBdr>
            <w:top w:val="none" w:sz="0" w:space="0" w:color="auto"/>
            <w:left w:val="none" w:sz="0" w:space="0" w:color="auto"/>
            <w:bottom w:val="none" w:sz="0" w:space="0" w:color="auto"/>
            <w:right w:val="none" w:sz="0" w:space="0" w:color="auto"/>
          </w:divBdr>
        </w:div>
        <w:div w:id="419185700">
          <w:marLeft w:val="0"/>
          <w:marRight w:val="0"/>
          <w:marTop w:val="0"/>
          <w:marBottom w:val="0"/>
          <w:divBdr>
            <w:top w:val="none" w:sz="0" w:space="0" w:color="auto"/>
            <w:left w:val="none" w:sz="0" w:space="0" w:color="auto"/>
            <w:bottom w:val="none" w:sz="0" w:space="0" w:color="auto"/>
            <w:right w:val="none" w:sz="0" w:space="0" w:color="auto"/>
          </w:divBdr>
        </w:div>
        <w:div w:id="1097021482">
          <w:marLeft w:val="0"/>
          <w:marRight w:val="0"/>
          <w:marTop w:val="0"/>
          <w:marBottom w:val="0"/>
          <w:divBdr>
            <w:top w:val="none" w:sz="0" w:space="0" w:color="auto"/>
            <w:left w:val="none" w:sz="0" w:space="0" w:color="auto"/>
            <w:bottom w:val="none" w:sz="0" w:space="0" w:color="auto"/>
            <w:right w:val="none" w:sz="0" w:space="0" w:color="auto"/>
          </w:divBdr>
        </w:div>
        <w:div w:id="1919172297">
          <w:marLeft w:val="0"/>
          <w:marRight w:val="0"/>
          <w:marTop w:val="0"/>
          <w:marBottom w:val="0"/>
          <w:divBdr>
            <w:top w:val="none" w:sz="0" w:space="0" w:color="auto"/>
            <w:left w:val="none" w:sz="0" w:space="0" w:color="auto"/>
            <w:bottom w:val="none" w:sz="0" w:space="0" w:color="auto"/>
            <w:right w:val="none" w:sz="0" w:space="0" w:color="auto"/>
          </w:divBdr>
        </w:div>
        <w:div w:id="430589790">
          <w:marLeft w:val="0"/>
          <w:marRight w:val="0"/>
          <w:marTop w:val="0"/>
          <w:marBottom w:val="0"/>
          <w:divBdr>
            <w:top w:val="none" w:sz="0" w:space="0" w:color="auto"/>
            <w:left w:val="none" w:sz="0" w:space="0" w:color="auto"/>
            <w:bottom w:val="none" w:sz="0" w:space="0" w:color="auto"/>
            <w:right w:val="none" w:sz="0" w:space="0" w:color="auto"/>
          </w:divBdr>
        </w:div>
        <w:div w:id="1340423890">
          <w:marLeft w:val="0"/>
          <w:marRight w:val="0"/>
          <w:marTop w:val="0"/>
          <w:marBottom w:val="0"/>
          <w:divBdr>
            <w:top w:val="none" w:sz="0" w:space="0" w:color="auto"/>
            <w:left w:val="none" w:sz="0" w:space="0" w:color="auto"/>
            <w:bottom w:val="none" w:sz="0" w:space="0" w:color="auto"/>
            <w:right w:val="none" w:sz="0" w:space="0" w:color="auto"/>
          </w:divBdr>
        </w:div>
        <w:div w:id="771323338">
          <w:marLeft w:val="0"/>
          <w:marRight w:val="0"/>
          <w:marTop w:val="0"/>
          <w:marBottom w:val="0"/>
          <w:divBdr>
            <w:top w:val="none" w:sz="0" w:space="0" w:color="auto"/>
            <w:left w:val="none" w:sz="0" w:space="0" w:color="auto"/>
            <w:bottom w:val="none" w:sz="0" w:space="0" w:color="auto"/>
            <w:right w:val="none" w:sz="0" w:space="0" w:color="auto"/>
          </w:divBdr>
        </w:div>
        <w:div w:id="1333072013">
          <w:marLeft w:val="0"/>
          <w:marRight w:val="0"/>
          <w:marTop w:val="0"/>
          <w:marBottom w:val="0"/>
          <w:divBdr>
            <w:top w:val="none" w:sz="0" w:space="0" w:color="auto"/>
            <w:left w:val="none" w:sz="0" w:space="0" w:color="auto"/>
            <w:bottom w:val="none" w:sz="0" w:space="0" w:color="auto"/>
            <w:right w:val="none" w:sz="0" w:space="0" w:color="auto"/>
          </w:divBdr>
        </w:div>
        <w:div w:id="103522899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531188574">
          <w:marLeft w:val="0"/>
          <w:marRight w:val="0"/>
          <w:marTop w:val="0"/>
          <w:marBottom w:val="0"/>
          <w:divBdr>
            <w:top w:val="none" w:sz="0" w:space="0" w:color="auto"/>
            <w:left w:val="none" w:sz="0" w:space="0" w:color="auto"/>
            <w:bottom w:val="none" w:sz="0" w:space="0" w:color="auto"/>
            <w:right w:val="none" w:sz="0" w:space="0" w:color="auto"/>
          </w:divBdr>
        </w:div>
        <w:div w:id="1514611377">
          <w:marLeft w:val="0"/>
          <w:marRight w:val="0"/>
          <w:marTop w:val="0"/>
          <w:marBottom w:val="0"/>
          <w:divBdr>
            <w:top w:val="none" w:sz="0" w:space="0" w:color="auto"/>
            <w:left w:val="none" w:sz="0" w:space="0" w:color="auto"/>
            <w:bottom w:val="none" w:sz="0" w:space="0" w:color="auto"/>
            <w:right w:val="none" w:sz="0" w:space="0" w:color="auto"/>
          </w:divBdr>
        </w:div>
        <w:div w:id="1539972870">
          <w:marLeft w:val="0"/>
          <w:marRight w:val="0"/>
          <w:marTop w:val="0"/>
          <w:marBottom w:val="0"/>
          <w:divBdr>
            <w:top w:val="none" w:sz="0" w:space="0" w:color="auto"/>
            <w:left w:val="none" w:sz="0" w:space="0" w:color="auto"/>
            <w:bottom w:val="none" w:sz="0" w:space="0" w:color="auto"/>
            <w:right w:val="none" w:sz="0" w:space="0" w:color="auto"/>
          </w:divBdr>
        </w:div>
        <w:div w:id="1811822148">
          <w:marLeft w:val="0"/>
          <w:marRight w:val="0"/>
          <w:marTop w:val="0"/>
          <w:marBottom w:val="0"/>
          <w:divBdr>
            <w:top w:val="none" w:sz="0" w:space="0" w:color="auto"/>
            <w:left w:val="none" w:sz="0" w:space="0" w:color="auto"/>
            <w:bottom w:val="none" w:sz="0" w:space="0" w:color="auto"/>
            <w:right w:val="none" w:sz="0" w:space="0" w:color="auto"/>
          </w:divBdr>
        </w:div>
        <w:div w:id="1162349741">
          <w:marLeft w:val="0"/>
          <w:marRight w:val="0"/>
          <w:marTop w:val="0"/>
          <w:marBottom w:val="0"/>
          <w:divBdr>
            <w:top w:val="none" w:sz="0" w:space="0" w:color="auto"/>
            <w:left w:val="none" w:sz="0" w:space="0" w:color="auto"/>
            <w:bottom w:val="none" w:sz="0" w:space="0" w:color="auto"/>
            <w:right w:val="none" w:sz="0" w:space="0" w:color="auto"/>
          </w:divBdr>
        </w:div>
        <w:div w:id="793912036">
          <w:marLeft w:val="0"/>
          <w:marRight w:val="0"/>
          <w:marTop w:val="0"/>
          <w:marBottom w:val="0"/>
          <w:divBdr>
            <w:top w:val="none" w:sz="0" w:space="0" w:color="auto"/>
            <w:left w:val="none" w:sz="0" w:space="0" w:color="auto"/>
            <w:bottom w:val="none" w:sz="0" w:space="0" w:color="auto"/>
            <w:right w:val="none" w:sz="0" w:space="0" w:color="auto"/>
          </w:divBdr>
        </w:div>
        <w:div w:id="1459033138">
          <w:marLeft w:val="0"/>
          <w:marRight w:val="0"/>
          <w:marTop w:val="0"/>
          <w:marBottom w:val="0"/>
          <w:divBdr>
            <w:top w:val="none" w:sz="0" w:space="0" w:color="auto"/>
            <w:left w:val="none" w:sz="0" w:space="0" w:color="auto"/>
            <w:bottom w:val="none" w:sz="0" w:space="0" w:color="auto"/>
            <w:right w:val="none" w:sz="0" w:space="0" w:color="auto"/>
          </w:divBdr>
        </w:div>
        <w:div w:id="115872627">
          <w:marLeft w:val="0"/>
          <w:marRight w:val="0"/>
          <w:marTop w:val="0"/>
          <w:marBottom w:val="0"/>
          <w:divBdr>
            <w:top w:val="none" w:sz="0" w:space="0" w:color="auto"/>
            <w:left w:val="none" w:sz="0" w:space="0" w:color="auto"/>
            <w:bottom w:val="none" w:sz="0" w:space="0" w:color="auto"/>
            <w:right w:val="none" w:sz="0" w:space="0" w:color="auto"/>
          </w:divBdr>
        </w:div>
        <w:div w:id="1740596207">
          <w:marLeft w:val="0"/>
          <w:marRight w:val="0"/>
          <w:marTop w:val="0"/>
          <w:marBottom w:val="0"/>
          <w:divBdr>
            <w:top w:val="none" w:sz="0" w:space="0" w:color="auto"/>
            <w:left w:val="none" w:sz="0" w:space="0" w:color="auto"/>
            <w:bottom w:val="none" w:sz="0" w:space="0" w:color="auto"/>
            <w:right w:val="none" w:sz="0" w:space="0" w:color="auto"/>
          </w:divBdr>
        </w:div>
        <w:div w:id="105663032">
          <w:marLeft w:val="0"/>
          <w:marRight w:val="0"/>
          <w:marTop w:val="0"/>
          <w:marBottom w:val="0"/>
          <w:divBdr>
            <w:top w:val="none" w:sz="0" w:space="0" w:color="auto"/>
            <w:left w:val="none" w:sz="0" w:space="0" w:color="auto"/>
            <w:bottom w:val="none" w:sz="0" w:space="0" w:color="auto"/>
            <w:right w:val="none" w:sz="0" w:space="0" w:color="auto"/>
          </w:divBdr>
        </w:div>
        <w:div w:id="1013074814">
          <w:marLeft w:val="0"/>
          <w:marRight w:val="0"/>
          <w:marTop w:val="0"/>
          <w:marBottom w:val="0"/>
          <w:divBdr>
            <w:top w:val="none" w:sz="0" w:space="0" w:color="auto"/>
            <w:left w:val="none" w:sz="0" w:space="0" w:color="auto"/>
            <w:bottom w:val="none" w:sz="0" w:space="0" w:color="auto"/>
            <w:right w:val="none" w:sz="0" w:space="0" w:color="auto"/>
          </w:divBdr>
        </w:div>
        <w:div w:id="1933122256">
          <w:marLeft w:val="0"/>
          <w:marRight w:val="0"/>
          <w:marTop w:val="0"/>
          <w:marBottom w:val="0"/>
          <w:divBdr>
            <w:top w:val="none" w:sz="0" w:space="0" w:color="auto"/>
            <w:left w:val="none" w:sz="0" w:space="0" w:color="auto"/>
            <w:bottom w:val="none" w:sz="0" w:space="0" w:color="auto"/>
            <w:right w:val="none" w:sz="0" w:space="0" w:color="auto"/>
          </w:divBdr>
        </w:div>
        <w:div w:id="1600527377">
          <w:marLeft w:val="0"/>
          <w:marRight w:val="0"/>
          <w:marTop w:val="0"/>
          <w:marBottom w:val="0"/>
          <w:divBdr>
            <w:top w:val="none" w:sz="0" w:space="0" w:color="auto"/>
            <w:left w:val="none" w:sz="0" w:space="0" w:color="auto"/>
            <w:bottom w:val="none" w:sz="0" w:space="0" w:color="auto"/>
            <w:right w:val="none" w:sz="0" w:space="0" w:color="auto"/>
          </w:divBdr>
        </w:div>
        <w:div w:id="1793597275">
          <w:marLeft w:val="0"/>
          <w:marRight w:val="0"/>
          <w:marTop w:val="0"/>
          <w:marBottom w:val="0"/>
          <w:divBdr>
            <w:top w:val="none" w:sz="0" w:space="0" w:color="auto"/>
            <w:left w:val="none" w:sz="0" w:space="0" w:color="auto"/>
            <w:bottom w:val="none" w:sz="0" w:space="0" w:color="auto"/>
            <w:right w:val="none" w:sz="0" w:space="0" w:color="auto"/>
          </w:divBdr>
        </w:div>
        <w:div w:id="1718313076">
          <w:marLeft w:val="0"/>
          <w:marRight w:val="0"/>
          <w:marTop w:val="0"/>
          <w:marBottom w:val="0"/>
          <w:divBdr>
            <w:top w:val="none" w:sz="0" w:space="0" w:color="auto"/>
            <w:left w:val="none" w:sz="0" w:space="0" w:color="auto"/>
            <w:bottom w:val="none" w:sz="0" w:space="0" w:color="auto"/>
            <w:right w:val="none" w:sz="0" w:space="0" w:color="auto"/>
          </w:divBdr>
        </w:div>
        <w:div w:id="550533681">
          <w:marLeft w:val="0"/>
          <w:marRight w:val="0"/>
          <w:marTop w:val="0"/>
          <w:marBottom w:val="0"/>
          <w:divBdr>
            <w:top w:val="none" w:sz="0" w:space="0" w:color="auto"/>
            <w:left w:val="none" w:sz="0" w:space="0" w:color="auto"/>
            <w:bottom w:val="none" w:sz="0" w:space="0" w:color="auto"/>
            <w:right w:val="none" w:sz="0" w:space="0" w:color="auto"/>
          </w:divBdr>
        </w:div>
        <w:div w:id="1665163342">
          <w:marLeft w:val="0"/>
          <w:marRight w:val="0"/>
          <w:marTop w:val="0"/>
          <w:marBottom w:val="0"/>
          <w:divBdr>
            <w:top w:val="none" w:sz="0" w:space="0" w:color="auto"/>
            <w:left w:val="none" w:sz="0" w:space="0" w:color="auto"/>
            <w:bottom w:val="none" w:sz="0" w:space="0" w:color="auto"/>
            <w:right w:val="none" w:sz="0" w:space="0" w:color="auto"/>
          </w:divBdr>
        </w:div>
        <w:div w:id="707530974">
          <w:marLeft w:val="0"/>
          <w:marRight w:val="0"/>
          <w:marTop w:val="0"/>
          <w:marBottom w:val="0"/>
          <w:divBdr>
            <w:top w:val="none" w:sz="0" w:space="0" w:color="auto"/>
            <w:left w:val="none" w:sz="0" w:space="0" w:color="auto"/>
            <w:bottom w:val="none" w:sz="0" w:space="0" w:color="auto"/>
            <w:right w:val="none" w:sz="0" w:space="0" w:color="auto"/>
          </w:divBdr>
        </w:div>
        <w:div w:id="1908832918">
          <w:marLeft w:val="0"/>
          <w:marRight w:val="0"/>
          <w:marTop w:val="0"/>
          <w:marBottom w:val="0"/>
          <w:divBdr>
            <w:top w:val="none" w:sz="0" w:space="0" w:color="auto"/>
            <w:left w:val="none" w:sz="0" w:space="0" w:color="auto"/>
            <w:bottom w:val="none" w:sz="0" w:space="0" w:color="auto"/>
            <w:right w:val="none" w:sz="0" w:space="0" w:color="auto"/>
          </w:divBdr>
        </w:div>
        <w:div w:id="600574400">
          <w:marLeft w:val="0"/>
          <w:marRight w:val="0"/>
          <w:marTop w:val="0"/>
          <w:marBottom w:val="0"/>
          <w:divBdr>
            <w:top w:val="none" w:sz="0" w:space="0" w:color="auto"/>
            <w:left w:val="none" w:sz="0" w:space="0" w:color="auto"/>
            <w:bottom w:val="none" w:sz="0" w:space="0" w:color="auto"/>
            <w:right w:val="none" w:sz="0" w:space="0" w:color="auto"/>
          </w:divBdr>
        </w:div>
        <w:div w:id="846482620">
          <w:marLeft w:val="0"/>
          <w:marRight w:val="0"/>
          <w:marTop w:val="0"/>
          <w:marBottom w:val="0"/>
          <w:divBdr>
            <w:top w:val="none" w:sz="0" w:space="0" w:color="auto"/>
            <w:left w:val="none" w:sz="0" w:space="0" w:color="auto"/>
            <w:bottom w:val="none" w:sz="0" w:space="0" w:color="auto"/>
            <w:right w:val="none" w:sz="0" w:space="0" w:color="auto"/>
          </w:divBdr>
        </w:div>
        <w:div w:id="1108548642">
          <w:marLeft w:val="0"/>
          <w:marRight w:val="0"/>
          <w:marTop w:val="0"/>
          <w:marBottom w:val="0"/>
          <w:divBdr>
            <w:top w:val="none" w:sz="0" w:space="0" w:color="auto"/>
            <w:left w:val="none" w:sz="0" w:space="0" w:color="auto"/>
            <w:bottom w:val="none" w:sz="0" w:space="0" w:color="auto"/>
            <w:right w:val="none" w:sz="0" w:space="0" w:color="auto"/>
          </w:divBdr>
        </w:div>
        <w:div w:id="809860134">
          <w:marLeft w:val="0"/>
          <w:marRight w:val="0"/>
          <w:marTop w:val="0"/>
          <w:marBottom w:val="0"/>
          <w:divBdr>
            <w:top w:val="none" w:sz="0" w:space="0" w:color="auto"/>
            <w:left w:val="none" w:sz="0" w:space="0" w:color="auto"/>
            <w:bottom w:val="none" w:sz="0" w:space="0" w:color="auto"/>
            <w:right w:val="none" w:sz="0" w:space="0" w:color="auto"/>
          </w:divBdr>
        </w:div>
        <w:div w:id="881987747">
          <w:marLeft w:val="0"/>
          <w:marRight w:val="0"/>
          <w:marTop w:val="0"/>
          <w:marBottom w:val="0"/>
          <w:divBdr>
            <w:top w:val="none" w:sz="0" w:space="0" w:color="auto"/>
            <w:left w:val="none" w:sz="0" w:space="0" w:color="auto"/>
            <w:bottom w:val="none" w:sz="0" w:space="0" w:color="auto"/>
            <w:right w:val="none" w:sz="0" w:space="0" w:color="auto"/>
          </w:divBdr>
        </w:div>
        <w:div w:id="1268200062">
          <w:marLeft w:val="0"/>
          <w:marRight w:val="0"/>
          <w:marTop w:val="0"/>
          <w:marBottom w:val="0"/>
          <w:divBdr>
            <w:top w:val="none" w:sz="0" w:space="0" w:color="auto"/>
            <w:left w:val="none" w:sz="0" w:space="0" w:color="auto"/>
            <w:bottom w:val="none" w:sz="0" w:space="0" w:color="auto"/>
            <w:right w:val="none" w:sz="0" w:space="0" w:color="auto"/>
          </w:divBdr>
        </w:div>
        <w:div w:id="151172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AUTOLIV\AUTOLIV-20.12.31-10-K.htm" TargetMode="External"/><Relationship Id="rId117" Type="http://schemas.openxmlformats.org/officeDocument/2006/relationships/hyperlink" Target="file:///D:\TMP\finance-docx\AUTOLIV\alv-ex322_7.htm" TargetMode="External"/><Relationship Id="rId21" Type="http://schemas.openxmlformats.org/officeDocument/2006/relationships/hyperlink" Target="file:///D:\TMP\finance-docx\AUTOLIV\AUTOLIV-20.12.31-10-K.htm" TargetMode="External"/><Relationship Id="rId42" Type="http://schemas.openxmlformats.org/officeDocument/2006/relationships/hyperlink" Target="http://www.sec.gov/Archives/edgar/data/1034670/000156459020018358/alv-ex410_441.htm" TargetMode="External"/><Relationship Id="rId47" Type="http://schemas.openxmlformats.org/officeDocument/2006/relationships/hyperlink" Target="http://www.sec.gov/Archives/edgar/data/1034670/000095017202001489/lon216375.txt" TargetMode="External"/><Relationship Id="rId63" Type="http://schemas.openxmlformats.org/officeDocument/2006/relationships/hyperlink" Target="http://www.sec.gov/Archives/edgar/data/1034670/000115752309001524/a5898656ex99i.htm" TargetMode="External"/><Relationship Id="rId68" Type="http://schemas.openxmlformats.org/officeDocument/2006/relationships/hyperlink" Target="http://www.sec.gov/Archives/edgar/data/1034670/000119312515053479/d820512dex1036.htm" TargetMode="External"/><Relationship Id="rId84" Type="http://schemas.openxmlformats.org/officeDocument/2006/relationships/hyperlink" Target="http://www.sec.gov/Archives/edgar/data/1034670/000156459018017723/alv-ex1011_324.htm" TargetMode="External"/><Relationship Id="rId89" Type="http://schemas.openxmlformats.org/officeDocument/2006/relationships/hyperlink" Target="http://www.sec.gov/Archives/edgar/data/1034670/000119312519061070/d713641dex101.htm" TargetMode="External"/><Relationship Id="rId112" Type="http://schemas.openxmlformats.org/officeDocument/2006/relationships/hyperlink" Target="file:///D:\TMP\finance-docx\AUTOLIV\alv-ex21_11.htm" TargetMode="External"/><Relationship Id="rId16" Type="http://schemas.openxmlformats.org/officeDocument/2006/relationships/hyperlink" Target="file:///D:\TMP\finance-docx\AUTOLIV\AUTOLIV-20.12.31-10-K.htm" TargetMode="External"/><Relationship Id="rId107" Type="http://schemas.openxmlformats.org/officeDocument/2006/relationships/hyperlink" Target="http://www.sec.gov/Archives/edgar/data/1034670/000156459020032551/alv-ex102_81.htm" TargetMode="External"/><Relationship Id="rId11" Type="http://schemas.openxmlformats.org/officeDocument/2006/relationships/hyperlink" Target="file:///D:\TMP\finance-docx\AUTOLIV\AUTOLIV-20.12.31-10-K.htm" TargetMode="External"/><Relationship Id="rId32" Type="http://schemas.openxmlformats.org/officeDocument/2006/relationships/hyperlink" Target="http://www.sec.gov/Archives/edgar/data/1034670/000119312515407851/d32830dex31.htm" TargetMode="External"/><Relationship Id="rId37" Type="http://schemas.openxmlformats.org/officeDocument/2006/relationships/hyperlink" Target="http://www.sec.gov/Archives/edgar/data/1034670/000156459018017723/alv-ex45_318.htm" TargetMode="External"/><Relationship Id="rId53" Type="http://schemas.openxmlformats.org/officeDocument/2006/relationships/hyperlink" Target="http://www.sec.gov/Archives/edgar/data/1034670/000119312510164685/dex1021.htm" TargetMode="External"/><Relationship Id="rId58" Type="http://schemas.openxmlformats.org/officeDocument/2006/relationships/hyperlink" Target="http://www.sec.gov/Archives/edgar/data/1034670/000119312512117495/d316612dex11.htm" TargetMode="External"/><Relationship Id="rId74" Type="http://schemas.openxmlformats.org/officeDocument/2006/relationships/hyperlink" Target="http://www.sec.gov/Archives/edgar/data/1034670/000156459017007704/alv-ex104_152.htm" TargetMode="External"/><Relationship Id="rId79" Type="http://schemas.openxmlformats.org/officeDocument/2006/relationships/hyperlink" Target="http://www.sec.gov/Archives/edgar/data/1034670/000156459018017723/alv-ex104_501.htm" TargetMode="External"/><Relationship Id="rId102" Type="http://schemas.openxmlformats.org/officeDocument/2006/relationships/hyperlink" Target="http://www.sec.gov/Archives/edgar/data/1034670/000156459020005667/alv-ex1057_499.htm" TargetMode="External"/><Relationship Id="rId5" Type="http://schemas.openxmlformats.org/officeDocument/2006/relationships/endnotes" Target="endnotes.xml"/><Relationship Id="rId90" Type="http://schemas.openxmlformats.org/officeDocument/2006/relationships/hyperlink" Target="http://www.sec.gov/Archives/edgar/data/1034670/000156459019013244/alv-ex102_333.htm" TargetMode="External"/><Relationship Id="rId95" Type="http://schemas.openxmlformats.org/officeDocument/2006/relationships/hyperlink" Target="http://www.sec.gov/Archives/edgar/data/1034670/000156459019025291/alv-ex104_485.htm" TargetMode="External"/><Relationship Id="rId22" Type="http://schemas.openxmlformats.org/officeDocument/2006/relationships/hyperlink" Target="file:///D:\TMP\finance-docx\AUTOLIV\AUTOLIV-20.12.31-10-K.htm" TargetMode="External"/><Relationship Id="rId27" Type="http://schemas.openxmlformats.org/officeDocument/2006/relationships/hyperlink" Target="file:///D:\TMP\finance-docx\AUTOLIV\AUTOLIV-20.12.31-10-K.htm" TargetMode="External"/><Relationship Id="rId43" Type="http://schemas.openxmlformats.org/officeDocument/2006/relationships/hyperlink" Target="http://www.sec.gov/Archives/edgar/data/1034670/000156459020018358/alv-ex411_439.htm" TargetMode="External"/><Relationship Id="rId48" Type="http://schemas.openxmlformats.org/officeDocument/2006/relationships/hyperlink" Target="http://www.sec.gov/Archives/edgar/data/1034670/000095017202001489/lon216127.txt" TargetMode="External"/><Relationship Id="rId64" Type="http://schemas.openxmlformats.org/officeDocument/2006/relationships/hyperlink" Target="http://www.sec.gov/Archives/edgar/data/1034670/000119312513409481/d604235dex101.htm" TargetMode="External"/><Relationship Id="rId69" Type="http://schemas.openxmlformats.org/officeDocument/2006/relationships/hyperlink" Target="http://www.sec.gov/Archives/edgar/data/1034670/000119312516568223/d177324dex44.htm" TargetMode="External"/><Relationship Id="rId113" Type="http://schemas.openxmlformats.org/officeDocument/2006/relationships/hyperlink" Target="file:///D:\TMP\finance-docx\AUTOLIV\alv-ex23_9.htm" TargetMode="External"/><Relationship Id="rId118" Type="http://schemas.openxmlformats.org/officeDocument/2006/relationships/fontTable" Target="fontTable.xml"/><Relationship Id="rId80" Type="http://schemas.openxmlformats.org/officeDocument/2006/relationships/hyperlink" Target="http://www.sec.gov/Archives/edgar/data/1034670/000119312516654772/d211582dex101.htm" TargetMode="External"/><Relationship Id="rId85" Type="http://schemas.openxmlformats.org/officeDocument/2006/relationships/hyperlink" Target="http://www.sec.gov/Archives/edgar/data/1034670/000156459018017723/alv-ex1012_321.htm" TargetMode="External"/><Relationship Id="rId12" Type="http://schemas.openxmlformats.org/officeDocument/2006/relationships/hyperlink" Target="file:///D:\TMP\finance-docx\AUTOLIV\AUTOLIV-20.12.31-10-K.htm" TargetMode="External"/><Relationship Id="rId17" Type="http://schemas.openxmlformats.org/officeDocument/2006/relationships/hyperlink" Target="file:///D:\TMP\finance-docx\AUTOLIV\AUTOLIV-20.12.31-10-K.htm" TargetMode="External"/><Relationship Id="rId33" Type="http://schemas.openxmlformats.org/officeDocument/2006/relationships/hyperlink" Target="http://www.sec.gov/Archives/edgar/data/1034670/000119312509067376/dex41.htm" TargetMode="External"/><Relationship Id="rId38" Type="http://schemas.openxmlformats.org/officeDocument/2006/relationships/hyperlink" Target="http://www.sec.gov/Archives/edgar/data/1034670/000156459018017723/alv-ex46_329.htm" TargetMode="External"/><Relationship Id="rId59" Type="http://schemas.openxmlformats.org/officeDocument/2006/relationships/hyperlink" Target="http://www.sec.gov/Archives/edgar/data/1034670/000119312512308325/d365819dex1029.htm" TargetMode="External"/><Relationship Id="rId103" Type="http://schemas.openxmlformats.org/officeDocument/2006/relationships/hyperlink" Target="http://www.sec.gov/Archives/edgar/data/1034670/000156459020005667/alv-ex1058_498.htm" TargetMode="External"/><Relationship Id="rId108" Type="http://schemas.openxmlformats.org/officeDocument/2006/relationships/hyperlink" Target="http://www.sec.gov/Archives/edgar/data/1034670/000156459020032551/alv-ex103_82.htm" TargetMode="External"/><Relationship Id="rId54" Type="http://schemas.openxmlformats.org/officeDocument/2006/relationships/hyperlink" Target="http://www.sec.gov/Archives/edgar/data/1034670/000119312510164685/dex1022.htm" TargetMode="External"/><Relationship Id="rId70" Type="http://schemas.openxmlformats.org/officeDocument/2006/relationships/hyperlink" Target="http://www.sec.gov/Archives/edgar/data/1034670/000156459016026325/alv-ex101_142.htm" TargetMode="External"/><Relationship Id="rId75" Type="http://schemas.openxmlformats.org/officeDocument/2006/relationships/hyperlink" Target="http://www.sec.gov/Archives/edgar/data/1034670/000156459017007704/alv-ex105_151.htm" TargetMode="External"/><Relationship Id="rId91" Type="http://schemas.openxmlformats.org/officeDocument/2006/relationships/hyperlink" Target="http://www.sec.gov/Archives/edgar/data/1034670/000156459019013244/alv-ex103_334.htm" TargetMode="External"/><Relationship Id="rId96" Type="http://schemas.openxmlformats.org/officeDocument/2006/relationships/hyperlink" Target="http://www.sec.gov/Archives/edgar/data/1034670/000156459019037855/alv-ex102_269.htm" TargetMode="External"/><Relationship Id="rId1" Type="http://schemas.openxmlformats.org/officeDocument/2006/relationships/styles" Target="styles.xml"/><Relationship Id="rId6" Type="http://schemas.openxmlformats.org/officeDocument/2006/relationships/hyperlink" Target="file:///D:\TMP\finance-docx\AUTOLIV\AUTOLIV-20.12.31-10-K.htm" TargetMode="External"/><Relationship Id="rId23" Type="http://schemas.openxmlformats.org/officeDocument/2006/relationships/hyperlink" Target="file:///D:\TMP\finance-docx\AUTOLIV\AUTOLIV-20.12.31-10-K.htm" TargetMode="External"/><Relationship Id="rId28" Type="http://schemas.openxmlformats.org/officeDocument/2006/relationships/hyperlink" Target="file:///D:\TMP\finance-docx\AUTOLIV\AUTOLIV-20.12.31-10-K.htm" TargetMode="External"/><Relationship Id="rId49" Type="http://schemas.openxmlformats.org/officeDocument/2006/relationships/hyperlink" Target="http://www.sec.gov/Archives/edgar/data/1034670/000103467003000007/exhibitnine.htm" TargetMode="External"/><Relationship Id="rId114" Type="http://schemas.openxmlformats.org/officeDocument/2006/relationships/hyperlink" Target="file:///D:\TMP\finance-docx\AUTOLIV\alv-ex311_8.htm" TargetMode="External"/><Relationship Id="rId119" Type="http://schemas.openxmlformats.org/officeDocument/2006/relationships/theme" Target="theme/theme1.xml"/><Relationship Id="rId10" Type="http://schemas.openxmlformats.org/officeDocument/2006/relationships/hyperlink" Target="file:///D:\TMP\finance-docx\AUTOLIV\AUTOLIV-20.12.31-10-K.htm" TargetMode="External"/><Relationship Id="rId31" Type="http://schemas.openxmlformats.org/officeDocument/2006/relationships/hyperlink" Target="http://www.sec.gov/Archives/edgar/data/1034670/000119312515141900/d896012dex31.htm" TargetMode="External"/><Relationship Id="rId44" Type="http://schemas.openxmlformats.org/officeDocument/2006/relationships/hyperlink" Target="http://www.sec.gov/Archives/edgar/data/1034670/000156459020018358/alv-ex412_440.htm" TargetMode="External"/><Relationship Id="rId52" Type="http://schemas.openxmlformats.org/officeDocument/2006/relationships/hyperlink" Target="http://www.sec.gov/Archives/edgar/data/1034670/000119312509060021/ddef14a.htm" TargetMode="External"/><Relationship Id="rId60" Type="http://schemas.openxmlformats.org/officeDocument/2006/relationships/hyperlink" Target="http://www.sec.gov/Archives/edgar/data/1034670/000119312513070928/d433868dex1034.htm" TargetMode="External"/><Relationship Id="rId65" Type="http://schemas.openxmlformats.org/officeDocument/2006/relationships/hyperlink" Target="http://www.sec.gov/Archives/edgar/data/1034670/000119312513409481/d604235dex102.htm" TargetMode="External"/><Relationship Id="rId73" Type="http://schemas.openxmlformats.org/officeDocument/2006/relationships/hyperlink" Target="http://www.sec.gov/Archives/edgar/data/1034670/000156459017007704/alv-ex103_153.htm" TargetMode="External"/><Relationship Id="rId78" Type="http://schemas.openxmlformats.org/officeDocument/2006/relationships/hyperlink" Target="http://www.sec.gov/Archives/edgar/data/1733186/000119312518182424/d550335dex103.htm" TargetMode="External"/><Relationship Id="rId81" Type="http://schemas.openxmlformats.org/officeDocument/2006/relationships/hyperlink" Target="http://www.sec.gov/Archives/edgar/data/1034670/000156459018017723/alv-ex108_325.htm" TargetMode="External"/><Relationship Id="rId86" Type="http://schemas.openxmlformats.org/officeDocument/2006/relationships/hyperlink" Target="http://www.sec.gov/Archives/edgar/data/1034670/000156459018017723/alv-ex1013_322.htm" TargetMode="External"/><Relationship Id="rId94" Type="http://schemas.openxmlformats.org/officeDocument/2006/relationships/hyperlink" Target="http://www.sec.gov/Archives/edgar/data/1034670/000156459019025291/alv-ex103_484.htm" TargetMode="External"/><Relationship Id="rId99" Type="http://schemas.openxmlformats.org/officeDocument/2006/relationships/hyperlink" Target="http://www.sec.gov/Archives/edgar/data/1034670/000156459019037855/alv-ex105_267.htm" TargetMode="External"/><Relationship Id="rId101" Type="http://schemas.openxmlformats.org/officeDocument/2006/relationships/hyperlink" Target="http://www.sec.gov/Archives/edgar/data/1034670/000156459020005667/alv-ex1056_501.htm" TargetMode="External"/><Relationship Id="rId4" Type="http://schemas.openxmlformats.org/officeDocument/2006/relationships/footnotes" Target="footnotes.xml"/><Relationship Id="rId9" Type="http://schemas.openxmlformats.org/officeDocument/2006/relationships/hyperlink" Target="file:///D:\TMP\finance-docx\AUTOLIV\AUTOLIV-20.12.31-10-K.htm" TargetMode="External"/><Relationship Id="rId13" Type="http://schemas.openxmlformats.org/officeDocument/2006/relationships/hyperlink" Target="file:///D:\TMP\finance-docx\AUTOLIV\AUTOLIV-20.12.31-10-K.htm" TargetMode="External"/><Relationship Id="rId18" Type="http://schemas.openxmlformats.org/officeDocument/2006/relationships/hyperlink" Target="file:///D:\TMP\finance-docx\AUTOLIV\AUTOLIV-20.12.31-10-K.htm" TargetMode="External"/><Relationship Id="rId39" Type="http://schemas.openxmlformats.org/officeDocument/2006/relationships/hyperlink" Target="http://www.sec.gov/Archives/edgar/data/0001034670/000156459019013244/alv-ex47_609.htm" TargetMode="External"/><Relationship Id="rId109" Type="http://schemas.openxmlformats.org/officeDocument/2006/relationships/hyperlink" Target="http://www.sec.gov/Archives/edgar/data/1034670/000156459020032551/alv-ex104_83.htm" TargetMode="External"/><Relationship Id="rId34" Type="http://schemas.openxmlformats.org/officeDocument/2006/relationships/hyperlink" Target="http://www.sec.gov/Archives/edgar/data/1034670/000119312512117495/d316612dex41.htm" TargetMode="External"/><Relationship Id="rId50" Type="http://schemas.openxmlformats.org/officeDocument/2006/relationships/hyperlink" Target="http://www.sec.gov/Archives/edgar/data/1034670/000103467003000007/exhibitten.htm" TargetMode="External"/><Relationship Id="rId55" Type="http://schemas.openxmlformats.org/officeDocument/2006/relationships/hyperlink" Target="http://www.sec.gov/Archives/edgar/data/1034670/000119312511043338/dex1024.htm" TargetMode="External"/><Relationship Id="rId76" Type="http://schemas.openxmlformats.org/officeDocument/2006/relationships/hyperlink" Target="http://www.sec.gov/Archives/edgar/data/1733186/000119312518182424/d550335dex101.htm" TargetMode="External"/><Relationship Id="rId97" Type="http://schemas.openxmlformats.org/officeDocument/2006/relationships/hyperlink" Target="http://www.sec.gov/Archives/edgar/data/1034670/000156459019037855/alv-ex103_268.htm" TargetMode="External"/><Relationship Id="rId104" Type="http://schemas.openxmlformats.org/officeDocument/2006/relationships/hyperlink" Target="http://www.sec.gov/Archives/edgar/data/1034670/000156459020018358/alv-ex105_499.htm" TargetMode="External"/><Relationship Id="rId7" Type="http://schemas.openxmlformats.org/officeDocument/2006/relationships/hyperlink" Target="file:///D:\TMP\finance-docx\AUTOLIV\AUTOLIV-20.12.31-10-K.htm" TargetMode="External"/><Relationship Id="rId71" Type="http://schemas.openxmlformats.org/officeDocument/2006/relationships/hyperlink" Target="http://www.sec.gov/Archives/edgar/data/1034670/000156459017007704/alv-ex101_155.htm" TargetMode="External"/><Relationship Id="rId92" Type="http://schemas.openxmlformats.org/officeDocument/2006/relationships/hyperlink" Target="http://www.sec.gov/Archives/edgar/data/1034670/000156459019025291/alv-ex101_240.htm" TargetMode="External"/><Relationship Id="rId2" Type="http://schemas.openxmlformats.org/officeDocument/2006/relationships/settings" Target="settings.xml"/><Relationship Id="rId29" Type="http://schemas.openxmlformats.org/officeDocument/2006/relationships/hyperlink" Target="file:///D:\TMP\finance-docx\AUTOLIV\AUTOLIV-20.12.31-10-K.htm" TargetMode="External"/><Relationship Id="rId24" Type="http://schemas.openxmlformats.org/officeDocument/2006/relationships/hyperlink" Target="file:///D:\TMP\finance-docx\AUTOLIV\AUTOLIV-20.12.31-10-K.htm" TargetMode="External"/><Relationship Id="rId40" Type="http://schemas.openxmlformats.org/officeDocument/2006/relationships/hyperlink" Target="http://www.sec.gov/Archives/edgar/data/0001034670/000156459019013244/alv-ex48_335.htm" TargetMode="External"/><Relationship Id="rId45" Type="http://schemas.openxmlformats.org/officeDocument/2006/relationships/hyperlink" Target="file:///D:\TMP\finance-docx\AUTOLIV\alv-ex413_739.htm" TargetMode="External"/><Relationship Id="rId66" Type="http://schemas.openxmlformats.org/officeDocument/2006/relationships/hyperlink" Target="http://www.sec.gov/Archives/edgar/data/1034670/000119312514158776/d694785dex46.htm" TargetMode="External"/><Relationship Id="rId87" Type="http://schemas.openxmlformats.org/officeDocument/2006/relationships/hyperlink" Target="http://www.sec.gov/Archives/edgar/data/1034670/000156459018017723/alv-ex1014_320.htm" TargetMode="External"/><Relationship Id="rId110" Type="http://schemas.openxmlformats.org/officeDocument/2006/relationships/hyperlink" Target="http://www.sec.gov/Archives/edgar/data/1034670/000156459020047361/alv-ex101_168.htm" TargetMode="External"/><Relationship Id="rId115" Type="http://schemas.openxmlformats.org/officeDocument/2006/relationships/hyperlink" Target="file:///D:\TMP\finance-docx\AUTOLIV\alv-ex312_6.htm" TargetMode="External"/><Relationship Id="rId61" Type="http://schemas.openxmlformats.org/officeDocument/2006/relationships/hyperlink" Target="http://www.sec.gov/Archives/edgar/data/1034670/000119312513070928/d433868dex1035.htm" TargetMode="External"/><Relationship Id="rId82" Type="http://schemas.openxmlformats.org/officeDocument/2006/relationships/hyperlink" Target="http://www.sec.gov/Archives/edgar/data/1034670/000156459018017723/alv-ex109_326.htm" TargetMode="External"/><Relationship Id="rId19" Type="http://schemas.openxmlformats.org/officeDocument/2006/relationships/hyperlink" Target="file:///D:\TMP\finance-docx\AUTOLIV\AUTOLIV-20.12.31-10-K.htm" TargetMode="External"/><Relationship Id="rId14" Type="http://schemas.openxmlformats.org/officeDocument/2006/relationships/hyperlink" Target="file:///D:\TMP\finance-docx\AUTOLIV\AUTOLIV-20.12.31-10-K.htm" TargetMode="External"/><Relationship Id="rId30" Type="http://schemas.openxmlformats.org/officeDocument/2006/relationships/hyperlink" Target="http://www.sec.gov/Archives/edgar/data/1034670/000119312518210536/d855919dex21.htm" TargetMode="External"/><Relationship Id="rId35" Type="http://schemas.openxmlformats.org/officeDocument/2006/relationships/hyperlink" Target="http://www.sec.gov/Archives/edgar/data/1034670/000119312514158776/d694785dex46.htm" TargetMode="External"/><Relationship Id="rId56" Type="http://schemas.openxmlformats.org/officeDocument/2006/relationships/hyperlink" Target="http://www.sec.gov/Archives/edgar/data/1034670/000119312512074898/d222650dex1026.htm" TargetMode="External"/><Relationship Id="rId77" Type="http://schemas.openxmlformats.org/officeDocument/2006/relationships/hyperlink" Target="http://www.sec.gov/Archives/edgar/data/1733186/000119312518182424/d550335dex102.htm" TargetMode="External"/><Relationship Id="rId100" Type="http://schemas.openxmlformats.org/officeDocument/2006/relationships/hyperlink" Target="http://www.sec.gov/Archives/edgar/data/1034670/000156459019037855/alv-ex106_270.htm" TargetMode="External"/><Relationship Id="rId105" Type="http://schemas.openxmlformats.org/officeDocument/2006/relationships/hyperlink" Target="http://www.sec.gov/Archives/edgar/data/1034670/000156459020018358/alv-ex106_498.htm" TargetMode="External"/><Relationship Id="rId8" Type="http://schemas.openxmlformats.org/officeDocument/2006/relationships/hyperlink" Target="file:///D:\TMP\finance-docx\AUTOLIV\AUTOLIV-20.12.31-10-K.htm" TargetMode="External"/><Relationship Id="rId51" Type="http://schemas.openxmlformats.org/officeDocument/2006/relationships/hyperlink" Target="http://www.sec.gov/Archives/edgar/data/1034670/000103467003000007/exhibiteleven.htm" TargetMode="External"/><Relationship Id="rId72" Type="http://schemas.openxmlformats.org/officeDocument/2006/relationships/hyperlink" Target="http://www.sec.gov/Archives/edgar/data/1034670/000156459017007704/alv-ex102_154.htm" TargetMode="External"/><Relationship Id="rId93" Type="http://schemas.openxmlformats.org/officeDocument/2006/relationships/hyperlink" Target="http://www.sec.gov/Archives/edgar/data/1034670/000156459019025291/alv-ex102_241.htm" TargetMode="External"/><Relationship Id="rId98" Type="http://schemas.openxmlformats.org/officeDocument/2006/relationships/hyperlink" Target="http://www.sec.gov/Archives/edgar/data/1034670/000156459019037855/alv-ex104_266.htm" TargetMode="External"/><Relationship Id="rId3" Type="http://schemas.openxmlformats.org/officeDocument/2006/relationships/webSettings" Target="webSettings.xml"/><Relationship Id="rId25" Type="http://schemas.openxmlformats.org/officeDocument/2006/relationships/hyperlink" Target="file:///D:\TMP\finance-docx\AUTOLIV\AUTOLIV-20.12.31-10-K.htm" TargetMode="External"/><Relationship Id="rId46" Type="http://schemas.openxmlformats.org/officeDocument/2006/relationships/hyperlink" Target="http://www.sec.gov/Archives/edgar/data/1034670/000095017202001489/lon216083.txt" TargetMode="External"/><Relationship Id="rId67" Type="http://schemas.openxmlformats.org/officeDocument/2006/relationships/hyperlink" Target="http://www.sec.gov/Archives/edgar/data/1034670/000119312514379794/d796852dex101.htm" TargetMode="External"/><Relationship Id="rId116" Type="http://schemas.openxmlformats.org/officeDocument/2006/relationships/hyperlink" Target="file:///D:\TMP\finance-docx\AUTOLIV\alv-ex321_10.htm" TargetMode="External"/><Relationship Id="rId20" Type="http://schemas.openxmlformats.org/officeDocument/2006/relationships/hyperlink" Target="file:///D:\TMP\finance-docx\AUTOLIV\AUTOLIV-20.12.31-10-K.htm" TargetMode="External"/><Relationship Id="rId41" Type="http://schemas.openxmlformats.org/officeDocument/2006/relationships/hyperlink" Target="http://www.sec.gov/Archives/edgar/data/0001034670/000156459019013244/alv-ex49_336.htm" TargetMode="External"/><Relationship Id="rId62" Type="http://schemas.openxmlformats.org/officeDocument/2006/relationships/hyperlink" Target="http://www.sec.gov/Archives/edgar/data/1034670/000119312513070928/d433868dex1036.htm" TargetMode="External"/><Relationship Id="rId83" Type="http://schemas.openxmlformats.org/officeDocument/2006/relationships/hyperlink" Target="http://www.sec.gov/Archives/edgar/data/1034670/000156459018017723/alv-ex1010_323.htm" TargetMode="External"/><Relationship Id="rId88" Type="http://schemas.openxmlformats.org/officeDocument/2006/relationships/hyperlink" Target="http://www.sec.gov/Archives/edgar/data/1034670/000156459018017723/alv-ex1015_319.htm" TargetMode="External"/><Relationship Id="rId111" Type="http://schemas.openxmlformats.org/officeDocument/2006/relationships/hyperlink" Target="http://www.sec.gov/Archives/edgar/data/1034670/000156459020047361/alv-ex102_366.htm" TargetMode="External"/><Relationship Id="rId15" Type="http://schemas.openxmlformats.org/officeDocument/2006/relationships/hyperlink" Target="file:///D:\TMP\finance-docx\AUTOLIV\AUTOLIV-20.12.31-10-K.htm" TargetMode="External"/><Relationship Id="rId36" Type="http://schemas.openxmlformats.org/officeDocument/2006/relationships/hyperlink" Target="http://www.sec.gov/Archives/edgar/data/1034670/000156459018017723/alv-ex44_502.htm" TargetMode="External"/><Relationship Id="rId57" Type="http://schemas.openxmlformats.org/officeDocument/2006/relationships/hyperlink" Target="http://www.sec.gov/Archives/edgar/data/1034670/000119312512074898/d222650dex1027.htm" TargetMode="External"/><Relationship Id="rId106" Type="http://schemas.openxmlformats.org/officeDocument/2006/relationships/hyperlink" Target="http://www.sec.gov/Archives/edgar/data/1034670/000156459020032551/alv-ex101_30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167</Pages>
  <Words>67669</Words>
  <Characters>385717</Characters>
  <Application>Microsoft Office Word</Application>
  <DocSecurity>0</DocSecurity>
  <Lines>3214</Lines>
  <Paragraphs>904</Paragraphs>
  <ScaleCrop>false</ScaleCrop>
  <Company/>
  <LinksUpToDate>false</LinksUpToDate>
  <CharactersWithSpaces>452482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2023-04-06T06:08:00Z</dcterms:created>
  <dcterms:modified xsi:type="dcterms:W3CDTF">2023-04-06T09:05:00Z</dcterms:modified>
</cp:coreProperties>
</file>